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sz w:val="22"/>
        </w:rPr>
      </w:pPr>
      <w:bookmarkStart w:id="0" w:name="vsh-20260805.htm"/>
      <w:bookmarkStart w:id="1" w:name="ksvsh20260805"/>
      <w:bookmarkEnd w:id="0"/>
      <w:bookmarkEnd w:id="1"/>
      <w:r>
        <w:rPr>
          <w:rFonts w:ascii="Times New Roman;Times;serif" w:hAnsi="Times New Roman;Times;serif"/>
          <w:b/>
          <w:sz w:val="22"/>
        </w:rPr>
        <w:t>UNITED STATES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SECURITIES AND EXCHANGE COMMISSION</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0"/>
        <w:jc w:val="left"/>
        <w:rPr>
          <w:sz w:val="22"/>
        </w:rPr>
      </w:pPr>
      <w:r>
        <w:rPr>
          <w:sz w:val="22"/>
        </w:rPr>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FORM 8-K</w:t>
      </w:r>
    </w:p>
    <w:p>
      <w:pPr>
        <w:pStyle w:val="TextBody"/>
        <w:bidi w:val="0"/>
        <w:spacing w:before="0" w:after="0"/>
        <w:jc w:val="left"/>
        <w:rPr>
          <w:sz w:val="22"/>
        </w:rPr>
      </w:pPr>
      <w:r>
        <w:rPr>
          <w:sz w:val="22"/>
        </w:rPr>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Pursuant to Section 13 OR 15(d) of the Securities Exchange Act of 1934</w:t>
      </w:r>
    </w:p>
    <w:p>
      <w:pPr>
        <w:pStyle w:val="TextBody"/>
        <w:bidi w:val="0"/>
        <w:spacing w:before="0" w:after="0"/>
        <w:jc w:val="left"/>
        <w:rPr>
          <w:sz w:val="22"/>
        </w:rPr>
      </w:pPr>
      <w:r>
        <w:rPr>
          <w:sz w:val="22"/>
        </w:rPr>
      </w:r>
    </w:p>
    <w:p>
      <w:pPr>
        <w:pStyle w:val="TextBody"/>
        <w:bidi w:val="0"/>
        <w:spacing w:before="0" w:after="0"/>
        <w:jc w:val="left"/>
        <w:rPr>
          <w:sz w:val="22"/>
        </w:rPr>
      </w:pPr>
      <w:r>
        <w:rPr>
          <w:sz w:val="22"/>
        </w:rPr>
      </w:r>
    </w:p>
    <w:tbl>
      <w:tblPr>
        <w:tblW w:w="6125" w:type="dxa"/>
        <w:jc w:val="left"/>
        <w:tblInd w:w="0" w:type="dxa"/>
        <w:tblLayout w:type="fixed"/>
        <w:tblCellMar>
          <w:top w:w="0" w:type="dxa"/>
          <w:left w:w="0" w:type="dxa"/>
          <w:bottom w:w="0" w:type="dxa"/>
          <w:right w:w="0" w:type="dxa"/>
        </w:tblCellMar>
      </w:tblPr>
      <w:tblGrid>
        <w:gridCol w:w="105"/>
        <w:gridCol w:w="6020"/>
      </w:tblGrid>
      <w:tr>
        <w:trPr/>
        <w:tc>
          <w:tcPr>
            <w:tcW w:w="105"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r>
              <w:rPr/>
              <w:t>Date of Report (date of earliest event reported) </w:t>
            </w:r>
            <w:r>
              <w:rPr>
                <w:u w:val="single"/>
              </w:rPr>
              <w:t>August 5, 2026</w:t>
            </w:r>
          </w:p>
        </w:tc>
      </w:tr>
      <w:tr>
        <w:trPr/>
        <w:tc>
          <w:tcPr>
            <w:tcW w:w="105"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283"/>
              <w:jc w:val="left"/>
              <w:rPr/>
            </w:pPr>
            <w:r>
              <w:rPr/>
              <w:t> </w:t>
            </w:r>
          </w:p>
        </w:tc>
      </w:tr>
    </w:tbl>
    <w:p>
      <w:pPr>
        <w:pStyle w:val="TextBody"/>
        <w:bidi w:val="0"/>
        <w:spacing w:before="0" w:after="0"/>
        <w:jc w:val="left"/>
        <w:rPr>
          <w:sz w:val="22"/>
        </w:rPr>
      </w:pPr>
      <w:r>
        <w:rPr>
          <w:sz w:val="22"/>
        </w:rPr>
      </w:r>
    </w:p>
    <w:tbl>
      <w:tblPr>
        <w:tblW w:w="5795" w:type="dxa"/>
        <w:jc w:val="left"/>
        <w:tblInd w:w="0" w:type="dxa"/>
        <w:tblLayout w:type="fixed"/>
        <w:tblCellMar>
          <w:top w:w="0" w:type="dxa"/>
          <w:left w:w="0" w:type="dxa"/>
          <w:bottom w:w="0" w:type="dxa"/>
          <w:right w:w="0" w:type="dxa"/>
        </w:tblCellMar>
      </w:tblPr>
      <w:tblGrid>
        <w:gridCol w:w="5795"/>
      </w:tblGrid>
      <w:tr>
        <w:trPr/>
        <w:tc>
          <w:tcPr>
            <w:tcW w:w="5795" w:type="dxa"/>
            <w:tcBorders/>
            <w:vAlign w:val="center"/>
          </w:tcPr>
          <w:p>
            <w:pPr>
              <w:pStyle w:val="TableContents"/>
              <w:bidi w:val="0"/>
              <w:spacing w:before="0" w:after="0"/>
              <w:ind w:left="360" w:right="0" w:hanging="0"/>
              <w:jc w:val="center"/>
              <w:rPr>
                <w:b/>
                <w:sz w:val="46"/>
              </w:rPr>
            </w:pPr>
            <w:r>
              <w:rPr>
                <w:b/>
                <w:sz w:val="46"/>
              </w:rPr>
              <w:t>Vishay Intertechnology, Inc.</w:t>
            </w:r>
          </w:p>
        </w:tc>
      </w:tr>
      <w:tr>
        <w:trPr/>
        <w:tc>
          <w:tcPr>
            <w:tcW w:w="5795" w:type="dxa"/>
            <w:tcBorders/>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0"/>
              <w:ind w:left="360" w:right="0" w:hanging="0"/>
              <w:jc w:val="center"/>
              <w:rPr/>
            </w:pPr>
            <w:r>
              <w:rPr/>
              <w:t>(Exact name of registrant as specified in its charter)</w:t>
            </w:r>
          </w:p>
        </w:tc>
      </w:tr>
    </w:tbl>
    <w:p>
      <w:pPr>
        <w:pStyle w:val="TextBody"/>
        <w:bidi w:val="0"/>
        <w:spacing w:before="0" w:after="0"/>
        <w:jc w:val="left"/>
        <w:rPr>
          <w:sz w:val="22"/>
        </w:rPr>
      </w:pPr>
      <w:r>
        <w:rPr>
          <w:sz w:val="22"/>
        </w:rPr>
      </w:r>
    </w:p>
    <w:p>
      <w:pPr>
        <w:pStyle w:val="TextBody"/>
        <w:bidi w:val="0"/>
        <w:spacing w:before="0" w:after="0"/>
        <w:jc w:val="left"/>
        <w:rPr>
          <w:sz w:val="22"/>
        </w:rPr>
      </w:pPr>
      <w:r>
        <w:rPr>
          <w:sz w:val="22"/>
        </w:rPr>
      </w:r>
    </w:p>
    <w:tbl>
      <w:tblPr>
        <w:tblW w:w="10205" w:type="dxa"/>
        <w:jc w:val="left"/>
        <w:tblInd w:w="0" w:type="dxa"/>
        <w:tblLayout w:type="fixed"/>
        <w:tblCellMar>
          <w:top w:w="0" w:type="dxa"/>
          <w:left w:w="0" w:type="dxa"/>
          <w:bottom w:w="0" w:type="dxa"/>
          <w:right w:w="0" w:type="dxa"/>
        </w:tblCellMar>
      </w:tblPr>
      <w:tblGrid>
        <w:gridCol w:w="3991"/>
        <w:gridCol w:w="2520"/>
        <w:gridCol w:w="3694"/>
      </w:tblGrid>
      <w:tr>
        <w:trPr/>
        <w:tc>
          <w:tcPr>
            <w:tcW w:w="3991" w:type="dxa"/>
            <w:tcBorders/>
            <w:vAlign w:val="center"/>
          </w:tcPr>
          <w:p>
            <w:pPr>
              <w:pStyle w:val="TableContents"/>
              <w:bidi w:val="0"/>
              <w:spacing w:before="0" w:after="0"/>
              <w:ind w:left="360" w:right="0" w:hanging="0"/>
              <w:jc w:val="center"/>
              <w:rPr/>
            </w:pPr>
            <w:r>
              <w:rPr/>
              <w:t>Delaware</w:t>
            </w:r>
          </w:p>
        </w:tc>
        <w:tc>
          <w:tcPr>
            <w:tcW w:w="2520" w:type="dxa"/>
            <w:tcBorders/>
            <w:vAlign w:val="center"/>
          </w:tcPr>
          <w:p>
            <w:pPr>
              <w:pStyle w:val="TableContents"/>
              <w:bidi w:val="0"/>
              <w:spacing w:before="0" w:after="0"/>
              <w:ind w:left="360" w:right="0" w:hanging="0"/>
              <w:jc w:val="center"/>
              <w:rPr/>
            </w:pPr>
            <w:r>
              <w:rPr/>
              <w:t>1-7416</w:t>
            </w:r>
          </w:p>
        </w:tc>
        <w:tc>
          <w:tcPr>
            <w:tcW w:w="3694" w:type="dxa"/>
            <w:tcBorders/>
            <w:vAlign w:val="center"/>
          </w:tcPr>
          <w:p>
            <w:pPr>
              <w:pStyle w:val="TableContents"/>
              <w:bidi w:val="0"/>
              <w:spacing w:before="0" w:after="0"/>
              <w:ind w:left="360" w:right="0" w:hanging="0"/>
              <w:jc w:val="center"/>
              <w:rPr/>
            </w:pPr>
            <w:r>
              <w:rPr/>
              <w:t>38-1686453</w:t>
            </w:r>
          </w:p>
        </w:tc>
      </w:tr>
      <w:tr>
        <w:trPr/>
        <w:tc>
          <w:tcPr>
            <w:tcW w:w="3991" w:type="dxa"/>
            <w:tcBorders/>
            <w:vAlign w:val="center"/>
          </w:tcPr>
          <w:p>
            <w:pPr>
              <w:pStyle w:val="TableContents"/>
              <w:bidi w:val="0"/>
              <w:spacing w:before="0" w:after="0"/>
              <w:ind w:left="360" w:right="0" w:hanging="0"/>
              <w:jc w:val="center"/>
              <w:rPr/>
            </w:pPr>
            <w:r>
              <w:rPr/>
              <w:t>(State or Other Jurisdiction of Incorporation)</w:t>
            </w:r>
          </w:p>
        </w:tc>
        <w:tc>
          <w:tcPr>
            <w:tcW w:w="2520" w:type="dxa"/>
            <w:tcBorders/>
            <w:vAlign w:val="center"/>
          </w:tcPr>
          <w:p>
            <w:pPr>
              <w:pStyle w:val="TableContents"/>
              <w:bidi w:val="0"/>
              <w:spacing w:before="0" w:after="0"/>
              <w:ind w:left="360" w:right="0" w:hanging="0"/>
              <w:jc w:val="center"/>
              <w:rPr/>
            </w:pPr>
            <w:r>
              <w:rPr/>
              <w:t>(Commission File Number)</w:t>
            </w:r>
          </w:p>
        </w:tc>
        <w:tc>
          <w:tcPr>
            <w:tcW w:w="3694" w:type="dxa"/>
            <w:tcBorders/>
            <w:vAlign w:val="center"/>
          </w:tcPr>
          <w:p>
            <w:pPr>
              <w:pStyle w:val="TableContents"/>
              <w:bidi w:val="0"/>
              <w:spacing w:before="0" w:after="0"/>
              <w:ind w:left="360" w:right="0" w:hanging="0"/>
              <w:jc w:val="center"/>
              <w:rPr/>
            </w:pPr>
            <w:r>
              <w:rPr/>
              <w:t>(I.R.S. Employer Identification Number)</w:t>
            </w:r>
          </w:p>
        </w:tc>
      </w:tr>
    </w:tbl>
    <w:p>
      <w:pPr>
        <w:pStyle w:val="TextBody"/>
        <w:bidi w:val="0"/>
        <w:spacing w:before="0" w:after="0"/>
        <w:jc w:val="left"/>
        <w:rPr>
          <w:sz w:val="22"/>
        </w:rPr>
      </w:pPr>
      <w:r>
        <w:rPr>
          <w:sz w:val="22"/>
        </w:rPr>
      </w:r>
    </w:p>
    <w:tbl>
      <w:tblPr>
        <w:tblW w:w="6514" w:type="dxa"/>
        <w:jc w:val="left"/>
        <w:tblInd w:w="0" w:type="dxa"/>
        <w:tblLayout w:type="fixed"/>
        <w:tblCellMar>
          <w:top w:w="0" w:type="dxa"/>
          <w:left w:w="0" w:type="dxa"/>
          <w:bottom w:w="0" w:type="dxa"/>
          <w:right w:w="0" w:type="dxa"/>
        </w:tblCellMar>
      </w:tblPr>
      <w:tblGrid>
        <w:gridCol w:w="4935"/>
        <w:gridCol w:w="1579"/>
      </w:tblGrid>
      <w:tr>
        <w:trPr/>
        <w:tc>
          <w:tcPr>
            <w:tcW w:w="4935"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left"/>
              <w:rPr/>
            </w:pPr>
            <w:r>
              <w:rPr/>
              <w:t> </w:t>
            </w:r>
          </w:p>
        </w:tc>
      </w:tr>
      <w:tr>
        <w:trPr/>
        <w:tc>
          <w:tcPr>
            <w:tcW w:w="4935" w:type="dxa"/>
            <w:tcBorders/>
            <w:vAlign w:val="center"/>
          </w:tcPr>
          <w:p>
            <w:pPr>
              <w:pStyle w:val="TableContents"/>
              <w:bidi w:val="0"/>
              <w:spacing w:before="0" w:after="0"/>
              <w:ind w:left="360" w:right="0" w:hanging="0"/>
              <w:jc w:val="center"/>
              <w:rPr/>
            </w:pPr>
            <w:r>
              <w:rPr/>
              <w:t>63 Lancaster Avenue</w:t>
            </w:r>
          </w:p>
          <w:p>
            <w:pPr>
              <w:pStyle w:val="TableContents"/>
              <w:bidi w:val="0"/>
              <w:spacing w:before="0" w:after="0"/>
              <w:jc w:val="center"/>
              <w:rPr/>
            </w:pPr>
            <w:r>
              <w:rPr/>
              <w:t>Malvern, PA</w:t>
            </w:r>
          </w:p>
        </w:tc>
        <w:tc>
          <w:tcPr>
            <w:tcW w:w="1579" w:type="dxa"/>
            <w:tcBorders/>
            <w:vAlign w:val="center"/>
          </w:tcPr>
          <w:p>
            <w:pPr>
              <w:pStyle w:val="TableContents"/>
              <w:bidi w:val="0"/>
              <w:spacing w:before="0" w:after="0"/>
              <w:ind w:left="360" w:right="0" w:hanging="0"/>
              <w:jc w:val="center"/>
              <w:rPr/>
            </w:pPr>
            <w:r>
              <w:rPr/>
              <w:t>19355-2143</w:t>
            </w:r>
          </w:p>
        </w:tc>
      </w:tr>
      <w:tr>
        <w:trPr/>
        <w:tc>
          <w:tcPr>
            <w:tcW w:w="4935" w:type="dxa"/>
            <w:tcBorders/>
            <w:vAlign w:val="center"/>
          </w:tcPr>
          <w:p>
            <w:pPr>
              <w:pStyle w:val="TableContents"/>
              <w:bidi w:val="0"/>
              <w:spacing w:before="0" w:after="0"/>
              <w:ind w:left="360" w:right="0" w:hanging="0"/>
              <w:jc w:val="center"/>
              <w:rPr/>
            </w:pPr>
            <w:r>
              <w:rPr/>
              <w:t>(Address of Principal Executive Offices)</w:t>
            </w:r>
          </w:p>
        </w:tc>
        <w:tc>
          <w:tcPr>
            <w:tcW w:w="1579" w:type="dxa"/>
            <w:tcBorders/>
            <w:vAlign w:val="center"/>
          </w:tcPr>
          <w:p>
            <w:pPr>
              <w:pStyle w:val="TableContents"/>
              <w:bidi w:val="0"/>
              <w:spacing w:before="0" w:after="0"/>
              <w:ind w:left="360" w:right="0" w:hanging="0"/>
              <w:jc w:val="center"/>
              <w:rPr/>
            </w:pPr>
            <w:r>
              <w:rPr/>
              <w:t>Zip Code</w:t>
            </w:r>
          </w:p>
        </w:tc>
      </w:tr>
      <w:tr>
        <w:trPr/>
        <w:tc>
          <w:tcPr>
            <w:tcW w:w="6514" w:type="dxa"/>
            <w:gridSpan w:val="2"/>
            <w:tcBorders/>
            <w:vAlign w:val="center"/>
          </w:tcPr>
          <w:p>
            <w:pPr>
              <w:pStyle w:val="TableContents"/>
              <w:bidi w:val="0"/>
              <w:spacing w:before="0" w:after="283"/>
              <w:jc w:val="left"/>
              <w:rPr/>
            </w:pPr>
            <w:r>
              <w:rPr/>
              <w:t> </w:t>
            </w:r>
          </w:p>
        </w:tc>
      </w:tr>
      <w:tr>
        <w:trPr/>
        <w:tc>
          <w:tcPr>
            <w:tcW w:w="6514" w:type="dxa"/>
            <w:gridSpan w:val="2"/>
            <w:tcBorders/>
            <w:vAlign w:val="center"/>
          </w:tcPr>
          <w:p>
            <w:pPr>
              <w:pStyle w:val="TableContents"/>
              <w:bidi w:val="0"/>
              <w:spacing w:before="0" w:after="0"/>
              <w:ind w:left="360" w:right="0" w:hanging="0"/>
              <w:jc w:val="left"/>
              <w:rPr/>
            </w:pPr>
            <w:r>
              <w:rPr/>
              <w:t>Registrant's telephone number, including area code    610-644-1300</w:t>
            </w:r>
          </w:p>
        </w:tc>
      </w:tr>
    </w:tbl>
    <w:p>
      <w:pPr>
        <w:pStyle w:val="TextBody"/>
        <w:bidi w:val="0"/>
        <w:spacing w:before="0" w:after="0"/>
        <w:jc w:val="left"/>
        <w:rPr>
          <w:sz w:val="22"/>
        </w:rPr>
      </w:pPr>
      <w:r>
        <w:rPr>
          <w:sz w:val="22"/>
        </w:rPr>
      </w:r>
    </w:p>
    <w:tbl>
      <w:tblPr>
        <w:tblW w:w="5930" w:type="dxa"/>
        <w:jc w:val="left"/>
        <w:tblInd w:w="0" w:type="dxa"/>
        <w:tblLayout w:type="fixed"/>
        <w:tblCellMar>
          <w:top w:w="0" w:type="dxa"/>
          <w:left w:w="0" w:type="dxa"/>
          <w:bottom w:w="0" w:type="dxa"/>
          <w:right w:w="0" w:type="dxa"/>
        </w:tblCellMar>
      </w:tblPr>
      <w:tblGrid>
        <w:gridCol w:w="5930"/>
      </w:tblGrid>
      <w:tr>
        <w:trPr/>
        <w:tc>
          <w:tcPr>
            <w:tcW w:w="593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ind w:left="360" w:right="0" w:hanging="0"/>
              <w:jc w:val="center"/>
              <w:rPr/>
            </w:pPr>
            <w:r>
              <w:rPr/>
              <w:t>(Former name or former address, if changed since last report.)</w:t>
            </w:r>
          </w:p>
        </w:tc>
      </w:tr>
    </w:tbl>
    <w:p>
      <w:pPr>
        <w:pStyle w:val="TextBody"/>
        <w:bidi w:val="0"/>
        <w:spacing w:before="0" w:after="0"/>
        <w:jc w:val="left"/>
        <w:rPr>
          <w:sz w:val="22"/>
        </w:rPr>
      </w:pPr>
      <w:r>
        <w:rPr>
          <w:sz w:val="22"/>
        </w:rPr>
      </w:r>
    </w:p>
    <w:p>
      <w:pPr>
        <w:pStyle w:val="TextBody"/>
        <w:bidi w:val="0"/>
        <w:spacing w:before="40" w:after="40"/>
        <w:ind w:left="360" w:right="1062" w:hanging="0"/>
        <w:jc w:val="left"/>
        <w:rPr>
          <w:rFonts w:ascii="Times New Roman;Times;serif" w:hAnsi="Times New Roman;Times;serif"/>
          <w:sz w:val="22"/>
        </w:rPr>
      </w:pPr>
      <w:r>
        <w:rPr>
          <w:rFonts w:ascii="Times New Roman;Times;serif" w:hAnsi="Times New Roman;Times;serif"/>
          <w:sz w:val="22"/>
        </w:rPr>
        <w:t>Check the appropriate box below if the Form 8-K filing is intended to simultaneously satisfy the filing obligation of the registrant under any of the following provisions:</w:t>
      </w:r>
    </w:p>
    <w:p>
      <w:pPr>
        <w:pStyle w:val="TextBody"/>
        <w:bidi w:val="0"/>
        <w:spacing w:before="40" w:after="40"/>
        <w:jc w:val="left"/>
        <w:rPr>
          <w:sz w:val="22"/>
        </w:rPr>
      </w:pPr>
      <w:r>
        <w:rPr>
          <w:sz w:val="22"/>
        </w:rPr>
      </w:r>
    </w:p>
    <w:tbl>
      <w:tblPr>
        <w:tblW w:w="10205" w:type="dxa"/>
        <w:jc w:val="left"/>
        <w:tblInd w:w="0" w:type="dxa"/>
        <w:tblLayout w:type="fixed"/>
        <w:tblCellMar>
          <w:top w:w="0" w:type="dxa"/>
          <w:left w:w="0" w:type="dxa"/>
          <w:bottom w:w="0" w:type="dxa"/>
          <w:right w:w="0" w:type="dxa"/>
        </w:tblCellMar>
      </w:tblPr>
      <w:tblGrid>
        <w:gridCol w:w="1337"/>
        <w:gridCol w:w="8868"/>
      </w:tblGrid>
      <w:tr>
        <w:trPr/>
        <w:tc>
          <w:tcPr>
            <w:tcW w:w="1337" w:type="dxa"/>
            <w:tcBorders/>
            <w:vAlign w:val="center"/>
          </w:tcPr>
          <w:p>
            <w:pPr>
              <w:pStyle w:val="TableContents"/>
              <w:bidi w:val="0"/>
              <w:spacing w:before="0" w:after="0"/>
              <w:ind w:left="252" w:right="1062" w:hanging="0"/>
              <w:jc w:val="left"/>
              <w:rPr/>
            </w:pPr>
            <w:r>
              <w:rPr/>
              <w:t>☐</w:t>
            </w:r>
          </w:p>
        </w:tc>
        <w:tc>
          <w:tcPr>
            <w:tcW w:w="8868" w:type="dxa"/>
            <w:tcBorders/>
            <w:vAlign w:val="center"/>
          </w:tcPr>
          <w:p>
            <w:pPr>
              <w:pStyle w:val="TableContents"/>
              <w:bidi w:val="0"/>
              <w:spacing w:before="0" w:after="0"/>
              <w:ind w:left="252" w:right="1062" w:hanging="108"/>
              <w:jc w:val="left"/>
              <w:rPr/>
            </w:pPr>
            <w:r>
              <w:rPr/>
              <w:t> </w:t>
            </w:r>
            <w:r>
              <w:rPr/>
              <w:t>Written communications pursuant to Rule 425 under the Securities Act (17 CFR 230.425)</w:t>
            </w:r>
          </w:p>
        </w:tc>
      </w:tr>
      <w:tr>
        <w:trPr/>
        <w:tc>
          <w:tcPr>
            <w:tcW w:w="1337" w:type="dxa"/>
            <w:tcBorders/>
            <w:vAlign w:val="center"/>
          </w:tcPr>
          <w:p>
            <w:pPr>
              <w:pStyle w:val="TableContents"/>
              <w:bidi w:val="0"/>
              <w:spacing w:before="0" w:after="0"/>
              <w:ind w:left="252" w:right="1062" w:hanging="0"/>
              <w:jc w:val="left"/>
              <w:rPr/>
            </w:pPr>
            <w:r>
              <w:rPr/>
              <w:t>☐</w:t>
            </w:r>
          </w:p>
        </w:tc>
        <w:tc>
          <w:tcPr>
            <w:tcW w:w="8868" w:type="dxa"/>
            <w:tcBorders/>
            <w:vAlign w:val="center"/>
          </w:tcPr>
          <w:p>
            <w:pPr>
              <w:pStyle w:val="TableContents"/>
              <w:bidi w:val="0"/>
              <w:spacing w:before="0" w:after="0"/>
              <w:ind w:left="252" w:right="1062" w:hanging="108"/>
              <w:jc w:val="left"/>
              <w:rPr/>
            </w:pPr>
            <w:r>
              <w:rPr/>
              <w:t> </w:t>
            </w:r>
            <w:r>
              <w:rPr/>
              <w:t>Soliciting material pursuant to Rule 14a-12 under the Exchange Act (17 CFR 240.14a-12)</w:t>
            </w:r>
          </w:p>
        </w:tc>
      </w:tr>
      <w:tr>
        <w:trPr/>
        <w:tc>
          <w:tcPr>
            <w:tcW w:w="1337" w:type="dxa"/>
            <w:tcBorders/>
            <w:vAlign w:val="center"/>
          </w:tcPr>
          <w:p>
            <w:pPr>
              <w:pStyle w:val="TableContents"/>
              <w:bidi w:val="0"/>
              <w:spacing w:before="0" w:after="0"/>
              <w:ind w:left="252" w:right="1062" w:hanging="0"/>
              <w:jc w:val="left"/>
              <w:rPr/>
            </w:pPr>
            <w:r>
              <w:rPr/>
              <w:t>☐</w:t>
            </w:r>
          </w:p>
        </w:tc>
        <w:tc>
          <w:tcPr>
            <w:tcW w:w="8868" w:type="dxa"/>
            <w:tcBorders/>
            <w:vAlign w:val="center"/>
          </w:tcPr>
          <w:p>
            <w:pPr>
              <w:pStyle w:val="TableContents"/>
              <w:bidi w:val="0"/>
              <w:spacing w:before="0" w:after="0"/>
              <w:ind w:left="252" w:right="1062" w:hanging="108"/>
              <w:jc w:val="left"/>
              <w:rPr/>
            </w:pPr>
            <w:r>
              <w:rPr/>
              <w:t> </w:t>
            </w:r>
            <w:r>
              <w:rPr/>
              <w:t>Pre-commencement communications pursuant to Rule 14d-2(b) under the Exchange Act (17 CFR 240.14d-2(b))</w:t>
            </w:r>
          </w:p>
        </w:tc>
      </w:tr>
      <w:tr>
        <w:trPr/>
        <w:tc>
          <w:tcPr>
            <w:tcW w:w="1337" w:type="dxa"/>
            <w:tcBorders/>
            <w:vAlign w:val="center"/>
          </w:tcPr>
          <w:p>
            <w:pPr>
              <w:pStyle w:val="TableContents"/>
              <w:bidi w:val="0"/>
              <w:spacing w:before="0" w:after="0"/>
              <w:ind w:left="252" w:right="1062" w:hanging="0"/>
              <w:jc w:val="left"/>
              <w:rPr/>
            </w:pPr>
            <w:r>
              <w:rPr/>
              <w:t>☐</w:t>
            </w:r>
          </w:p>
        </w:tc>
        <w:tc>
          <w:tcPr>
            <w:tcW w:w="8868" w:type="dxa"/>
            <w:tcBorders/>
            <w:vAlign w:val="center"/>
          </w:tcPr>
          <w:p>
            <w:pPr>
              <w:pStyle w:val="TableContents"/>
              <w:bidi w:val="0"/>
              <w:spacing w:before="0" w:after="0"/>
              <w:ind w:left="252" w:right="1062" w:hanging="108"/>
              <w:jc w:val="left"/>
              <w:rPr/>
            </w:pPr>
            <w:r>
              <w:rPr/>
              <w:t> </w:t>
            </w:r>
            <w:r>
              <w:rPr/>
              <w:t>Pre-commencement communications pursuant to Rule 13e-4(c) under the Exchange Act (17 CFR 240.13e-4(c))</w:t>
            </w:r>
          </w:p>
        </w:tc>
      </w:tr>
    </w:tbl>
    <w:p>
      <w:pPr>
        <w:pStyle w:val="TextBody"/>
        <w:bidi w:val="0"/>
        <w:spacing w:before="40" w:after="40"/>
        <w:jc w:val="left"/>
        <w:rPr>
          <w:sz w:val="22"/>
        </w:rPr>
      </w:pPr>
      <w:r>
        <w:rPr>
          <w:sz w:val="22"/>
        </w:rPr>
      </w:r>
    </w:p>
    <w:p>
      <w:pPr>
        <w:pStyle w:val="TextBody"/>
        <w:bidi w:val="0"/>
        <w:spacing w:before="0" w:after="0"/>
        <w:jc w:val="both"/>
        <w:rPr>
          <w:rFonts w:ascii="Times New Roman;Times;serif" w:hAnsi="Times New Roman;Times;serif"/>
          <w:sz w:val="22"/>
        </w:rPr>
      </w:pPr>
      <w:r>
        <w:rPr>
          <w:rFonts w:ascii="Times New Roman;Times;serif" w:hAnsi="Times New Roman;Times;serif"/>
          <w:sz w:val="22"/>
        </w:rPr>
        <w:t>Indicate by check mark whether the registrant is an emerging growth company as defined in Rule 405 of the Securities Act of 1933 (§230.405 of this chapter) or Rule 12b-2 of the Securities Exchange Act of 1934 (§240.12b-2 of this chapter).</w:t>
      </w:r>
    </w:p>
    <w:tbl>
      <w:tblPr>
        <w:tblW w:w="3055" w:type="dxa"/>
        <w:jc w:val="left"/>
        <w:tblInd w:w="0" w:type="dxa"/>
        <w:tblLayout w:type="fixed"/>
        <w:tblCellMar>
          <w:top w:w="0" w:type="dxa"/>
          <w:left w:w="0" w:type="dxa"/>
          <w:bottom w:w="0" w:type="dxa"/>
          <w:right w:w="0" w:type="dxa"/>
        </w:tblCellMar>
      </w:tblPr>
      <w:tblGrid>
        <w:gridCol w:w="105"/>
        <w:gridCol w:w="2645"/>
        <w:gridCol w:w="305"/>
      </w:tblGrid>
      <w:tr>
        <w:trPr/>
        <w:tc>
          <w:tcPr>
            <w:tcW w:w="105" w:type="dxa"/>
            <w:tcBorders/>
            <w:vAlign w:val="center"/>
          </w:tcPr>
          <w:p>
            <w:pPr>
              <w:pStyle w:val="TableContents"/>
              <w:bidi w:val="0"/>
              <w:spacing w:before="0" w:after="0"/>
              <w:jc w:val="left"/>
              <w:rPr/>
            </w:pPr>
            <w:r>
              <w:rPr/>
              <w:t> </w:t>
            </w:r>
          </w:p>
        </w:tc>
        <w:tc>
          <w:tcPr>
            <w:tcW w:w="2645" w:type="dxa"/>
            <w:tcBorders/>
            <w:vAlign w:val="center"/>
          </w:tcPr>
          <w:p>
            <w:pPr>
              <w:pStyle w:val="TableContents"/>
              <w:bidi w:val="0"/>
              <w:spacing w:before="0" w:after="0"/>
              <w:jc w:val="right"/>
              <w:rPr/>
            </w:pPr>
            <w:r>
              <w:rPr/>
              <w:t>Emerging growth company</w:t>
            </w:r>
          </w:p>
        </w:tc>
        <w:tc>
          <w:tcPr>
            <w:tcW w:w="305" w:type="dxa"/>
            <w:tcBorders/>
            <w:vAlign w:val="center"/>
          </w:tcPr>
          <w:p>
            <w:pPr>
              <w:pStyle w:val="TableContents"/>
              <w:bidi w:val="0"/>
              <w:spacing w:before="0" w:after="0"/>
              <w:jc w:val="center"/>
              <w:rPr/>
            </w:pPr>
            <w:r>
              <w:rPr/>
              <w:t>☐</w:t>
            </w:r>
          </w:p>
        </w:tc>
      </w:tr>
    </w:tbl>
    <w:p>
      <w:pPr>
        <w:pStyle w:val="TextBody"/>
        <w:bidi w:val="0"/>
        <w:spacing w:before="0" w:after="0"/>
        <w:jc w:val="left"/>
        <w:rPr/>
      </w:pPr>
      <w:r>
        <w:rPr/>
        <w:t> </w:t>
      </w:r>
    </w:p>
    <w:p>
      <w:pPr>
        <w:pStyle w:val="TextBody"/>
        <w:bidi w:val="0"/>
        <w:spacing w:before="0" w:after="0"/>
        <w:jc w:val="both"/>
        <w:rPr>
          <w:rFonts w:ascii="Times New Roman;Times;serif" w:hAnsi="Times New Roman;Times;serif"/>
          <w:sz w:val="22"/>
        </w:rPr>
      </w:pPr>
      <w:r>
        <w:rPr>
          <w:rFonts w:ascii="Times New Roman;Times;serif" w:hAnsi="Times New Roman;Times;serif"/>
          <w:sz w:val="22"/>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rFonts w:ascii="Segoe UI Symbol;sans-serif" w:hAnsi="Segoe UI Symbol;sans-serif"/>
          <w:sz w:val="22"/>
        </w:rPr>
      </w:pPr>
      <w:r>
        <w:rPr>
          <w:rFonts w:ascii="Segoe UI Symbol;sans-serif" w:hAnsi="Segoe UI Symbol;sans-serif"/>
          <w:sz w:val="22"/>
        </w:rPr>
      </w:r>
    </w:p>
    <w:p>
      <w:pPr>
        <w:pStyle w:val="TextBody"/>
        <w:bidi w:val="0"/>
        <w:spacing w:before="0" w:after="0"/>
        <w:jc w:val="left"/>
        <w:rPr>
          <w:rFonts w:ascii="Times New Roman;Times;serif" w:hAnsi="Times New Roman;Times;serif"/>
          <w:sz w:val="22"/>
        </w:rPr>
      </w:pPr>
      <w:r>
        <w:rPr>
          <w:rFonts w:ascii="Times New Roman;Times;serif" w:hAnsi="Times New Roman;Times;serif"/>
          <w:sz w:val="22"/>
        </w:rPr>
        <w:t>Securities registered pursuant to Section 12(b) of the Act:</w:t>
      </w:r>
    </w:p>
    <w:p>
      <w:pPr>
        <w:pStyle w:val="TextBody"/>
        <w:bidi w:val="0"/>
        <w:spacing w:before="0" w:after="0"/>
        <w:jc w:val="left"/>
        <w:rPr/>
      </w:pPr>
      <w:r>
        <w:rPr/>
      </w:r>
    </w:p>
    <w:tbl>
      <w:tblPr>
        <w:tblW w:w="9330" w:type="dxa"/>
        <w:jc w:val="left"/>
        <w:tblInd w:w="0" w:type="dxa"/>
        <w:tblLayout w:type="fixed"/>
        <w:tblCellMar>
          <w:top w:w="0" w:type="dxa"/>
          <w:left w:w="0" w:type="dxa"/>
          <w:bottom w:w="0" w:type="dxa"/>
          <w:right w:w="0" w:type="dxa"/>
        </w:tblCellMar>
      </w:tblPr>
      <w:tblGrid>
        <w:gridCol w:w="3995"/>
        <w:gridCol w:w="1550"/>
        <w:gridCol w:w="3785"/>
      </w:tblGrid>
      <w:tr>
        <w:trPr/>
        <w:tc>
          <w:tcPr>
            <w:tcW w:w="3995" w:type="dxa"/>
            <w:tcBorders/>
            <w:vAlign w:val="center"/>
          </w:tcPr>
          <w:p>
            <w:pPr>
              <w:pStyle w:val="TableContents"/>
              <w:bidi w:val="0"/>
              <w:spacing w:before="0" w:after="0"/>
              <w:jc w:val="center"/>
              <w:rPr/>
            </w:pPr>
            <w:r>
              <w:rPr/>
              <w:t>Title of each class</w:t>
            </w:r>
          </w:p>
        </w:tc>
        <w:tc>
          <w:tcPr>
            <w:tcW w:w="1550" w:type="dxa"/>
            <w:tcBorders/>
            <w:vAlign w:val="center"/>
          </w:tcPr>
          <w:p>
            <w:pPr>
              <w:pStyle w:val="TableContents"/>
              <w:bidi w:val="0"/>
              <w:spacing w:before="0" w:after="0"/>
              <w:jc w:val="center"/>
              <w:rPr/>
            </w:pPr>
            <w:r>
              <w:rPr/>
              <w:t>Trading symbol</w:t>
            </w:r>
          </w:p>
        </w:tc>
        <w:tc>
          <w:tcPr>
            <w:tcW w:w="3785" w:type="dxa"/>
            <w:tcBorders/>
            <w:vAlign w:val="center"/>
          </w:tcPr>
          <w:p>
            <w:pPr>
              <w:pStyle w:val="TableContents"/>
              <w:bidi w:val="0"/>
              <w:spacing w:before="0" w:after="0"/>
              <w:jc w:val="center"/>
              <w:rPr/>
            </w:pPr>
            <w:r>
              <w:rPr/>
              <w:t>Name of exchange on which registered</w:t>
            </w:r>
          </w:p>
        </w:tc>
      </w:tr>
      <w:tr>
        <w:trPr/>
        <w:tc>
          <w:tcPr>
            <w:tcW w:w="3995"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jc w:val="center"/>
              <w:rPr/>
            </w:pPr>
            <w:r>
              <w:rPr/>
              <w:t>Common stock, par value $0.10 per share</w:t>
            </w:r>
          </w:p>
        </w:tc>
        <w:tc>
          <w:tcPr>
            <w:tcW w:w="1550" w:type="dxa"/>
            <w:tcBorders/>
            <w:vAlign w:val="center"/>
          </w:tcPr>
          <w:p>
            <w:pPr>
              <w:pStyle w:val="TableContents"/>
              <w:bidi w:val="0"/>
              <w:spacing w:before="0" w:after="0"/>
              <w:jc w:val="center"/>
              <w:rPr/>
            </w:pPr>
            <w:r>
              <w:rPr/>
              <w:t xml:space="preserve">VSH </w:t>
            </w:r>
          </w:p>
        </w:tc>
        <w:tc>
          <w:tcPr>
            <w:tcW w:w="37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jc w:val="center"/>
              <w:rPr>
                <w:sz w:val="22"/>
              </w:rPr>
            </w:pPr>
            <w:r>
              <w:rPr>
                <w:sz w:val="22"/>
              </w:rPr>
              <w:t>New York Stock Exchange</w:t>
            </w:r>
          </w:p>
        </w:tc>
      </w:tr>
    </w:tbl>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Times;serif" w:hAnsi="Times New Roman;Times;serif"/>
          <w:b w:val="false"/>
          <w:sz w:val="24"/>
        </w:rPr>
      </w:pPr>
      <w:r>
        <w:rPr>
          <w:rFonts w:ascii="Times New Roman;Times;serif" w:hAnsi="Times New Roman;Times;serif"/>
          <w:b w:val="false"/>
          <w:sz w:val="24"/>
        </w:rPr>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Item 2.02 – Results of Operations and Financial Condition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val="false"/>
          <w:sz w:val="24"/>
        </w:rPr>
      </w:pPr>
      <w:r>
        <w:rPr>
          <w:rFonts w:ascii="Times New Roman;Times;serif" w:hAnsi="Times New Roman;Times;serif"/>
          <w:b w:val="false"/>
          <w:sz w:val="24"/>
        </w:rPr>
        <w:t>On August 5, 2026, Vishay Intertechnology, Inc. ("the Company") issued a press release announcing its financial results for the fiscal quarter and six fiscal months ended July 4, 2026.  A copy of the press release is attached as Exhibit 99.1 to this report.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Item 7.01 – Regulation FD Disclosure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val="false"/>
          <w:i/>
          <w:sz w:val="24"/>
        </w:rPr>
      </w:pPr>
      <w:r>
        <w:rPr>
          <w:rFonts w:ascii="Times New Roman;Times;serif" w:hAnsi="Times New Roman;Times;serif"/>
          <w:b w:val="false"/>
          <w:i/>
          <w:sz w:val="24"/>
        </w:rPr>
        <w:t>Computational Guidance on Earnings Per Share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val="false"/>
          <w:sz w:val="24"/>
        </w:rPr>
      </w:pPr>
      <w:r>
        <w:rPr>
          <w:rFonts w:ascii="Times New Roman;Times;serif" w:hAnsi="Times New Roman;Times;serif"/>
          <w:b w:val="false"/>
          <w:sz w:val="24"/>
        </w:rPr>
        <w:t>The Company frequently receives questions from analysts and stockholders regarding its diluted earnings per share ("EPS") computation.  The information furnished in this Form 8-K provides additional information on the impact of key variables on the EPS computation, particularly as they relate to the third fiscal quarter of 2026.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val="false"/>
          <w:sz w:val="24"/>
        </w:rPr>
      </w:pPr>
      <w:r>
        <w:rPr>
          <w:rFonts w:ascii="Times New Roman;Times;serif" w:hAnsi="Times New Roman;Times;serif"/>
          <w:b w:val="false"/>
          <w:sz w:val="24"/>
        </w:rPr>
        <w:t>Accounting principles require that EPS be computed based on the weighted average shares outstanding ("basic"), and also assuming the issuance of potentially issuable shares (such as those subject to equity awards and convertible debt) if those potentially issuable shares would reduce EPS ("diluted").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val="false"/>
          <w:sz w:val="24"/>
        </w:rPr>
      </w:pPr>
      <w:r>
        <w:rPr>
          <w:rFonts w:ascii="Times New Roman;Times;serif" w:hAnsi="Times New Roman;Times;serif"/>
          <w:b w:val="false"/>
          <w:sz w:val="24"/>
        </w:rPr>
        <w:t xml:space="preserve">The number of shares related to equity awards included in diluted EPS is based on the "Treasury Stock Method" prescribed in Financial Accounting Standards Board ("FASB") ASC Topic 260, </w:t>
      </w:r>
      <w:r>
        <w:rPr>
          <w:rFonts w:ascii="Times New Roman;Times;serif" w:hAnsi="Times New Roman;Times;serif"/>
          <w:b w:val="false"/>
          <w:i/>
          <w:sz w:val="24"/>
        </w:rPr>
        <w:t>Earnings Per Share</w:t>
      </w:r>
      <w:r>
        <w:rPr>
          <w:rFonts w:ascii="Times New Roman;Times;serif" w:hAnsi="Times New Roman;Times;serif"/>
          <w:b w:val="false"/>
          <w:sz w:val="24"/>
        </w:rPr>
        <w:t xml:space="preserve"> ("FASB ASC Topic 260").  This method assumes a theoretical repurchase of shares using the unrecognized compensation expense and any other proceeds at a price equal to the issuer's average stock price during the related earnings period.   Accordingly, the number of shares includable in the calculation of diluted EPS in respect of equity awards is dependent on this average stock price and will increase as the average stock price increases.  This method is also utilized for net share settlement debt.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val="false"/>
          <w:sz w:val="24"/>
        </w:rPr>
      </w:pPr>
      <w:r>
        <w:rPr>
          <w:rFonts w:ascii="Times New Roman;Times;serif" w:hAnsi="Times New Roman;Times;serif"/>
          <w:b w:val="false"/>
          <w:sz w:val="24"/>
        </w:rPr>
        <w:t>The number of shares includable in the calculation of diluted EPS in respect of conventional convertible or exchangeable securities is based on the "If Converted Method" prescribed in FASB ASC Topic 260.  This method assumes the conversion or exchange of these securities for shares of common stock.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val="false"/>
          <w:spacing w:val="0"/>
          <w:sz w:val="24"/>
        </w:rPr>
      </w:pPr>
      <w:r>
        <w:rPr>
          <w:rFonts w:ascii="Times New Roman;Times;serif" w:hAnsi="Times New Roman;Times;serif"/>
          <w:b w:val="false"/>
          <w:spacing w:val="0"/>
          <w:sz w:val="24"/>
        </w:rPr>
        <w:t>Pursuant to the indenture governing the senior convertible notes due 2030 (the "2030 Notes"), Vishay is required to pay the principal amount of the senior convertible debt instruments in cash. Vishay, at its option, will settle any additional value in cash, common stock, or a combination of both.</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val="false"/>
          <w:spacing w:val="0"/>
          <w:sz w:val="24"/>
        </w:rPr>
      </w:pPr>
      <w:r>
        <w:rPr>
          <w:rFonts w:ascii="Times New Roman;Times;serif" w:hAnsi="Times New Roman;Times;serif"/>
          <w:b w:val="false"/>
          <w:spacing w:val="0"/>
          <w:sz w:val="24"/>
        </w:rPr>
        <w:t>The 2030 Notes will be included in the diluted EPS computation using the "If Converted Method," but with no adjustment for interest expense.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val="false"/>
          <w:spacing w:val="0"/>
          <w:sz w:val="24"/>
        </w:rPr>
      </w:pPr>
      <w:r>
        <w:rPr>
          <w:rFonts w:ascii="Times New Roman;Times;serif" w:hAnsi="Times New Roman;Times;serif"/>
          <w:b w:val="false"/>
          <w:spacing w:val="0"/>
          <w:sz w:val="24"/>
        </w:rPr>
        <w:t>The following estimates of shares expected to be used in the calculation of diluted EPS consider the number of the Company's shares currently outstanding and the Company's convertible securities currently outstanding and their exercise and conversion features currently in effect.  The Company adjusts its calculation for the estimated effect of expected quarterly activity.  The estimates assume no share or convertible debt instrument repurchases during the third fiscal quarter of 2026.  Changes in these parameters or estimates could have a material impact on the calculation of diluted EPS.</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60" w:after="60"/>
        <w:ind w:left="0" w:right="0" w:hanging="0"/>
        <w:jc w:val="both"/>
        <w:rPr>
          <w:rFonts w:ascii="Times New Roman;Times;serif" w:hAnsi="Times New Roman;Times;serif"/>
          <w:b w:val="false"/>
          <w:sz w:val="24"/>
        </w:rPr>
      </w:pPr>
      <w:r>
        <w:rPr>
          <w:rFonts w:ascii="Times New Roman;Times;serif" w:hAnsi="Times New Roman;Times;serif"/>
          <w:b w:val="false"/>
          <w:sz w:val="24"/>
        </w:rPr>
        <w:t>The following estimates of shares expected to be used in the calculation of diluted EPS should be read in conjunction with the information on earnings per share in the Company's filings on Form 10-Q and Form 10-K.  These estimates are unaudited and are not necessarily indicative of the shares used in the diluted EPS computation for any prior period.  The estimates below are not necessarily indicative of the shares to be used in the quarterly diluted EPS computation for any period subsequent to the third fiscal quarter of 2026.  The Company assumes no duty to revise these estimates as a result of changes in the parameters on which they are based or any changes in accounting principles.  Also, the presentation is not intended as a forecast of EPS values or share prices of the Company's common stock for any period.</w:t>
      </w:r>
    </w:p>
    <w:p>
      <w:pPr>
        <w:pStyle w:val="TextBody"/>
        <w:bidi w:val="0"/>
        <w:spacing w:before="60" w:after="60"/>
        <w:ind w:left="0" w:right="0" w:hanging="0"/>
        <w:jc w:val="both"/>
        <w:rPr/>
      </w:pPr>
      <w:r>
        <w:rPr/>
        <w:t> </w:t>
      </w:r>
    </w:p>
    <w:p>
      <w:pPr>
        <w:pStyle w:val="TextBody"/>
        <w:bidi w:val="0"/>
        <w:spacing w:before="60" w:after="60"/>
        <w:ind w:left="0" w:right="0" w:hanging="0"/>
        <w:jc w:val="both"/>
        <w:rPr>
          <w:rFonts w:ascii="Times New Roman;Times;serif" w:hAnsi="Times New Roman;Times;serif"/>
          <w:b w:val="false"/>
          <w:sz w:val="24"/>
        </w:rPr>
      </w:pPr>
      <w:r>
        <w:rPr>
          <w:rFonts w:ascii="Times New Roman;Times;serif" w:hAnsi="Times New Roman;Times;serif"/>
          <w:b w:val="false"/>
          <w:sz w:val="24"/>
        </w:rPr>
        <w:t>For the third fiscal quarter of 2026:</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tcPr>
          <w:p>
            <w:pPr>
              <w:pStyle w:val="TableContents"/>
              <w:bidi w:val="0"/>
              <w:spacing w:before="0" w:after="0"/>
              <w:ind w:left="0" w:right="0" w:hanging="0"/>
              <w:jc w:val="center"/>
              <w:rPr/>
            </w:pPr>
            <w:r>
              <w:rPr/>
              <w:t>•</w:t>
            </w:r>
          </w:p>
        </w:tc>
        <w:tc>
          <w:tcPr>
            <w:tcW w:w="10051" w:type="dxa"/>
            <w:tcBorders/>
            <w:vAlign w:val="center"/>
          </w:tcPr>
          <w:p>
            <w:pPr>
              <w:pStyle w:val="TableContents"/>
              <w:bidi w:val="0"/>
              <w:spacing w:before="0" w:after="0"/>
              <w:jc w:val="left"/>
              <w:rPr/>
            </w:pPr>
            <w:r>
              <w:rPr/>
              <w:t>The Company has approximately 153 million shares issued and outstanding, including shares of common stock and class B common stock.</w:t>
            </w:r>
          </w:p>
        </w:tc>
      </w:tr>
      <w:tr>
        <w:trPr/>
        <w:tc>
          <w:tcPr>
            <w:tcW w:w="154" w:type="dxa"/>
            <w:tcBorders/>
          </w:tcPr>
          <w:p>
            <w:pPr>
              <w:pStyle w:val="TableContents"/>
              <w:bidi w:val="0"/>
              <w:spacing w:before="0" w:after="283"/>
              <w:jc w:val="center"/>
              <w:rPr/>
            </w:pPr>
            <w:r>
              <w:rPr/>
              <w:t> </w:t>
            </w:r>
          </w:p>
        </w:tc>
        <w:tc>
          <w:tcPr>
            <w:tcW w:w="10051" w:type="dxa"/>
            <w:tcBorders/>
            <w:vAlign w:val="center"/>
          </w:tcPr>
          <w:p>
            <w:pPr>
              <w:pStyle w:val="TableContents"/>
              <w:bidi w:val="0"/>
              <w:spacing w:before="0" w:after="283"/>
              <w:jc w:val="left"/>
              <w:rPr/>
            </w:pPr>
            <w:r>
              <w:rPr/>
              <w:t> </w:t>
            </w:r>
          </w:p>
        </w:tc>
      </w:tr>
      <w:tr>
        <w:trPr/>
        <w:tc>
          <w:tcPr>
            <w:tcW w:w="154" w:type="dxa"/>
            <w:tcBorders/>
          </w:tcPr>
          <w:p>
            <w:pPr>
              <w:pStyle w:val="TableContents"/>
              <w:bidi w:val="0"/>
              <w:spacing w:before="0" w:after="0"/>
              <w:ind w:left="0" w:right="0" w:hanging="0"/>
              <w:jc w:val="center"/>
              <w:rPr/>
            </w:pPr>
            <w:r>
              <w:rPr/>
              <w:t>•</w:t>
            </w:r>
          </w:p>
        </w:tc>
        <w:tc>
          <w:tcPr>
            <w:tcW w:w="10051" w:type="dxa"/>
            <w:tcBorders/>
            <w:vAlign w:val="center"/>
          </w:tcPr>
          <w:p>
            <w:pPr>
              <w:pStyle w:val="TableContents"/>
              <w:bidi w:val="0"/>
              <w:spacing w:before="0" w:after="0"/>
              <w:ind w:left="0" w:right="0" w:hanging="0"/>
              <w:jc w:val="left"/>
              <w:rPr/>
            </w:pPr>
            <w:r>
              <w:rPr/>
              <w:t>The number of shares included in diluted EPS related to restricted stock units does not vary significantly and is generally less than 5 million incremental shares.</w:t>
            </w:r>
          </w:p>
        </w:tc>
      </w:tr>
      <w:tr>
        <w:trPr/>
        <w:tc>
          <w:tcPr>
            <w:tcW w:w="154" w:type="dxa"/>
            <w:tcBorders/>
          </w:tcPr>
          <w:p>
            <w:pPr>
              <w:pStyle w:val="TableContents"/>
              <w:bidi w:val="0"/>
              <w:spacing w:before="0" w:after="283"/>
              <w:jc w:val="center"/>
              <w:rPr/>
            </w:pPr>
            <w:r>
              <w:rPr/>
              <w:t> </w:t>
            </w:r>
          </w:p>
        </w:tc>
        <w:tc>
          <w:tcPr>
            <w:tcW w:w="10051" w:type="dxa"/>
            <w:tcBorders/>
            <w:vAlign w:val="center"/>
          </w:tcPr>
          <w:p>
            <w:pPr>
              <w:pStyle w:val="TableContents"/>
              <w:bidi w:val="0"/>
              <w:spacing w:before="0" w:after="283"/>
              <w:jc w:val="left"/>
              <w:rPr/>
            </w:pPr>
            <w:r>
              <w:rPr/>
              <w:t> </w:t>
            </w:r>
          </w:p>
        </w:tc>
      </w:tr>
      <w:tr>
        <w:trPr/>
        <w:tc>
          <w:tcPr>
            <w:tcW w:w="154" w:type="dxa"/>
            <w:tcBorders/>
          </w:tcPr>
          <w:p>
            <w:pPr>
              <w:pStyle w:val="TableContents"/>
              <w:bidi w:val="0"/>
              <w:spacing w:before="0" w:after="0"/>
              <w:ind w:left="0" w:right="0" w:hanging="0"/>
              <w:jc w:val="center"/>
              <w:rPr/>
            </w:pPr>
            <w:r>
              <w:rPr/>
              <w:t>•</w:t>
            </w:r>
          </w:p>
        </w:tc>
        <w:tc>
          <w:tcPr>
            <w:tcW w:w="10051" w:type="dxa"/>
            <w:tcBorders/>
            <w:vAlign w:val="center"/>
          </w:tcPr>
          <w:p>
            <w:pPr>
              <w:pStyle w:val="TableContents"/>
              <w:bidi w:val="0"/>
              <w:spacing w:before="0" w:after="0"/>
              <w:ind w:left="0" w:right="0" w:hanging="0"/>
              <w:jc w:val="left"/>
              <w:rPr/>
            </w:pPr>
            <w:r>
              <w:rPr/>
              <w:t>The Company's Convertible Senior Notes due 2030 are convertible at a conversion price of $30.16 per $1,000 principal amount, equivalent to 33.1609 shares per $1,000 principal amount.  There is $750 million principal amount of the notes outstanding. The number of shares of common stock that Vishay will include in its diluted earnings per share computation, assuming an average market price for Vishay common stock in excess of the conversion price, will be determined in accordance with the following formula:</w:t>
            </w:r>
          </w:p>
        </w:tc>
      </w:tr>
      <w:tr>
        <w:trPr/>
        <w:tc>
          <w:tcPr>
            <w:tcW w:w="154" w:type="dxa"/>
            <w:tcBorders/>
          </w:tcPr>
          <w:p>
            <w:pPr>
              <w:pStyle w:val="TableContents"/>
              <w:bidi w:val="0"/>
              <w:spacing w:before="0" w:after="283"/>
              <w:jc w:val="center"/>
              <w:rPr/>
            </w:pPr>
            <w:r>
              <w:rPr/>
              <w:t> </w:t>
            </w:r>
          </w:p>
        </w:tc>
        <w:tc>
          <w:tcPr>
            <w:tcW w:w="10051" w:type="dxa"/>
            <w:tcBorders/>
            <w:vAlign w:val="center"/>
          </w:tcPr>
          <w:p>
            <w:pPr>
              <w:pStyle w:val="TableContents"/>
              <w:bidi w:val="0"/>
              <w:spacing w:before="0" w:after="283"/>
              <w:jc w:val="left"/>
              <w:rPr/>
            </w:pPr>
            <w:r>
              <w:rPr/>
              <w:t> </w:t>
            </w:r>
          </w:p>
        </w:tc>
      </w:tr>
      <w:tr>
        <w:trPr/>
        <w:tc>
          <w:tcPr>
            <w:tcW w:w="154" w:type="dxa"/>
            <w:tcBorders/>
          </w:tcPr>
          <w:p>
            <w:pPr>
              <w:pStyle w:val="TableContents"/>
              <w:bidi w:val="0"/>
              <w:spacing w:before="0" w:after="283"/>
              <w:jc w:val="center"/>
              <w:rPr/>
            </w:pPr>
            <w:r>
              <w:rPr/>
              <w:t> </w:t>
            </w:r>
          </w:p>
        </w:tc>
        <w:tc>
          <w:tcPr>
            <w:tcW w:w="10051" w:type="dxa"/>
            <w:tcBorders/>
            <w:vAlign w:val="center"/>
          </w:tcPr>
          <w:p>
            <w:pPr>
              <w:pStyle w:val="TableContents"/>
              <w:bidi w:val="0"/>
              <w:spacing w:before="0" w:after="0"/>
              <w:ind w:left="0" w:right="0" w:hanging="0"/>
              <w:jc w:val="left"/>
              <w:rPr/>
            </w:pPr>
            <w:r>
              <w:rPr/>
              <w:t>S = [$750,000,000 / $1000] * [(P - $30.16) * 33.1609] / P</w:t>
            </w:r>
          </w:p>
        </w:tc>
      </w:tr>
      <w:tr>
        <w:trPr/>
        <w:tc>
          <w:tcPr>
            <w:tcW w:w="154" w:type="dxa"/>
            <w:tcBorders/>
          </w:tcPr>
          <w:p>
            <w:pPr>
              <w:pStyle w:val="TableContents"/>
              <w:bidi w:val="0"/>
              <w:spacing w:before="0" w:after="283"/>
              <w:jc w:val="center"/>
              <w:rPr/>
            </w:pPr>
            <w:r>
              <w:rPr/>
              <w:t> </w:t>
            </w:r>
          </w:p>
        </w:tc>
        <w:tc>
          <w:tcPr>
            <w:tcW w:w="10051" w:type="dxa"/>
            <w:tcBorders/>
            <w:vAlign w:val="center"/>
          </w:tcPr>
          <w:p>
            <w:pPr>
              <w:pStyle w:val="TableContents"/>
              <w:bidi w:val="0"/>
              <w:spacing w:before="0" w:after="283"/>
              <w:jc w:val="left"/>
              <w:rPr/>
            </w:pPr>
            <w:r>
              <w:rPr/>
              <w:t> </w:t>
            </w:r>
          </w:p>
        </w:tc>
      </w:tr>
      <w:tr>
        <w:trPr/>
        <w:tc>
          <w:tcPr>
            <w:tcW w:w="154" w:type="dxa"/>
            <w:tcBorders/>
          </w:tcPr>
          <w:p>
            <w:pPr>
              <w:pStyle w:val="TableContents"/>
              <w:bidi w:val="0"/>
              <w:spacing w:before="0" w:after="283"/>
              <w:jc w:val="center"/>
              <w:rPr/>
            </w:pPr>
            <w:r>
              <w:rPr/>
              <w:t> </w:t>
            </w:r>
          </w:p>
        </w:tc>
        <w:tc>
          <w:tcPr>
            <w:tcW w:w="10051" w:type="dxa"/>
            <w:tcBorders/>
            <w:vAlign w:val="center"/>
          </w:tcPr>
          <w:p>
            <w:pPr>
              <w:pStyle w:val="TableContents"/>
              <w:bidi w:val="0"/>
              <w:spacing w:before="0" w:after="0"/>
              <w:ind w:left="0" w:right="0" w:hanging="0"/>
              <w:jc w:val="left"/>
              <w:rPr/>
            </w:pPr>
            <w:r>
              <w:rPr/>
              <w:t>where</w:t>
            </w:r>
          </w:p>
        </w:tc>
      </w:tr>
      <w:tr>
        <w:trPr/>
        <w:tc>
          <w:tcPr>
            <w:tcW w:w="154" w:type="dxa"/>
            <w:tcBorders/>
          </w:tcPr>
          <w:p>
            <w:pPr>
              <w:pStyle w:val="TableContents"/>
              <w:bidi w:val="0"/>
              <w:spacing w:before="0" w:after="283"/>
              <w:jc w:val="center"/>
              <w:rPr/>
            </w:pPr>
            <w:r>
              <w:rPr/>
              <w:t> </w:t>
            </w:r>
          </w:p>
        </w:tc>
        <w:tc>
          <w:tcPr>
            <w:tcW w:w="10051" w:type="dxa"/>
            <w:tcBorders/>
            <w:vAlign w:val="center"/>
          </w:tcPr>
          <w:p>
            <w:pPr>
              <w:pStyle w:val="TableContents"/>
              <w:bidi w:val="0"/>
              <w:spacing w:before="0" w:after="283"/>
              <w:jc w:val="left"/>
              <w:rPr/>
            </w:pPr>
            <w:r>
              <w:rPr/>
              <w:t> </w:t>
            </w:r>
          </w:p>
        </w:tc>
      </w:tr>
      <w:tr>
        <w:trPr/>
        <w:tc>
          <w:tcPr>
            <w:tcW w:w="154" w:type="dxa"/>
            <w:tcBorders/>
          </w:tcPr>
          <w:p>
            <w:pPr>
              <w:pStyle w:val="TableContents"/>
              <w:bidi w:val="0"/>
              <w:spacing w:before="0" w:after="283"/>
              <w:jc w:val="center"/>
              <w:rPr/>
            </w:pPr>
            <w:r>
              <w:rPr/>
              <w:t> </w:t>
            </w:r>
          </w:p>
        </w:tc>
        <w:tc>
          <w:tcPr>
            <w:tcW w:w="10051" w:type="dxa"/>
            <w:tcBorders/>
            <w:vAlign w:val="center"/>
          </w:tcPr>
          <w:p>
            <w:pPr>
              <w:pStyle w:val="TableContents"/>
              <w:bidi w:val="0"/>
              <w:spacing w:before="0" w:after="0"/>
              <w:ind w:left="0" w:right="0" w:hanging="0"/>
              <w:jc w:val="left"/>
              <w:rPr/>
            </w:pPr>
            <w:r>
              <w:rPr/>
              <w:t xml:space="preserve">S = the number of shares to be included in diluted EPS, and </w:t>
            </w:r>
          </w:p>
        </w:tc>
      </w:tr>
      <w:tr>
        <w:trPr/>
        <w:tc>
          <w:tcPr>
            <w:tcW w:w="154" w:type="dxa"/>
            <w:tcBorders/>
          </w:tcPr>
          <w:p>
            <w:pPr>
              <w:pStyle w:val="TableContents"/>
              <w:bidi w:val="0"/>
              <w:spacing w:before="0" w:after="283"/>
              <w:jc w:val="center"/>
              <w:rPr/>
            </w:pPr>
            <w:r>
              <w:rPr/>
              <w:t> </w:t>
            </w:r>
          </w:p>
        </w:tc>
        <w:tc>
          <w:tcPr>
            <w:tcW w:w="10051" w:type="dxa"/>
            <w:tcBorders/>
            <w:vAlign w:val="center"/>
          </w:tcPr>
          <w:p>
            <w:pPr>
              <w:pStyle w:val="TableContents"/>
              <w:bidi w:val="0"/>
              <w:spacing w:before="0" w:after="0"/>
              <w:ind w:left="0" w:right="0" w:hanging="0"/>
              <w:jc w:val="left"/>
              <w:rPr/>
            </w:pPr>
            <w:r>
              <w:rPr/>
              <w:t>P = the average market price of Vishay common stock for the quarter.</w:t>
            </w:r>
          </w:p>
        </w:tc>
      </w:tr>
      <w:tr>
        <w:trPr/>
        <w:tc>
          <w:tcPr>
            <w:tcW w:w="154" w:type="dxa"/>
            <w:tcBorders/>
          </w:tcPr>
          <w:p>
            <w:pPr>
              <w:pStyle w:val="TableContents"/>
              <w:bidi w:val="0"/>
              <w:spacing w:before="0" w:after="283"/>
              <w:jc w:val="center"/>
              <w:rPr/>
            </w:pPr>
            <w:r>
              <w:rPr/>
              <w:t> </w:t>
            </w:r>
          </w:p>
        </w:tc>
        <w:tc>
          <w:tcPr>
            <w:tcW w:w="10051" w:type="dxa"/>
            <w:tcBorders/>
            <w:vAlign w:val="center"/>
          </w:tcPr>
          <w:p>
            <w:pPr>
              <w:pStyle w:val="TableContents"/>
              <w:bidi w:val="0"/>
              <w:spacing w:before="0" w:after="283"/>
              <w:jc w:val="left"/>
              <w:rPr/>
            </w:pPr>
            <w:r>
              <w:rPr/>
              <w:t> </w:t>
            </w:r>
          </w:p>
        </w:tc>
      </w:tr>
      <w:tr>
        <w:trPr/>
        <w:tc>
          <w:tcPr>
            <w:tcW w:w="154" w:type="dxa"/>
            <w:tcBorders/>
          </w:tcPr>
          <w:p>
            <w:pPr>
              <w:pStyle w:val="TableContents"/>
              <w:bidi w:val="0"/>
              <w:spacing w:before="0" w:after="283"/>
              <w:jc w:val="center"/>
              <w:rPr/>
            </w:pPr>
            <w:r>
              <w:rPr/>
              <w:t> </w:t>
            </w:r>
          </w:p>
        </w:tc>
        <w:tc>
          <w:tcPr>
            <w:tcW w:w="10051" w:type="dxa"/>
            <w:tcBorders/>
            <w:vAlign w:val="center"/>
          </w:tcPr>
          <w:p>
            <w:pPr>
              <w:pStyle w:val="TableContents"/>
              <w:bidi w:val="0"/>
              <w:spacing w:before="0" w:after="0"/>
              <w:ind w:left="0" w:right="0" w:hanging="0"/>
              <w:jc w:val="left"/>
              <w:rPr/>
            </w:pPr>
            <w:r>
              <w:rPr/>
              <w:t>If the average market price is less than $30.16, no shares will be included in the diluted earnings per share computation.</w:t>
            </w:r>
          </w:p>
        </w:tc>
      </w:tr>
    </w:tbl>
    <w:p>
      <w:pPr>
        <w:pStyle w:val="TextBody"/>
        <w:bidi w:val="0"/>
        <w:spacing w:before="0" w:after="60"/>
        <w:ind w:left="0" w:right="0" w:hanging="0"/>
        <w:jc w:val="both"/>
        <w:rPr/>
      </w:pPr>
      <w:r>
        <w:rPr/>
        <w:t xml:space="preserve">  </w:t>
      </w:r>
    </w:p>
    <w:p>
      <w:pPr>
        <w:pStyle w:val="TextBody"/>
        <w:bidi w:val="0"/>
        <w:spacing w:before="60" w:after="60"/>
        <w:ind w:left="0" w:right="0" w:hanging="0"/>
        <w:jc w:val="both"/>
        <w:rPr/>
      </w:pPr>
      <w:r>
        <w:rPr/>
        <w:t> </w:t>
      </w:r>
    </w:p>
    <w:p>
      <w:pPr>
        <w:pStyle w:val="TextBody"/>
        <w:bidi w:val="0"/>
        <w:spacing w:before="60" w:after="60"/>
        <w:ind w:left="0" w:right="0" w:hanging="0"/>
        <w:jc w:val="both"/>
        <w:rPr>
          <w:rFonts w:ascii="Times New Roman;Times;serif" w:hAnsi="Times New Roman;Times;serif"/>
          <w:b w:val="false"/>
          <w:sz w:val="24"/>
        </w:rPr>
      </w:pPr>
      <w:r>
        <w:rPr>
          <w:rFonts w:ascii="Times New Roman;Times;serif" w:hAnsi="Times New Roman;Times;serif"/>
          <w:b w:val="false"/>
          <w:sz w:val="24"/>
        </w:rPr>
        <w:t xml:space="preserve">Accordingly, the following table summarizes the approximate number of shares to be included in the denominator of the diluted EPS calculation assuming net earnings attributable to Vishay stockholders for various average stock prices </w:t>
      </w:r>
      <w:r>
        <w:rPr>
          <w:rFonts w:ascii="Times New Roman;Times;serif" w:hAnsi="Times New Roman;Times;serif"/>
          <w:b w:val="false"/>
          <w:i/>
          <w:sz w:val="24"/>
        </w:rPr>
        <w:t>(number of shares in millions)</w:t>
      </w:r>
      <w:r>
        <w:rPr>
          <w:rFonts w:ascii="Times New Roman;Times;serif" w:hAnsi="Times New Roman;Times;serif"/>
          <w:b w:val="false"/>
          <w:sz w:val="24"/>
        </w:rPr>
        <w:t>:</w:t>
      </w:r>
    </w:p>
    <w:p>
      <w:pPr>
        <w:pStyle w:val="TextBody"/>
        <w:bidi w:val="0"/>
        <w:spacing w:before="60" w:after="60"/>
        <w:ind w:left="0" w:right="0" w:hanging="0"/>
        <w:jc w:val="both"/>
        <w:rPr/>
      </w:pPr>
      <w:r>
        <w:rPr/>
        <w:t> </w:t>
      </w:r>
    </w:p>
    <w:tbl>
      <w:tblPr>
        <w:tblW w:w="5000" w:type="pct"/>
        <w:jc w:val="left"/>
        <w:tblInd w:w="0" w:type="dxa"/>
        <w:tblLayout w:type="fixed"/>
        <w:tblCellMar>
          <w:top w:w="0" w:type="dxa"/>
          <w:left w:w="0" w:type="dxa"/>
          <w:bottom w:w="28" w:type="dxa"/>
          <w:right w:w="0" w:type="dxa"/>
        </w:tblCellMar>
      </w:tblPr>
      <w:tblGrid>
        <w:gridCol w:w="955"/>
        <w:gridCol w:w="351"/>
        <w:gridCol w:w="351"/>
        <w:gridCol w:w="2830"/>
        <w:gridCol w:w="189"/>
        <w:gridCol w:w="682"/>
        <w:gridCol w:w="681"/>
        <w:gridCol w:w="682"/>
        <w:gridCol w:w="3484"/>
      </w:tblGrid>
      <w:tr>
        <w:trPr/>
        <w:tc>
          <w:tcPr>
            <w:tcW w:w="4487" w:type="dxa"/>
            <w:gridSpan w:val="4"/>
            <w:tcBorders>
              <w:bottom w:val="single" w:sz="12" w:space="0" w:color="000000"/>
            </w:tcBorders>
            <w:vAlign w:val="bottom"/>
          </w:tcPr>
          <w:p>
            <w:pPr>
              <w:pStyle w:val="TableContents"/>
              <w:bidi w:val="0"/>
              <w:spacing w:before="0" w:after="0"/>
              <w:ind w:left="0" w:right="0" w:hanging="0"/>
              <w:jc w:val="center"/>
              <w:rPr>
                <w:b/>
              </w:rPr>
            </w:pPr>
            <w:r>
              <w:rPr>
                <w:b/>
              </w:rPr>
              <w:t>Average Stock Price</w:t>
            </w:r>
          </w:p>
        </w:tc>
        <w:tc>
          <w:tcPr>
            <w:tcW w:w="189" w:type="dxa"/>
            <w:tcBorders/>
            <w:tcMar>
              <w:bottom w:w="0" w:type="dxa"/>
            </w:tcMar>
            <w:vAlign w:val="center"/>
          </w:tcPr>
          <w:p>
            <w:pPr>
              <w:pStyle w:val="TableContents"/>
              <w:bidi w:val="0"/>
              <w:spacing w:before="0" w:after="283"/>
              <w:jc w:val="left"/>
              <w:rPr/>
            </w:pPr>
            <w:r>
              <w:rPr/>
              <w:t> </w:t>
            </w:r>
          </w:p>
        </w:tc>
        <w:tc>
          <w:tcPr>
            <w:tcW w:w="5529" w:type="dxa"/>
            <w:gridSpan w:val="4"/>
            <w:tcBorders>
              <w:bottom w:val="single" w:sz="12" w:space="0" w:color="000000"/>
            </w:tcBorders>
            <w:vAlign w:val="bottom"/>
          </w:tcPr>
          <w:p>
            <w:pPr>
              <w:pStyle w:val="TableContents"/>
              <w:bidi w:val="0"/>
              <w:spacing w:before="0" w:after="0"/>
              <w:ind w:left="0" w:right="0" w:hanging="0"/>
              <w:jc w:val="center"/>
              <w:rPr>
                <w:b/>
              </w:rPr>
            </w:pPr>
            <w:r>
              <w:rPr>
                <w:b/>
              </w:rPr>
              <w:t>Projected Diluted Shares</w:t>
            </w:r>
          </w:p>
        </w:tc>
      </w:tr>
      <w:tr>
        <w:trPr/>
        <w:tc>
          <w:tcPr>
            <w:tcW w:w="955" w:type="dxa"/>
            <w:tcBorders/>
            <w:shd w:fill="CCEEFF" w:val="clear"/>
            <w:tcMar>
              <w:bottom w:w="0" w:type="dxa"/>
            </w:tcMar>
            <w:vAlign w:val="center"/>
          </w:tcPr>
          <w:p>
            <w:pPr>
              <w:pStyle w:val="TableContents"/>
              <w:bidi w:val="0"/>
              <w:spacing w:before="0" w:after="0"/>
              <w:ind w:left="0" w:right="0" w:hanging="0"/>
              <w:jc w:val="left"/>
              <w:rPr/>
            </w:pPr>
            <w:r>
              <w:rPr/>
              <w:t xml:space="preserve">$ </w:t>
            </w:r>
          </w:p>
        </w:tc>
        <w:tc>
          <w:tcPr>
            <w:tcW w:w="351" w:type="dxa"/>
            <w:tcBorders/>
            <w:shd w:fill="CCEEFF" w:val="clear"/>
            <w:tcMar>
              <w:bottom w:w="0" w:type="dxa"/>
            </w:tcMar>
            <w:vAlign w:val="center"/>
          </w:tcPr>
          <w:p>
            <w:pPr>
              <w:pStyle w:val="TableContents"/>
              <w:bidi w:val="0"/>
              <w:spacing w:before="0" w:after="283"/>
              <w:jc w:val="left"/>
              <w:rPr/>
            </w:pPr>
            <w:r>
              <w:rPr/>
              <w:t> </w:t>
            </w:r>
          </w:p>
        </w:tc>
        <w:tc>
          <w:tcPr>
            <w:tcW w:w="351" w:type="dxa"/>
            <w:tcBorders/>
            <w:shd w:fill="CCEEFF" w:val="clear"/>
            <w:tcMar>
              <w:bottom w:w="0" w:type="dxa"/>
            </w:tcMar>
            <w:vAlign w:val="center"/>
          </w:tcPr>
          <w:p>
            <w:pPr>
              <w:pStyle w:val="TableContents"/>
              <w:bidi w:val="0"/>
              <w:spacing w:before="0" w:after="283"/>
              <w:jc w:val="left"/>
              <w:rPr/>
            </w:pPr>
            <w:r>
              <w:rPr/>
              <w:t> </w:t>
            </w:r>
          </w:p>
        </w:tc>
        <w:tc>
          <w:tcPr>
            <w:tcW w:w="2830" w:type="dxa"/>
            <w:tcBorders/>
            <w:shd w:fill="CCEEFF" w:val="clear"/>
            <w:tcMar>
              <w:bottom w:w="0" w:type="dxa"/>
            </w:tcMar>
          </w:tcPr>
          <w:p>
            <w:pPr>
              <w:pStyle w:val="TableContents"/>
              <w:bidi w:val="0"/>
              <w:spacing w:before="0" w:after="0"/>
              <w:ind w:left="0" w:right="0" w:hanging="0"/>
              <w:jc w:val="right"/>
              <w:rPr/>
            </w:pPr>
            <w:r>
              <w:rPr/>
              <w:t>&lt;30.16</w:t>
            </w:r>
          </w:p>
        </w:tc>
        <w:tc>
          <w:tcPr>
            <w:tcW w:w="189"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left"/>
              <w:rPr/>
            </w:pPr>
            <w:r>
              <w:rPr/>
              <w:t> </w:t>
            </w:r>
          </w:p>
        </w:tc>
        <w:tc>
          <w:tcPr>
            <w:tcW w:w="3484" w:type="dxa"/>
            <w:tcBorders/>
            <w:shd w:fill="CCEEFF" w:val="clear"/>
            <w:tcMar>
              <w:bottom w:w="0" w:type="dxa"/>
            </w:tcMar>
          </w:tcPr>
          <w:p>
            <w:pPr>
              <w:pStyle w:val="TableContents"/>
              <w:bidi w:val="0"/>
              <w:spacing w:before="0" w:after="0"/>
              <w:ind w:left="0" w:right="0" w:hanging="0"/>
              <w:jc w:val="right"/>
              <w:rPr/>
            </w:pPr>
            <w:r>
              <w:rPr/>
              <w:t>157</w:t>
            </w:r>
          </w:p>
        </w:tc>
      </w:tr>
      <w:tr>
        <w:trPr/>
        <w:tc>
          <w:tcPr>
            <w:tcW w:w="955" w:type="dxa"/>
            <w:tcBorders/>
            <w:tcMar>
              <w:bottom w:w="0" w:type="dxa"/>
            </w:tcMar>
            <w:vAlign w:val="center"/>
          </w:tcPr>
          <w:p>
            <w:pPr>
              <w:pStyle w:val="TableContents"/>
              <w:bidi w:val="0"/>
              <w:spacing w:before="0" w:after="283"/>
              <w:jc w:val="left"/>
              <w:rPr/>
            </w:pPr>
            <w:r>
              <w:rPr/>
              <w:t>$</w:t>
            </w:r>
          </w:p>
        </w:tc>
        <w:tc>
          <w:tcPr>
            <w:tcW w:w="351" w:type="dxa"/>
            <w:tcBorders/>
            <w:tcMar>
              <w:bottom w:w="0" w:type="dxa"/>
            </w:tcMar>
            <w:vAlign w:val="center"/>
          </w:tcPr>
          <w:p>
            <w:pPr>
              <w:pStyle w:val="TableContents"/>
              <w:bidi w:val="0"/>
              <w:spacing w:before="0" w:after="283"/>
              <w:jc w:val="left"/>
              <w:rPr/>
            </w:pPr>
            <w:r>
              <w:rPr/>
              <w:t> </w:t>
            </w:r>
          </w:p>
        </w:tc>
        <w:tc>
          <w:tcPr>
            <w:tcW w:w="351" w:type="dxa"/>
            <w:tcBorders/>
            <w:tcMar>
              <w:bottom w:w="0" w:type="dxa"/>
            </w:tcMar>
            <w:vAlign w:val="center"/>
          </w:tcPr>
          <w:p>
            <w:pPr>
              <w:pStyle w:val="TableContents"/>
              <w:bidi w:val="0"/>
              <w:spacing w:before="0" w:after="283"/>
              <w:jc w:val="left"/>
              <w:rPr/>
            </w:pPr>
            <w:r>
              <w:rPr/>
              <w:t> </w:t>
            </w:r>
          </w:p>
        </w:tc>
        <w:tc>
          <w:tcPr>
            <w:tcW w:w="2830" w:type="dxa"/>
            <w:tcBorders/>
            <w:tcMar>
              <w:bottom w:w="0" w:type="dxa"/>
            </w:tcMar>
          </w:tcPr>
          <w:p>
            <w:pPr>
              <w:pStyle w:val="TableContents"/>
              <w:bidi w:val="0"/>
              <w:spacing w:before="0" w:after="283"/>
              <w:jc w:val="right"/>
              <w:rPr/>
            </w:pPr>
            <w:r>
              <w:rPr/>
              <w:t>35.00</w:t>
            </w:r>
          </w:p>
        </w:tc>
        <w:tc>
          <w:tcPr>
            <w:tcW w:w="189" w:type="dxa"/>
            <w:tcBorders/>
            <w:tcMar>
              <w:bottom w:w="0" w:type="dxa"/>
            </w:tcMar>
            <w:vAlign w:val="center"/>
          </w:tcPr>
          <w:p>
            <w:pPr>
              <w:pStyle w:val="TableContents"/>
              <w:bidi w:val="0"/>
              <w:spacing w:before="0" w:after="283"/>
              <w:jc w:val="left"/>
              <w:rPr/>
            </w:pPr>
            <w:r>
              <w:rPr/>
              <w:t> </w:t>
            </w:r>
          </w:p>
        </w:tc>
        <w:tc>
          <w:tcPr>
            <w:tcW w:w="682" w:type="dxa"/>
            <w:tcBorders/>
            <w:tcMar>
              <w:bottom w:w="0" w:type="dxa"/>
            </w:tcMar>
            <w:vAlign w:val="center"/>
          </w:tcPr>
          <w:p>
            <w:pPr>
              <w:pStyle w:val="TableContents"/>
              <w:bidi w:val="0"/>
              <w:spacing w:before="0" w:after="283"/>
              <w:jc w:val="left"/>
              <w:rPr/>
            </w:pPr>
            <w:r>
              <w:rPr/>
              <w:t> </w:t>
            </w:r>
          </w:p>
        </w:tc>
        <w:tc>
          <w:tcPr>
            <w:tcW w:w="681" w:type="dxa"/>
            <w:tcBorders/>
            <w:tcMar>
              <w:bottom w:w="0" w:type="dxa"/>
            </w:tcMar>
            <w:vAlign w:val="center"/>
          </w:tcPr>
          <w:p>
            <w:pPr>
              <w:pStyle w:val="TableContents"/>
              <w:bidi w:val="0"/>
              <w:spacing w:before="0" w:after="283"/>
              <w:jc w:val="left"/>
              <w:rPr/>
            </w:pPr>
            <w:r>
              <w:rPr/>
              <w:t> </w:t>
            </w:r>
          </w:p>
        </w:tc>
        <w:tc>
          <w:tcPr>
            <w:tcW w:w="682" w:type="dxa"/>
            <w:tcBorders/>
            <w:tcMar>
              <w:bottom w:w="0" w:type="dxa"/>
            </w:tcMar>
            <w:vAlign w:val="center"/>
          </w:tcPr>
          <w:p>
            <w:pPr>
              <w:pStyle w:val="TableContents"/>
              <w:bidi w:val="0"/>
              <w:spacing w:before="0" w:after="283"/>
              <w:jc w:val="left"/>
              <w:rPr/>
            </w:pPr>
            <w:r>
              <w:rPr/>
              <w:t> </w:t>
            </w:r>
          </w:p>
        </w:tc>
        <w:tc>
          <w:tcPr>
            <w:tcW w:w="3484" w:type="dxa"/>
            <w:tcBorders/>
            <w:tcMar>
              <w:bottom w:w="0" w:type="dxa"/>
            </w:tcMar>
          </w:tcPr>
          <w:p>
            <w:pPr>
              <w:pStyle w:val="TableContents"/>
              <w:bidi w:val="0"/>
              <w:spacing w:before="0" w:after="283"/>
              <w:jc w:val="right"/>
              <w:rPr/>
            </w:pPr>
            <w:r>
              <w:rPr/>
              <w:t>161</w:t>
            </w:r>
          </w:p>
        </w:tc>
      </w:tr>
      <w:tr>
        <w:trPr/>
        <w:tc>
          <w:tcPr>
            <w:tcW w:w="955" w:type="dxa"/>
            <w:tcBorders/>
            <w:shd w:fill="CCEEFF" w:val="clear"/>
            <w:tcMar>
              <w:bottom w:w="0" w:type="dxa"/>
            </w:tcMar>
            <w:vAlign w:val="center"/>
          </w:tcPr>
          <w:p>
            <w:pPr>
              <w:pStyle w:val="TableContents"/>
              <w:bidi w:val="0"/>
              <w:spacing w:before="0" w:after="283"/>
              <w:jc w:val="left"/>
              <w:rPr/>
            </w:pPr>
            <w:r>
              <w:rPr/>
              <w:t>$</w:t>
            </w:r>
          </w:p>
        </w:tc>
        <w:tc>
          <w:tcPr>
            <w:tcW w:w="351" w:type="dxa"/>
            <w:tcBorders/>
            <w:shd w:fill="CCEEFF" w:val="clear"/>
            <w:tcMar>
              <w:bottom w:w="0" w:type="dxa"/>
            </w:tcMar>
            <w:vAlign w:val="center"/>
          </w:tcPr>
          <w:p>
            <w:pPr>
              <w:pStyle w:val="TableContents"/>
              <w:bidi w:val="0"/>
              <w:spacing w:before="0" w:after="283"/>
              <w:jc w:val="left"/>
              <w:rPr/>
            </w:pPr>
            <w:r>
              <w:rPr/>
              <w:t> </w:t>
            </w:r>
          </w:p>
        </w:tc>
        <w:tc>
          <w:tcPr>
            <w:tcW w:w="351" w:type="dxa"/>
            <w:tcBorders/>
            <w:shd w:fill="CCEEFF" w:val="clear"/>
            <w:tcMar>
              <w:bottom w:w="0" w:type="dxa"/>
            </w:tcMar>
            <w:vAlign w:val="center"/>
          </w:tcPr>
          <w:p>
            <w:pPr>
              <w:pStyle w:val="TableContents"/>
              <w:bidi w:val="0"/>
              <w:spacing w:before="0" w:after="283"/>
              <w:jc w:val="left"/>
              <w:rPr/>
            </w:pPr>
            <w:r>
              <w:rPr/>
              <w:t> </w:t>
            </w:r>
          </w:p>
        </w:tc>
        <w:tc>
          <w:tcPr>
            <w:tcW w:w="2830" w:type="dxa"/>
            <w:tcBorders/>
            <w:shd w:fill="CCEEFF" w:val="clear"/>
            <w:tcMar>
              <w:bottom w:w="0" w:type="dxa"/>
            </w:tcMar>
          </w:tcPr>
          <w:p>
            <w:pPr>
              <w:pStyle w:val="TableContents"/>
              <w:bidi w:val="0"/>
              <w:spacing w:before="0" w:after="283"/>
              <w:jc w:val="right"/>
              <w:rPr/>
            </w:pPr>
            <w:r>
              <w:rPr/>
              <w:t>40.00</w:t>
            </w:r>
          </w:p>
        </w:tc>
        <w:tc>
          <w:tcPr>
            <w:tcW w:w="189"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left"/>
              <w:rPr/>
            </w:pPr>
            <w:r>
              <w:rPr/>
              <w:t> </w:t>
            </w:r>
          </w:p>
        </w:tc>
        <w:tc>
          <w:tcPr>
            <w:tcW w:w="3484" w:type="dxa"/>
            <w:tcBorders/>
            <w:shd w:fill="CCEEFF" w:val="clear"/>
            <w:tcMar>
              <w:bottom w:w="0" w:type="dxa"/>
            </w:tcMar>
          </w:tcPr>
          <w:p>
            <w:pPr>
              <w:pStyle w:val="TableContents"/>
              <w:bidi w:val="0"/>
              <w:spacing w:before="0" w:after="283"/>
              <w:jc w:val="right"/>
              <w:rPr/>
            </w:pPr>
            <w:r>
              <w:rPr/>
              <w:t>164</w:t>
            </w:r>
          </w:p>
        </w:tc>
      </w:tr>
      <w:tr>
        <w:trPr/>
        <w:tc>
          <w:tcPr>
            <w:tcW w:w="955" w:type="dxa"/>
            <w:tcBorders/>
            <w:tcMar>
              <w:bottom w:w="0" w:type="dxa"/>
            </w:tcMar>
            <w:vAlign w:val="center"/>
          </w:tcPr>
          <w:p>
            <w:pPr>
              <w:pStyle w:val="TableContents"/>
              <w:bidi w:val="0"/>
              <w:spacing w:before="0" w:after="283"/>
              <w:jc w:val="left"/>
              <w:rPr/>
            </w:pPr>
            <w:r>
              <w:rPr/>
              <w:t>$</w:t>
            </w:r>
          </w:p>
        </w:tc>
        <w:tc>
          <w:tcPr>
            <w:tcW w:w="351" w:type="dxa"/>
            <w:tcBorders/>
            <w:tcMar>
              <w:bottom w:w="0" w:type="dxa"/>
            </w:tcMar>
            <w:vAlign w:val="center"/>
          </w:tcPr>
          <w:p>
            <w:pPr>
              <w:pStyle w:val="TableContents"/>
              <w:bidi w:val="0"/>
              <w:spacing w:before="0" w:after="283"/>
              <w:jc w:val="left"/>
              <w:rPr/>
            </w:pPr>
            <w:r>
              <w:rPr/>
              <w:t> </w:t>
            </w:r>
          </w:p>
        </w:tc>
        <w:tc>
          <w:tcPr>
            <w:tcW w:w="351" w:type="dxa"/>
            <w:tcBorders/>
            <w:tcMar>
              <w:bottom w:w="0" w:type="dxa"/>
            </w:tcMar>
            <w:vAlign w:val="center"/>
          </w:tcPr>
          <w:p>
            <w:pPr>
              <w:pStyle w:val="TableContents"/>
              <w:bidi w:val="0"/>
              <w:spacing w:before="0" w:after="283"/>
              <w:jc w:val="left"/>
              <w:rPr/>
            </w:pPr>
            <w:r>
              <w:rPr/>
              <w:t> </w:t>
            </w:r>
          </w:p>
        </w:tc>
        <w:tc>
          <w:tcPr>
            <w:tcW w:w="2830" w:type="dxa"/>
            <w:tcBorders/>
            <w:tcMar>
              <w:bottom w:w="0" w:type="dxa"/>
            </w:tcMar>
          </w:tcPr>
          <w:p>
            <w:pPr>
              <w:pStyle w:val="TableContents"/>
              <w:bidi w:val="0"/>
              <w:spacing w:before="0" w:after="283"/>
              <w:jc w:val="right"/>
              <w:rPr/>
            </w:pPr>
            <w:r>
              <w:rPr/>
              <w:t>45.00</w:t>
            </w:r>
          </w:p>
        </w:tc>
        <w:tc>
          <w:tcPr>
            <w:tcW w:w="189" w:type="dxa"/>
            <w:tcBorders/>
            <w:tcMar>
              <w:bottom w:w="0" w:type="dxa"/>
            </w:tcMar>
            <w:vAlign w:val="center"/>
          </w:tcPr>
          <w:p>
            <w:pPr>
              <w:pStyle w:val="TableContents"/>
              <w:bidi w:val="0"/>
              <w:spacing w:before="0" w:after="283"/>
              <w:jc w:val="left"/>
              <w:rPr/>
            </w:pPr>
            <w:r>
              <w:rPr/>
              <w:t> </w:t>
            </w:r>
          </w:p>
        </w:tc>
        <w:tc>
          <w:tcPr>
            <w:tcW w:w="682" w:type="dxa"/>
            <w:tcBorders/>
            <w:tcMar>
              <w:bottom w:w="0" w:type="dxa"/>
            </w:tcMar>
            <w:vAlign w:val="center"/>
          </w:tcPr>
          <w:p>
            <w:pPr>
              <w:pStyle w:val="TableContents"/>
              <w:bidi w:val="0"/>
              <w:spacing w:before="0" w:after="283"/>
              <w:jc w:val="left"/>
              <w:rPr/>
            </w:pPr>
            <w:r>
              <w:rPr/>
              <w:t> </w:t>
            </w:r>
          </w:p>
        </w:tc>
        <w:tc>
          <w:tcPr>
            <w:tcW w:w="681" w:type="dxa"/>
            <w:tcBorders/>
            <w:tcMar>
              <w:bottom w:w="0" w:type="dxa"/>
            </w:tcMar>
            <w:vAlign w:val="center"/>
          </w:tcPr>
          <w:p>
            <w:pPr>
              <w:pStyle w:val="TableContents"/>
              <w:bidi w:val="0"/>
              <w:spacing w:before="0" w:after="283"/>
              <w:jc w:val="left"/>
              <w:rPr/>
            </w:pPr>
            <w:r>
              <w:rPr/>
              <w:t> </w:t>
            </w:r>
          </w:p>
        </w:tc>
        <w:tc>
          <w:tcPr>
            <w:tcW w:w="682" w:type="dxa"/>
            <w:tcBorders/>
            <w:tcMar>
              <w:bottom w:w="0" w:type="dxa"/>
            </w:tcMar>
            <w:vAlign w:val="center"/>
          </w:tcPr>
          <w:p>
            <w:pPr>
              <w:pStyle w:val="TableContents"/>
              <w:bidi w:val="0"/>
              <w:spacing w:before="0" w:after="283"/>
              <w:jc w:val="left"/>
              <w:rPr/>
            </w:pPr>
            <w:r>
              <w:rPr/>
              <w:t> </w:t>
            </w:r>
          </w:p>
        </w:tc>
        <w:tc>
          <w:tcPr>
            <w:tcW w:w="3484" w:type="dxa"/>
            <w:tcBorders/>
            <w:tcMar>
              <w:bottom w:w="0" w:type="dxa"/>
            </w:tcMar>
          </w:tcPr>
          <w:p>
            <w:pPr>
              <w:pStyle w:val="TableContents"/>
              <w:bidi w:val="0"/>
              <w:spacing w:before="0" w:after="283"/>
              <w:jc w:val="right"/>
              <w:rPr/>
            </w:pPr>
            <w:r>
              <w:rPr/>
              <w:t>166</w:t>
            </w:r>
          </w:p>
        </w:tc>
      </w:tr>
      <w:tr>
        <w:trPr/>
        <w:tc>
          <w:tcPr>
            <w:tcW w:w="955" w:type="dxa"/>
            <w:tcBorders/>
            <w:shd w:fill="CCEEFF" w:val="clear"/>
            <w:tcMar>
              <w:bottom w:w="0" w:type="dxa"/>
            </w:tcMar>
            <w:vAlign w:val="center"/>
          </w:tcPr>
          <w:p>
            <w:pPr>
              <w:pStyle w:val="TableContents"/>
              <w:bidi w:val="0"/>
              <w:spacing w:before="0" w:after="0"/>
              <w:ind w:left="0" w:right="0" w:hanging="0"/>
              <w:jc w:val="left"/>
              <w:rPr/>
            </w:pPr>
            <w:r>
              <w:rPr/>
              <w:t>$</w:t>
            </w:r>
          </w:p>
        </w:tc>
        <w:tc>
          <w:tcPr>
            <w:tcW w:w="351" w:type="dxa"/>
            <w:tcBorders/>
            <w:shd w:fill="CCEEFF" w:val="clear"/>
            <w:tcMar>
              <w:bottom w:w="0" w:type="dxa"/>
            </w:tcMar>
            <w:vAlign w:val="center"/>
          </w:tcPr>
          <w:p>
            <w:pPr>
              <w:pStyle w:val="TableContents"/>
              <w:bidi w:val="0"/>
              <w:spacing w:before="0" w:after="283"/>
              <w:jc w:val="left"/>
              <w:rPr/>
            </w:pPr>
            <w:r>
              <w:rPr/>
              <w:t> </w:t>
            </w:r>
          </w:p>
        </w:tc>
        <w:tc>
          <w:tcPr>
            <w:tcW w:w="351" w:type="dxa"/>
            <w:tcBorders/>
            <w:shd w:fill="CCEEFF" w:val="clear"/>
            <w:tcMar>
              <w:bottom w:w="0" w:type="dxa"/>
            </w:tcMar>
            <w:vAlign w:val="center"/>
          </w:tcPr>
          <w:p>
            <w:pPr>
              <w:pStyle w:val="TableContents"/>
              <w:bidi w:val="0"/>
              <w:spacing w:before="0" w:after="283"/>
              <w:jc w:val="left"/>
              <w:rPr/>
            </w:pPr>
            <w:r>
              <w:rPr/>
              <w:t> </w:t>
            </w:r>
          </w:p>
        </w:tc>
        <w:tc>
          <w:tcPr>
            <w:tcW w:w="2830" w:type="dxa"/>
            <w:tcBorders/>
            <w:shd w:fill="CCEEFF" w:val="clear"/>
            <w:tcMar>
              <w:bottom w:w="0" w:type="dxa"/>
            </w:tcMar>
          </w:tcPr>
          <w:p>
            <w:pPr>
              <w:pStyle w:val="TableContents"/>
              <w:bidi w:val="0"/>
              <w:spacing w:before="0" w:after="0"/>
              <w:ind w:left="0" w:right="0" w:hanging="0"/>
              <w:jc w:val="right"/>
              <w:rPr/>
            </w:pPr>
            <w:r>
              <w:rPr/>
              <w:t>50.00</w:t>
            </w:r>
          </w:p>
        </w:tc>
        <w:tc>
          <w:tcPr>
            <w:tcW w:w="189"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left"/>
              <w:rPr/>
            </w:pPr>
            <w:r>
              <w:rPr/>
              <w:t> </w:t>
            </w:r>
          </w:p>
        </w:tc>
        <w:tc>
          <w:tcPr>
            <w:tcW w:w="3484" w:type="dxa"/>
            <w:tcBorders/>
            <w:shd w:fill="CCEEFF" w:val="clear"/>
            <w:tcMar>
              <w:bottom w:w="0" w:type="dxa"/>
            </w:tcMar>
          </w:tcPr>
          <w:p>
            <w:pPr>
              <w:pStyle w:val="TableContents"/>
              <w:bidi w:val="0"/>
              <w:spacing w:before="0" w:after="0"/>
              <w:ind w:left="0" w:right="0" w:hanging="0"/>
              <w:jc w:val="right"/>
              <w:rPr/>
            </w:pPr>
            <w:r>
              <w:rPr/>
              <w:t>168</w:t>
            </w:r>
          </w:p>
        </w:tc>
      </w:tr>
      <w:tr>
        <w:trPr/>
        <w:tc>
          <w:tcPr>
            <w:tcW w:w="955" w:type="dxa"/>
            <w:tcBorders/>
            <w:tcMar>
              <w:bottom w:w="0" w:type="dxa"/>
            </w:tcMar>
            <w:vAlign w:val="center"/>
          </w:tcPr>
          <w:p>
            <w:pPr>
              <w:pStyle w:val="TableContents"/>
              <w:bidi w:val="0"/>
              <w:spacing w:before="0" w:after="0"/>
              <w:ind w:left="0" w:right="0" w:hanging="0"/>
              <w:jc w:val="left"/>
              <w:rPr/>
            </w:pPr>
            <w:r>
              <w:rPr/>
              <w:t>$</w:t>
            </w:r>
          </w:p>
        </w:tc>
        <w:tc>
          <w:tcPr>
            <w:tcW w:w="351" w:type="dxa"/>
            <w:tcBorders/>
            <w:tcMar>
              <w:bottom w:w="0" w:type="dxa"/>
            </w:tcMar>
            <w:vAlign w:val="center"/>
          </w:tcPr>
          <w:p>
            <w:pPr>
              <w:pStyle w:val="TableContents"/>
              <w:bidi w:val="0"/>
              <w:spacing w:before="0" w:after="283"/>
              <w:jc w:val="left"/>
              <w:rPr/>
            </w:pPr>
            <w:r>
              <w:rPr/>
              <w:t> </w:t>
            </w:r>
          </w:p>
        </w:tc>
        <w:tc>
          <w:tcPr>
            <w:tcW w:w="351" w:type="dxa"/>
            <w:tcBorders/>
            <w:tcMar>
              <w:bottom w:w="0" w:type="dxa"/>
            </w:tcMar>
            <w:vAlign w:val="center"/>
          </w:tcPr>
          <w:p>
            <w:pPr>
              <w:pStyle w:val="TableContents"/>
              <w:bidi w:val="0"/>
              <w:spacing w:before="0" w:after="283"/>
              <w:jc w:val="left"/>
              <w:rPr/>
            </w:pPr>
            <w:r>
              <w:rPr/>
              <w:t> </w:t>
            </w:r>
          </w:p>
        </w:tc>
        <w:tc>
          <w:tcPr>
            <w:tcW w:w="2830" w:type="dxa"/>
            <w:tcBorders/>
            <w:tcMar>
              <w:bottom w:w="0" w:type="dxa"/>
            </w:tcMar>
          </w:tcPr>
          <w:p>
            <w:pPr>
              <w:pStyle w:val="TableContents"/>
              <w:bidi w:val="0"/>
              <w:spacing w:before="0" w:after="0"/>
              <w:ind w:left="0" w:right="0" w:hanging="0"/>
              <w:jc w:val="right"/>
              <w:rPr/>
            </w:pPr>
            <w:r>
              <w:rPr/>
              <w:t>55.00</w:t>
            </w:r>
          </w:p>
        </w:tc>
        <w:tc>
          <w:tcPr>
            <w:tcW w:w="189" w:type="dxa"/>
            <w:tcBorders/>
            <w:tcMar>
              <w:bottom w:w="0" w:type="dxa"/>
            </w:tcMar>
            <w:vAlign w:val="center"/>
          </w:tcPr>
          <w:p>
            <w:pPr>
              <w:pStyle w:val="TableContents"/>
              <w:bidi w:val="0"/>
              <w:spacing w:before="0" w:after="283"/>
              <w:jc w:val="left"/>
              <w:rPr/>
            </w:pPr>
            <w:r>
              <w:rPr/>
              <w:t> </w:t>
            </w:r>
          </w:p>
        </w:tc>
        <w:tc>
          <w:tcPr>
            <w:tcW w:w="682" w:type="dxa"/>
            <w:tcBorders/>
            <w:tcMar>
              <w:bottom w:w="0" w:type="dxa"/>
            </w:tcMar>
            <w:vAlign w:val="center"/>
          </w:tcPr>
          <w:p>
            <w:pPr>
              <w:pStyle w:val="TableContents"/>
              <w:bidi w:val="0"/>
              <w:spacing w:before="0" w:after="283"/>
              <w:jc w:val="left"/>
              <w:rPr/>
            </w:pPr>
            <w:r>
              <w:rPr/>
              <w:t> </w:t>
            </w:r>
          </w:p>
        </w:tc>
        <w:tc>
          <w:tcPr>
            <w:tcW w:w="681" w:type="dxa"/>
            <w:tcBorders/>
            <w:tcMar>
              <w:bottom w:w="0" w:type="dxa"/>
            </w:tcMar>
            <w:vAlign w:val="center"/>
          </w:tcPr>
          <w:p>
            <w:pPr>
              <w:pStyle w:val="TableContents"/>
              <w:bidi w:val="0"/>
              <w:spacing w:before="0" w:after="283"/>
              <w:jc w:val="left"/>
              <w:rPr/>
            </w:pPr>
            <w:r>
              <w:rPr/>
              <w:t> </w:t>
            </w:r>
          </w:p>
        </w:tc>
        <w:tc>
          <w:tcPr>
            <w:tcW w:w="682" w:type="dxa"/>
            <w:tcBorders/>
            <w:tcMar>
              <w:bottom w:w="0" w:type="dxa"/>
            </w:tcMar>
            <w:vAlign w:val="center"/>
          </w:tcPr>
          <w:p>
            <w:pPr>
              <w:pStyle w:val="TableContents"/>
              <w:bidi w:val="0"/>
              <w:spacing w:before="0" w:after="283"/>
              <w:jc w:val="left"/>
              <w:rPr/>
            </w:pPr>
            <w:r>
              <w:rPr/>
              <w:t> </w:t>
            </w:r>
          </w:p>
        </w:tc>
        <w:tc>
          <w:tcPr>
            <w:tcW w:w="3484" w:type="dxa"/>
            <w:tcBorders/>
            <w:tcMar>
              <w:bottom w:w="0" w:type="dxa"/>
            </w:tcMar>
          </w:tcPr>
          <w:p>
            <w:pPr>
              <w:pStyle w:val="TableContents"/>
              <w:bidi w:val="0"/>
              <w:spacing w:before="0" w:after="0"/>
              <w:ind w:left="0" w:right="0" w:hanging="0"/>
              <w:jc w:val="right"/>
              <w:rPr/>
            </w:pPr>
            <w:r>
              <w:rPr/>
              <w:t>169</w:t>
            </w:r>
          </w:p>
        </w:tc>
      </w:tr>
      <w:tr>
        <w:trPr/>
        <w:tc>
          <w:tcPr>
            <w:tcW w:w="955" w:type="dxa"/>
            <w:tcBorders/>
            <w:shd w:fill="CCEEFF" w:val="clear"/>
            <w:tcMar>
              <w:bottom w:w="0" w:type="dxa"/>
            </w:tcMar>
            <w:vAlign w:val="center"/>
          </w:tcPr>
          <w:p>
            <w:pPr>
              <w:pStyle w:val="TableContents"/>
              <w:bidi w:val="0"/>
              <w:spacing w:before="0" w:after="283"/>
              <w:jc w:val="left"/>
              <w:rPr/>
            </w:pPr>
            <w:r>
              <w:rPr/>
              <w:t>$</w:t>
            </w:r>
          </w:p>
        </w:tc>
        <w:tc>
          <w:tcPr>
            <w:tcW w:w="351" w:type="dxa"/>
            <w:tcBorders/>
            <w:shd w:fill="CCEEFF" w:val="clear"/>
            <w:tcMar>
              <w:bottom w:w="0" w:type="dxa"/>
            </w:tcMar>
            <w:vAlign w:val="center"/>
          </w:tcPr>
          <w:p>
            <w:pPr>
              <w:pStyle w:val="TableContents"/>
              <w:bidi w:val="0"/>
              <w:spacing w:before="0" w:after="283"/>
              <w:jc w:val="left"/>
              <w:rPr/>
            </w:pPr>
            <w:r>
              <w:rPr/>
              <w:t> </w:t>
            </w:r>
          </w:p>
        </w:tc>
        <w:tc>
          <w:tcPr>
            <w:tcW w:w="351" w:type="dxa"/>
            <w:tcBorders/>
            <w:shd w:fill="CCEEFF" w:val="clear"/>
            <w:tcMar>
              <w:bottom w:w="0" w:type="dxa"/>
            </w:tcMar>
            <w:vAlign w:val="center"/>
          </w:tcPr>
          <w:p>
            <w:pPr>
              <w:pStyle w:val="TableContents"/>
              <w:bidi w:val="0"/>
              <w:spacing w:before="0" w:after="283"/>
              <w:jc w:val="left"/>
              <w:rPr/>
            </w:pPr>
            <w:r>
              <w:rPr/>
              <w:t> </w:t>
            </w:r>
          </w:p>
        </w:tc>
        <w:tc>
          <w:tcPr>
            <w:tcW w:w="2830" w:type="dxa"/>
            <w:tcBorders/>
            <w:shd w:fill="CCEEFF" w:val="clear"/>
            <w:tcMar>
              <w:bottom w:w="0" w:type="dxa"/>
            </w:tcMar>
          </w:tcPr>
          <w:p>
            <w:pPr>
              <w:pStyle w:val="TableContents"/>
              <w:bidi w:val="0"/>
              <w:spacing w:before="0" w:after="283"/>
              <w:jc w:val="right"/>
              <w:rPr/>
            </w:pPr>
            <w:r>
              <w:rPr/>
              <w:t>60.00</w:t>
            </w:r>
          </w:p>
        </w:tc>
        <w:tc>
          <w:tcPr>
            <w:tcW w:w="189"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left"/>
              <w:rPr/>
            </w:pPr>
            <w:r>
              <w:rPr/>
              <w:t> </w:t>
            </w:r>
          </w:p>
        </w:tc>
        <w:tc>
          <w:tcPr>
            <w:tcW w:w="3484" w:type="dxa"/>
            <w:tcBorders/>
            <w:shd w:fill="CCEEFF" w:val="clear"/>
            <w:tcMar>
              <w:bottom w:w="0" w:type="dxa"/>
            </w:tcMar>
          </w:tcPr>
          <w:p>
            <w:pPr>
              <w:pStyle w:val="TableContents"/>
              <w:bidi w:val="0"/>
              <w:spacing w:before="0" w:after="283"/>
              <w:jc w:val="right"/>
              <w:rPr/>
            </w:pPr>
            <w:r>
              <w:rPr/>
              <w:t>170</w:t>
            </w:r>
          </w:p>
        </w:tc>
      </w:tr>
      <w:tr>
        <w:trPr/>
        <w:tc>
          <w:tcPr>
            <w:tcW w:w="955" w:type="dxa"/>
            <w:tcBorders/>
            <w:tcMar>
              <w:bottom w:w="0" w:type="dxa"/>
            </w:tcMar>
            <w:vAlign w:val="center"/>
          </w:tcPr>
          <w:p>
            <w:pPr>
              <w:pStyle w:val="TableContents"/>
              <w:bidi w:val="0"/>
              <w:spacing w:before="0" w:after="283"/>
              <w:jc w:val="left"/>
              <w:rPr/>
            </w:pPr>
            <w:r>
              <w:rPr/>
              <w:t>$</w:t>
            </w:r>
          </w:p>
        </w:tc>
        <w:tc>
          <w:tcPr>
            <w:tcW w:w="351" w:type="dxa"/>
            <w:tcBorders/>
            <w:tcMar>
              <w:bottom w:w="0" w:type="dxa"/>
            </w:tcMar>
            <w:vAlign w:val="center"/>
          </w:tcPr>
          <w:p>
            <w:pPr>
              <w:pStyle w:val="TableContents"/>
              <w:bidi w:val="0"/>
              <w:spacing w:before="0" w:after="283"/>
              <w:jc w:val="left"/>
              <w:rPr/>
            </w:pPr>
            <w:r>
              <w:rPr/>
              <w:t> </w:t>
            </w:r>
          </w:p>
        </w:tc>
        <w:tc>
          <w:tcPr>
            <w:tcW w:w="351" w:type="dxa"/>
            <w:tcBorders/>
            <w:tcMar>
              <w:bottom w:w="0" w:type="dxa"/>
            </w:tcMar>
            <w:vAlign w:val="center"/>
          </w:tcPr>
          <w:p>
            <w:pPr>
              <w:pStyle w:val="TableContents"/>
              <w:bidi w:val="0"/>
              <w:spacing w:before="0" w:after="283"/>
              <w:jc w:val="left"/>
              <w:rPr/>
            </w:pPr>
            <w:r>
              <w:rPr/>
              <w:t> </w:t>
            </w:r>
          </w:p>
        </w:tc>
        <w:tc>
          <w:tcPr>
            <w:tcW w:w="2830" w:type="dxa"/>
            <w:tcBorders/>
            <w:tcMar>
              <w:bottom w:w="0" w:type="dxa"/>
            </w:tcMar>
          </w:tcPr>
          <w:p>
            <w:pPr>
              <w:pStyle w:val="TableContents"/>
              <w:bidi w:val="0"/>
              <w:spacing w:before="0" w:after="283"/>
              <w:jc w:val="right"/>
              <w:rPr/>
            </w:pPr>
            <w:r>
              <w:rPr/>
              <w:t>65.00</w:t>
            </w:r>
          </w:p>
        </w:tc>
        <w:tc>
          <w:tcPr>
            <w:tcW w:w="189" w:type="dxa"/>
            <w:tcBorders/>
            <w:tcMar>
              <w:bottom w:w="0" w:type="dxa"/>
            </w:tcMar>
            <w:vAlign w:val="center"/>
          </w:tcPr>
          <w:p>
            <w:pPr>
              <w:pStyle w:val="TableContents"/>
              <w:bidi w:val="0"/>
              <w:spacing w:before="0" w:after="283"/>
              <w:jc w:val="left"/>
              <w:rPr/>
            </w:pPr>
            <w:r>
              <w:rPr/>
              <w:t> </w:t>
            </w:r>
          </w:p>
        </w:tc>
        <w:tc>
          <w:tcPr>
            <w:tcW w:w="682" w:type="dxa"/>
            <w:tcBorders/>
            <w:tcMar>
              <w:bottom w:w="0" w:type="dxa"/>
            </w:tcMar>
            <w:vAlign w:val="center"/>
          </w:tcPr>
          <w:p>
            <w:pPr>
              <w:pStyle w:val="TableContents"/>
              <w:bidi w:val="0"/>
              <w:spacing w:before="0" w:after="283"/>
              <w:jc w:val="left"/>
              <w:rPr/>
            </w:pPr>
            <w:r>
              <w:rPr/>
              <w:t> </w:t>
            </w:r>
          </w:p>
        </w:tc>
        <w:tc>
          <w:tcPr>
            <w:tcW w:w="681" w:type="dxa"/>
            <w:tcBorders/>
            <w:tcMar>
              <w:bottom w:w="0" w:type="dxa"/>
            </w:tcMar>
            <w:vAlign w:val="center"/>
          </w:tcPr>
          <w:p>
            <w:pPr>
              <w:pStyle w:val="TableContents"/>
              <w:bidi w:val="0"/>
              <w:spacing w:before="0" w:after="283"/>
              <w:jc w:val="left"/>
              <w:rPr/>
            </w:pPr>
            <w:r>
              <w:rPr/>
              <w:t> </w:t>
            </w:r>
          </w:p>
        </w:tc>
        <w:tc>
          <w:tcPr>
            <w:tcW w:w="682" w:type="dxa"/>
            <w:tcBorders/>
            <w:tcMar>
              <w:bottom w:w="0" w:type="dxa"/>
            </w:tcMar>
            <w:vAlign w:val="center"/>
          </w:tcPr>
          <w:p>
            <w:pPr>
              <w:pStyle w:val="TableContents"/>
              <w:bidi w:val="0"/>
              <w:spacing w:before="0" w:after="283"/>
              <w:jc w:val="left"/>
              <w:rPr/>
            </w:pPr>
            <w:r>
              <w:rPr/>
              <w:t> </w:t>
            </w:r>
          </w:p>
        </w:tc>
        <w:tc>
          <w:tcPr>
            <w:tcW w:w="3484" w:type="dxa"/>
            <w:tcBorders/>
            <w:tcMar>
              <w:bottom w:w="0" w:type="dxa"/>
            </w:tcMar>
          </w:tcPr>
          <w:p>
            <w:pPr>
              <w:pStyle w:val="TableContents"/>
              <w:bidi w:val="0"/>
              <w:spacing w:before="0" w:after="283"/>
              <w:jc w:val="right"/>
              <w:rPr/>
            </w:pPr>
            <w:r>
              <w:rPr/>
              <w:t>171</w:t>
            </w:r>
          </w:p>
        </w:tc>
      </w:tr>
    </w:tbl>
    <w:p>
      <w:pPr>
        <w:pStyle w:val="TextBody"/>
        <w:bidi w:val="0"/>
        <w:spacing w:before="60" w:after="60"/>
        <w:jc w:val="both"/>
        <w:rPr/>
      </w:pPr>
      <w:r>
        <w:rPr/>
        <w:t> </w:t>
      </w:r>
    </w:p>
    <w:p>
      <w:pPr>
        <w:pStyle w:val="TextBody"/>
        <w:bidi w:val="0"/>
        <w:spacing w:before="60" w:after="60"/>
        <w:jc w:val="both"/>
        <w:rPr>
          <w:rFonts w:ascii="Times New Roman;Times;serif" w:hAnsi="Times New Roman;Times;serif"/>
          <w:b/>
          <w:sz w:val="22"/>
        </w:rPr>
      </w:pPr>
      <w:r>
        <w:rPr>
          <w:rFonts w:ascii="Times New Roman;Times;serif" w:hAnsi="Times New Roman;Times;serif"/>
          <w:b/>
          <w:sz w:val="22"/>
        </w:rPr>
        <w:t>Item 9.01 – Financial Statements and Exhibits</w:t>
      </w:r>
    </w:p>
    <w:p>
      <w:pPr>
        <w:pStyle w:val="TextBody"/>
        <w:bidi w:val="0"/>
        <w:spacing w:before="0" w:after="0"/>
        <w:jc w:val="both"/>
        <w:rPr/>
      </w:pPr>
      <w:r>
        <w:rPr/>
        <w:t> </w:t>
      </w:r>
    </w:p>
    <w:p>
      <w:pPr>
        <w:pStyle w:val="TextBody"/>
        <w:bidi w:val="0"/>
        <w:spacing w:before="60" w:after="283"/>
        <w:jc w:val="both"/>
        <w:rPr>
          <w:rFonts w:ascii="Times New Roman;Times;serif" w:hAnsi="Times New Roman;Times;serif"/>
          <w:b/>
          <w:sz w:val="22"/>
        </w:rPr>
      </w:pPr>
      <w:r>
        <w:rPr>
          <w:rFonts w:ascii="Times New Roman;Times;serif" w:hAnsi="Times New Roman;Times;serif"/>
          <w:b/>
          <w:sz w:val="22"/>
        </w:rPr>
        <w:t>(d) Exhibits</w:t>
      </w:r>
    </w:p>
    <w:p>
      <w:pPr>
        <w:pStyle w:val="TextBody"/>
        <w:bidi w:val="0"/>
        <w:spacing w:before="60" w:after="283"/>
        <w:jc w:val="left"/>
        <w:rPr>
          <w:rFonts w:ascii="Times New Roman;Times;serif" w:hAnsi="Times New Roman;Times;serif"/>
          <w:sz w:val="16"/>
        </w:rPr>
      </w:pPr>
      <w:r>
        <w:rPr>
          <w:rFonts w:ascii="Times New Roman;Times;serif" w:hAnsi="Times New Roman;Times;serif"/>
          <w:sz w:val="16"/>
        </w:rPr>
      </w:r>
    </w:p>
    <w:tbl>
      <w:tblPr>
        <w:tblW w:w="9009" w:type="dxa"/>
        <w:jc w:val="left"/>
        <w:tblInd w:w="0" w:type="dxa"/>
        <w:tblLayout w:type="fixed"/>
        <w:tblCellMar>
          <w:top w:w="0" w:type="dxa"/>
          <w:left w:w="0" w:type="dxa"/>
          <w:bottom w:w="28" w:type="dxa"/>
          <w:right w:w="0" w:type="dxa"/>
        </w:tblCellMar>
      </w:tblPr>
      <w:tblGrid>
        <w:gridCol w:w="213"/>
        <w:gridCol w:w="961"/>
        <w:gridCol w:w="90"/>
        <w:gridCol w:w="7745"/>
      </w:tblGrid>
      <w:tr>
        <w:trPr/>
        <w:tc>
          <w:tcPr>
            <w:tcW w:w="1174" w:type="dxa"/>
            <w:gridSpan w:val="2"/>
            <w:tcBorders>
              <w:bottom w:val="single" w:sz="12" w:space="0" w:color="000000"/>
            </w:tcBorders>
            <w:vAlign w:val="center"/>
          </w:tcPr>
          <w:p>
            <w:pPr>
              <w:pStyle w:val="TableContents"/>
              <w:bidi w:val="0"/>
              <w:spacing w:before="0" w:after="283"/>
              <w:jc w:val="both"/>
              <w:rPr/>
            </w:pPr>
            <w:r>
              <w:rPr/>
              <w:t>Exhibit No.</w:t>
            </w:r>
          </w:p>
        </w:tc>
        <w:tc>
          <w:tcPr>
            <w:tcW w:w="90" w:type="dxa"/>
            <w:tcBorders/>
            <w:tcMar>
              <w:bottom w:w="0" w:type="dxa"/>
            </w:tcMar>
            <w:vAlign w:val="center"/>
          </w:tcPr>
          <w:p>
            <w:pPr>
              <w:pStyle w:val="TableContents"/>
              <w:bidi w:val="0"/>
              <w:spacing w:before="0" w:after="283"/>
              <w:jc w:val="both"/>
              <w:rPr/>
            </w:pPr>
            <w:r>
              <w:rPr/>
              <w:t> </w:t>
            </w:r>
          </w:p>
        </w:tc>
        <w:tc>
          <w:tcPr>
            <w:tcW w:w="7745" w:type="dxa"/>
            <w:tcBorders>
              <w:bottom w:val="single" w:sz="12" w:space="0" w:color="000000"/>
            </w:tcBorders>
            <w:vAlign w:val="center"/>
          </w:tcPr>
          <w:p>
            <w:pPr>
              <w:pStyle w:val="TableContents"/>
              <w:bidi w:val="0"/>
              <w:spacing w:before="0" w:after="283"/>
              <w:jc w:val="both"/>
              <w:rPr/>
            </w:pPr>
            <w:r>
              <w:rPr/>
              <w:t>Description</w:t>
            </w:r>
          </w:p>
        </w:tc>
      </w:tr>
      <w:tr>
        <w:trPr/>
        <w:tc>
          <w:tcPr>
            <w:tcW w:w="1174" w:type="dxa"/>
            <w:gridSpan w:val="2"/>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7745" w:type="dxa"/>
            <w:tcBorders/>
            <w:tcMar>
              <w:bottom w:w="0" w:type="dxa"/>
            </w:tcMar>
            <w:vAlign w:val="center"/>
          </w:tcPr>
          <w:p>
            <w:pPr>
              <w:pStyle w:val="TableContents"/>
              <w:bidi w:val="0"/>
              <w:spacing w:before="0" w:after="283"/>
              <w:jc w:val="both"/>
              <w:rPr/>
            </w:pPr>
            <w:r>
              <w:rPr/>
              <w:t> </w:t>
            </w:r>
          </w:p>
        </w:tc>
      </w:tr>
      <w:tr>
        <w:trPr/>
        <w:tc>
          <w:tcPr>
            <w:tcW w:w="213" w:type="dxa"/>
            <w:tcBorders/>
            <w:shd w:fill="CCEEFF" w:val="clear"/>
            <w:tcMar>
              <w:bottom w:w="0" w:type="dxa"/>
            </w:tcMar>
            <w:vAlign w:val="center"/>
          </w:tcPr>
          <w:p>
            <w:pPr>
              <w:pStyle w:val="TableContents"/>
              <w:bidi w:val="0"/>
              <w:spacing w:before="0" w:after="283"/>
              <w:jc w:val="both"/>
              <w:rPr/>
            </w:pPr>
            <w:r>
              <w:rPr/>
              <w:t> </w:t>
            </w:r>
          </w:p>
        </w:tc>
        <w:tc>
          <w:tcPr>
            <w:tcW w:w="961" w:type="dxa"/>
            <w:tcBorders/>
            <w:shd w:fill="CCEEFF" w:val="clear"/>
            <w:tcMar>
              <w:bottom w:w="0" w:type="dxa"/>
            </w:tcMar>
            <w:vAlign w:val="center"/>
          </w:tcPr>
          <w:p>
            <w:pPr>
              <w:pStyle w:val="TableContents"/>
              <w:bidi w:val="0"/>
              <w:spacing w:before="0" w:after="283"/>
              <w:jc w:val="right"/>
              <w:rPr/>
            </w:pPr>
            <w:hyperlink w:anchor="exhibit99-1.htm">
              <w:r>
                <w:rPr>
                  <w:rStyle w:val="InternetLink"/>
                </w:rPr>
                <w:t>99.1</w:t>
              </w:r>
            </w:hyperlink>
          </w:p>
        </w:tc>
        <w:tc>
          <w:tcPr>
            <w:tcW w:w="90" w:type="dxa"/>
            <w:tcBorders/>
            <w:shd w:fill="CCEEFF" w:val="clear"/>
            <w:tcMar>
              <w:bottom w:w="0" w:type="dxa"/>
            </w:tcMar>
            <w:vAlign w:val="center"/>
          </w:tcPr>
          <w:p>
            <w:pPr>
              <w:pStyle w:val="TableContents"/>
              <w:bidi w:val="0"/>
              <w:spacing w:before="0" w:after="283"/>
              <w:jc w:val="both"/>
              <w:rPr/>
            </w:pPr>
            <w:r>
              <w:rPr/>
              <w:t> </w:t>
            </w:r>
          </w:p>
        </w:tc>
        <w:tc>
          <w:tcPr>
            <w:tcW w:w="7745" w:type="dxa"/>
            <w:tcBorders/>
            <w:shd w:fill="CCEEFF" w:val="clear"/>
            <w:tcMar>
              <w:bottom w:w="0" w:type="dxa"/>
            </w:tcMar>
            <w:vAlign w:val="center"/>
          </w:tcPr>
          <w:p>
            <w:pPr>
              <w:pStyle w:val="TableContents"/>
              <w:bidi w:val="0"/>
              <w:spacing w:before="0" w:after="283"/>
              <w:jc w:val="both"/>
              <w:rPr/>
            </w:pPr>
            <w:hyperlink w:anchor="exhibit99-1.htm">
              <w:r>
                <w:rPr>
                  <w:rStyle w:val="InternetLink"/>
                </w:rPr>
                <w:t>Press release dated August 5, 2026.</w:t>
              </w:r>
            </w:hyperlink>
          </w:p>
        </w:tc>
      </w:tr>
      <w:tr>
        <w:trPr/>
        <w:tc>
          <w:tcPr>
            <w:tcW w:w="213" w:type="dxa"/>
            <w:tcBorders/>
            <w:tcMar>
              <w:bottom w:w="0" w:type="dxa"/>
            </w:tcMar>
            <w:vAlign w:val="center"/>
          </w:tcPr>
          <w:p>
            <w:pPr>
              <w:pStyle w:val="TableContents"/>
              <w:bidi w:val="0"/>
              <w:spacing w:before="0" w:after="283"/>
              <w:jc w:val="both"/>
              <w:rPr/>
            </w:pPr>
            <w:r>
              <w:rPr/>
              <w:t> </w:t>
            </w:r>
          </w:p>
        </w:tc>
        <w:tc>
          <w:tcPr>
            <w:tcW w:w="961" w:type="dxa"/>
            <w:tcBorders/>
            <w:tcMar>
              <w:bottom w:w="0" w:type="dxa"/>
            </w:tcMar>
            <w:vAlign w:val="center"/>
          </w:tcPr>
          <w:p>
            <w:pPr>
              <w:pStyle w:val="TableContents"/>
              <w:bidi w:val="0"/>
              <w:spacing w:before="0" w:after="283"/>
              <w:jc w:val="right"/>
              <w:rPr/>
            </w:pPr>
            <w:r>
              <w:rPr/>
              <w:t> </w:t>
            </w:r>
            <w:r>
              <w:rPr/>
              <w:t>104</w:t>
            </w:r>
          </w:p>
        </w:tc>
        <w:tc>
          <w:tcPr>
            <w:tcW w:w="90" w:type="dxa"/>
            <w:tcBorders/>
            <w:tcMar>
              <w:bottom w:w="0" w:type="dxa"/>
            </w:tcMar>
            <w:vAlign w:val="center"/>
          </w:tcPr>
          <w:p>
            <w:pPr>
              <w:pStyle w:val="TableContents"/>
              <w:bidi w:val="0"/>
              <w:spacing w:before="0" w:after="283"/>
              <w:jc w:val="both"/>
              <w:rPr/>
            </w:pPr>
            <w:r>
              <w:rPr/>
              <w:t> </w:t>
            </w:r>
          </w:p>
        </w:tc>
        <w:tc>
          <w:tcPr>
            <w:tcW w:w="7745" w:type="dxa"/>
            <w:tcBorders/>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720" w:right="0" w:hanging="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60"/>
        <w:jc w:val="both"/>
        <w:rPr/>
      </w:pPr>
      <w:r>
        <w:rPr/>
        <w:t> </w:t>
      </w:r>
    </w:p>
    <w:p>
      <w:pPr>
        <w:pStyle w:val="TextBody"/>
        <w:bidi w:val="0"/>
        <w:spacing w:before="0" w:after="60"/>
        <w:jc w:val="center"/>
        <w:rPr>
          <w:rFonts w:ascii="Times New Roman;Times;serif" w:hAnsi="Times New Roman;Times;serif"/>
          <w:b/>
          <w:sz w:val="22"/>
        </w:rPr>
      </w:pPr>
      <w:r>
        <w:rPr>
          <w:rFonts w:ascii="Times New Roman;Times;serif" w:hAnsi="Times New Roman;Times;serif"/>
          <w:b/>
          <w:sz w:val="22"/>
        </w:rPr>
        <w:t>Signature</w:t>
      </w:r>
    </w:p>
    <w:p>
      <w:pPr>
        <w:pStyle w:val="TextBody"/>
        <w:bidi w:val="0"/>
        <w:spacing w:before="0" w:after="60"/>
        <w:jc w:val="both"/>
        <w:rPr/>
      </w:pPr>
      <w:r>
        <w:rPr/>
        <w:t> </w:t>
      </w:r>
    </w:p>
    <w:p>
      <w:pPr>
        <w:pStyle w:val="TextBody"/>
        <w:bidi w:val="0"/>
        <w:spacing w:before="0" w:after="60"/>
        <w:jc w:val="both"/>
        <w:rPr>
          <w:rFonts w:ascii="Times New Roman;Times;serif" w:hAnsi="Times New Roman;Times;serif"/>
          <w:sz w:val="22"/>
        </w:rPr>
      </w:pPr>
      <w:r>
        <w:rPr>
          <w:rFonts w:ascii="Times New Roman;Times;serif" w:hAnsi="Times New Roman;Times;serif"/>
          <w:sz w:val="22"/>
        </w:rPr>
        <w:t>Pursuant to the requirements of the Securities Exchange Act of 1934, the registrant has duly caused this report to be signed on its behalf by the undersigned hereunto duly authorized.</w:t>
      </w:r>
    </w:p>
    <w:p>
      <w:pPr>
        <w:pStyle w:val="TextBody"/>
        <w:bidi w:val="0"/>
        <w:spacing w:before="0" w:after="60"/>
        <w:jc w:val="left"/>
        <w:rPr/>
      </w:pPr>
      <w:r>
        <w:rPr/>
      </w:r>
    </w:p>
    <w:p>
      <w:pPr>
        <w:pStyle w:val="TextBody"/>
        <w:bidi w:val="0"/>
        <w:spacing w:before="0" w:after="60"/>
        <w:jc w:val="both"/>
        <w:rPr>
          <w:rFonts w:ascii="Times New Roman;Times;serif" w:hAnsi="Times New Roman;Times;serif"/>
          <w:sz w:val="22"/>
        </w:rPr>
      </w:pPr>
      <w:r>
        <w:rPr>
          <w:rFonts w:ascii="Times New Roman;Times;serif" w:hAnsi="Times New Roman;Times;serif"/>
          <w:sz w:val="22"/>
        </w:rPr>
        <w:t>Date: August 5, 2026</w:t>
      </w:r>
    </w:p>
    <w:p>
      <w:pPr>
        <w:pStyle w:val="TextBody"/>
        <w:bidi w:val="0"/>
        <w:spacing w:before="0" w:after="60"/>
        <w:jc w:val="left"/>
        <w:rPr/>
      </w:pPr>
      <w:r>
        <w:rPr/>
      </w:r>
    </w:p>
    <w:tbl>
      <w:tblPr>
        <w:tblW w:w="5725" w:type="dxa"/>
        <w:jc w:val="left"/>
        <w:tblInd w:w="0" w:type="dxa"/>
        <w:tblLayout w:type="fixed"/>
        <w:tblCellMar>
          <w:top w:w="0" w:type="dxa"/>
          <w:left w:w="0" w:type="dxa"/>
          <w:bottom w:w="0" w:type="dxa"/>
          <w:right w:w="0" w:type="dxa"/>
        </w:tblCellMar>
      </w:tblPr>
      <w:tblGrid>
        <w:gridCol w:w="105"/>
        <w:gridCol w:w="680"/>
        <w:gridCol w:w="90"/>
        <w:gridCol w:w="4715"/>
        <w:gridCol w:w="135"/>
      </w:tblGrid>
      <w:tr>
        <w:trPr/>
        <w:tc>
          <w:tcPr>
            <w:tcW w:w="105" w:type="dxa"/>
            <w:tcBorders/>
            <w:vAlign w:val="center"/>
          </w:tcPr>
          <w:p>
            <w:pPr>
              <w:pStyle w:val="TableContents"/>
              <w:bidi w:val="0"/>
              <w:spacing w:before="0" w:after="283"/>
              <w:jc w:val="left"/>
              <w:rPr/>
            </w:pPr>
            <w:r>
              <w:rPr/>
              <w:t> </w:t>
            </w:r>
          </w:p>
        </w:tc>
        <w:tc>
          <w:tcPr>
            <w:tcW w:w="5485" w:type="dxa"/>
            <w:gridSpan w:val="3"/>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VISHAY INTERTECHNOLOGY, INC.</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0" w:type="dxa"/>
            <w:gridSpan w:val="2"/>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By:</w:t>
            </w:r>
          </w:p>
        </w:tc>
        <w:tc>
          <w:tcPr>
            <w:tcW w:w="9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283"/>
              <w:jc w:val="left"/>
              <w:rPr>
                <w:u w:val="single"/>
              </w:rPr>
            </w:pPr>
            <w:r>
              <w:rPr>
                <w:u w:val="single"/>
              </w:rPr>
              <w:t xml:space="preserve">/s/ David L. Tomlinson                                         </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0" w:type="dxa"/>
            <w:gridSpan w:val="2"/>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Name:</w:t>
            </w:r>
          </w:p>
        </w:tc>
        <w:tc>
          <w:tcPr>
            <w:tcW w:w="90" w:type="dxa"/>
            <w:tcBorders/>
            <w:vAlign w:val="center"/>
          </w:tcPr>
          <w:p>
            <w:pPr>
              <w:pStyle w:val="TableContents"/>
              <w:bidi w:val="0"/>
              <w:spacing w:before="0" w:after="283"/>
              <w:jc w:val="left"/>
              <w:rPr/>
            </w:pPr>
            <w:r>
              <w:rPr/>
              <w:t> </w:t>
            </w:r>
          </w:p>
        </w:tc>
        <w:tc>
          <w:tcPr>
            <w:tcW w:w="4850" w:type="dxa"/>
            <w:gridSpan w:val="2"/>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David L. Tomlinson</w:t>
            </w:r>
          </w:p>
        </w:tc>
      </w:tr>
      <w:tr>
        <w:trPr/>
        <w:tc>
          <w:tcPr>
            <w:tcW w:w="10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Title:</w:t>
            </w:r>
          </w:p>
        </w:tc>
        <w:tc>
          <w:tcPr>
            <w:tcW w:w="90" w:type="dxa"/>
            <w:tcBorders/>
            <w:vAlign w:val="center"/>
          </w:tcPr>
          <w:p>
            <w:pPr>
              <w:pStyle w:val="TableContents"/>
              <w:bidi w:val="0"/>
              <w:spacing w:before="0" w:after="283"/>
              <w:jc w:val="left"/>
              <w:rPr/>
            </w:pPr>
            <w:r>
              <w:rPr/>
              <w:t> </w:t>
            </w:r>
          </w:p>
        </w:tc>
        <w:tc>
          <w:tcPr>
            <w:tcW w:w="4850" w:type="dxa"/>
            <w:gridSpan w:val="2"/>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Senior Vice President – Chief Accounting Officer</w:t>
            </w:r>
          </w:p>
        </w:tc>
      </w:tr>
    </w:tbl>
    <w:p>
      <w:pPr>
        <w:pStyle w:val="TextBody"/>
        <w:bidi w:val="0"/>
        <w:spacing w:before="0" w:after="6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right"/>
        <w:rPr>
          <w:rFonts w:ascii="Times New Roman" w:hAnsi="Times New Roman"/>
          <w:b/>
          <w:sz w:val="24"/>
        </w:rPr>
      </w:pPr>
      <w:bookmarkStart w:id="2" w:name="exhibit99-1.htm"/>
      <w:bookmarkStart w:id="3" w:name="ksexhibit991"/>
      <w:bookmarkEnd w:id="2"/>
      <w:bookmarkEnd w:id="3"/>
      <w:r>
        <w:rPr>
          <w:rFonts w:ascii="Times New Roman" w:hAnsi="Times New Roman"/>
          <w:b/>
          <w:sz w:val="24"/>
        </w:rPr>
        <w:t>Exhibit 99.1</w:t>
      </w:r>
      <w:r>
        <w:br w:type="page"/>
      </w:r>
    </w:p>
    <w:p>
      <w:pPr>
        <w:pStyle w:val="TextBody"/>
        <w:bidi w:val="0"/>
        <w:spacing w:before="0" w:after="0"/>
        <w:jc w:val="right"/>
        <w:rPr/>
      </w:pPr>
      <w:r>
        <w:rPr/>
        <w:t> </w:t>
      </w:r>
    </w:p>
    <w:p>
      <w:pPr>
        <w:pStyle w:val="TextBody"/>
        <w:bidi w:val="0"/>
        <w:spacing w:lineRule="auto" w:line="360" w:before="0" w:after="0"/>
        <w:ind w:left="0" w:right="0" w:hanging="0"/>
        <w:jc w:val="center"/>
        <w:rPr>
          <w:rFonts w:ascii="TimesNewRoman;Times New Roman;Times;Baskerville;Georgia;serif" w:hAnsi="TimesNewRoman;Times New Roman;Times;Baskerville;Georgia;serif"/>
          <w:b/>
          <w:sz w:val="24"/>
        </w:rPr>
      </w:pPr>
      <w:r>
        <w:rPr>
          <w:rFonts w:ascii="TimesNewRoman;Times New Roman;Times;Baskerville;Georgia;serif" w:hAnsi="TimesNewRoman;Times New Roman;Times;Baskerville;Georgia;serif"/>
          <w:b/>
          <w:sz w:val="24"/>
        </w:rPr>
        <w:t xml:space="preserve">Vishay Intertechnology Reports Second Quarter 2026 Results </w:t>
      </w:r>
    </w:p>
    <w:p>
      <w:pPr>
        <w:pStyle w:val="TextBody"/>
        <w:bidi w:val="0"/>
        <w:spacing w:lineRule="auto" w:line="360" w:before="0" w:after="0"/>
        <w:ind w:left="0" w:right="0" w:hanging="0"/>
        <w:jc w:val="center"/>
        <w:rPr/>
      </w:pPr>
      <w:r>
        <w:rPr/>
        <w:t> </w:t>
      </w:r>
    </w:p>
    <w:p>
      <w:pPr>
        <w:pStyle w:val="TextBody"/>
        <w:bidi w:val="0"/>
        <w:spacing w:lineRule="auto" w:line="360"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Malvern, PA, August 5, 2026 – Vishay Intertechnology, Inc., (NYSE: VSH), one of the world's largest manufacturers of discrete semiconductors and passive electronic components, today announced results for the fiscal second quarter ended July 4, 2026. </w:t>
      </w:r>
    </w:p>
    <w:p>
      <w:pPr>
        <w:pStyle w:val="TextBody"/>
        <w:bidi w:val="0"/>
        <w:spacing w:lineRule="auto" w:line="360" w:before="0" w:after="0"/>
        <w:ind w:left="0" w:right="0" w:hanging="0"/>
        <w:jc w:val="both"/>
        <w:rPr/>
      </w:pPr>
      <w:r>
        <w:rPr/>
        <w:t> </w:t>
      </w:r>
    </w:p>
    <w:p>
      <w:pPr>
        <w:pStyle w:val="TextBody"/>
        <w:bidi w:val="0"/>
        <w:spacing w:lineRule="auto" w:line="360"/>
        <w:ind w:left="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Highlights </w:t>
      </w:r>
    </w:p>
    <w:p>
      <w:pPr>
        <w:pStyle w:val="TextBody"/>
        <w:numPr>
          <w:ilvl w:val="0"/>
          <w:numId w:val="2"/>
        </w:numPr>
        <w:tabs>
          <w:tab w:val="clear" w:pos="1134"/>
          <w:tab w:val="left" w:pos="709" w:leader="none"/>
        </w:tabs>
        <w:bidi w:val="0"/>
        <w:spacing w:before="0" w:after="0"/>
        <w:ind w:left="709" w:hanging="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2Q 2026 GAAP revenues of $888.6 million; adjusted revenues of $918.6 million</w:t>
      </w:r>
    </w:p>
    <w:p>
      <w:pPr>
        <w:pStyle w:val="TextBody"/>
        <w:numPr>
          <w:ilvl w:val="0"/>
          <w:numId w:val="2"/>
        </w:numPr>
        <w:tabs>
          <w:tab w:val="clear" w:pos="1134"/>
          <w:tab w:val="left" w:pos="709" w:leader="none"/>
        </w:tabs>
        <w:bidi w:val="0"/>
        <w:spacing w:before="0" w:after="0"/>
        <w:ind w:left="709" w:hanging="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GAAP revenues reduced by $30.0 million of tariff refunds passed through to customers, with no impact on gross profit</w:t>
      </w:r>
    </w:p>
    <w:p>
      <w:pPr>
        <w:pStyle w:val="TextBody"/>
        <w:numPr>
          <w:ilvl w:val="0"/>
          <w:numId w:val="2"/>
        </w:numPr>
        <w:tabs>
          <w:tab w:val="clear" w:pos="1134"/>
          <w:tab w:val="left" w:pos="709" w:leader="none"/>
        </w:tabs>
        <w:bidi w:val="0"/>
        <w:spacing w:before="0" w:after="0"/>
        <w:ind w:left="709" w:hanging="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Gross margin was 23.3%; adjusted gross margin was 22.6%</w:t>
      </w:r>
    </w:p>
    <w:p>
      <w:pPr>
        <w:pStyle w:val="TextBody"/>
        <w:numPr>
          <w:ilvl w:val="0"/>
          <w:numId w:val="2"/>
        </w:numPr>
        <w:tabs>
          <w:tab w:val="clear" w:pos="1134"/>
          <w:tab w:val="left" w:pos="709" w:leader="none"/>
        </w:tabs>
        <w:bidi w:val="0"/>
        <w:spacing w:before="0" w:after="0"/>
        <w:ind w:left="709" w:hanging="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Operating margin was 6.0%; adjusted operating margin was 5.8%</w:t>
      </w:r>
    </w:p>
    <w:p>
      <w:pPr>
        <w:pStyle w:val="TextBody"/>
        <w:numPr>
          <w:ilvl w:val="0"/>
          <w:numId w:val="2"/>
        </w:numPr>
        <w:tabs>
          <w:tab w:val="clear" w:pos="1134"/>
          <w:tab w:val="left" w:pos="709" w:leader="none"/>
        </w:tabs>
        <w:bidi w:val="0"/>
        <w:spacing w:before="0" w:after="0"/>
        <w:ind w:left="709" w:hanging="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2Q 2026 diluted EPS of $0.19</w:t>
      </w:r>
    </w:p>
    <w:p>
      <w:pPr>
        <w:pStyle w:val="TextBody"/>
        <w:numPr>
          <w:ilvl w:val="0"/>
          <w:numId w:val="2"/>
        </w:numPr>
        <w:tabs>
          <w:tab w:val="clear" w:pos="1134"/>
          <w:tab w:val="left" w:pos="709" w:leader="none"/>
        </w:tabs>
        <w:bidi w:val="0"/>
        <w:spacing w:before="0" w:after="0"/>
        <w:ind w:left="709" w:hanging="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2Q 2026 book-to-bill of 1.32 with book-to-bill of 1.23 for semiconductors and 1.40 for passive components</w:t>
      </w:r>
    </w:p>
    <w:p>
      <w:pPr>
        <w:pStyle w:val="TextBody"/>
        <w:numPr>
          <w:ilvl w:val="0"/>
          <w:numId w:val="2"/>
        </w:numPr>
        <w:tabs>
          <w:tab w:val="clear" w:pos="1134"/>
          <w:tab w:val="left" w:pos="709" w:leader="none"/>
        </w:tabs>
        <w:bidi w:val="0"/>
        <w:ind w:left="709" w:hanging="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Backlog at quarter end was 6.1 months</w:t>
      </w:r>
    </w:p>
    <w:p>
      <w:pPr>
        <w:pStyle w:val="TextBody"/>
        <w:bidi w:val="0"/>
        <w:spacing w:lineRule="auto" w:line="360" w:before="0" w:after="0"/>
        <w:ind w:left="0" w:right="0" w:hanging="0"/>
        <w:jc w:val="both"/>
        <w:rPr/>
      </w:pPr>
      <w:r>
        <w:rPr/>
        <w:t>“</w:t>
      </w:r>
      <w:r>
        <w:rPr>
          <w:rFonts w:ascii="TimesNewRoman;Times New Roman;Times;Baskerville;Georgia;serif" w:hAnsi="TimesNewRoman;Times New Roman;Times;Baskerville;Georgia;serif"/>
          <w:sz w:val="20"/>
        </w:rPr>
        <w:t>For the second quarter, Vishay delivered 9.5% sequential growth to adjusted revenue of $919 million, exceeding the top end of our revenue guidance and representing continued strengthening demand across all end markets, channels and regions,” said Joel Smejkel, president and CEO. “Executing as a new company, Vishay 3.0 is focused on supplying our increasing customer count and taking full advantage of the upcycle, outpacing industry growth, while laying the foundation to leverage multi-year demand across all end markets for sustained growth, expanded margins and enhanced stockholder returns.”</w:t>
      </w:r>
    </w:p>
    <w:p>
      <w:pPr>
        <w:pStyle w:val="TextBody"/>
        <w:bidi w:val="0"/>
        <w:spacing w:lineRule="auto" w:line="360" w:before="0" w:after="0"/>
        <w:ind w:left="0" w:right="0" w:hanging="0"/>
        <w:jc w:val="left"/>
        <w:rPr/>
      </w:pPr>
      <w:r>
        <w:rPr/>
        <w:t> </w:t>
      </w:r>
    </w:p>
    <w:p>
      <w:pPr>
        <w:pStyle w:val="TextBody"/>
        <w:bidi w:val="0"/>
        <w:spacing w:lineRule="auto" w:line="360" w:before="0" w:after="0"/>
        <w:ind w:left="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3Q 2026 Outlook</w:t>
      </w:r>
    </w:p>
    <w:p>
      <w:pPr>
        <w:pStyle w:val="TextBody"/>
        <w:bidi w:val="0"/>
        <w:spacing w:lineRule="auto" w:line="360"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For the third quarter of 2026, management expects revenues in the range of $945 million and $975 million and a gross profit margin in the range of 24.0% +/- 50 basis points.</w:t>
      </w:r>
    </w:p>
    <w:p>
      <w:pPr>
        <w:pStyle w:val="TextBody"/>
        <w:bidi w:val="0"/>
        <w:spacing w:lineRule="auto" w:line="360" w:before="0" w:after="0"/>
        <w:ind w:left="0" w:right="0" w:hanging="0"/>
        <w:jc w:val="left"/>
        <w:rPr/>
      </w:pPr>
      <w:r>
        <w:rPr/>
        <w:t> </w:t>
      </w:r>
    </w:p>
    <w:p>
      <w:pPr>
        <w:pStyle w:val="TextBody"/>
        <w:bidi w:val="0"/>
        <w:spacing w:lineRule="auto" w:line="360" w:before="0" w:after="0"/>
        <w:ind w:left="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Conference Call</w:t>
      </w:r>
    </w:p>
    <w:p>
      <w:pPr>
        <w:pStyle w:val="TextBody"/>
        <w:bidi w:val="0"/>
        <w:spacing w:lineRule="auto" w:line="360"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conference call to discuss Vishay’s second quarter financial results is scheduled for Wednesday, August 5, 2026, at 9:00 a.m. ET. To participate in the live conference call, please pre-register </w:t>
      </w:r>
      <w:r>
        <w:rPr>
          <w:rFonts w:ascii="TimesNewRoman;Times New Roman;Times;Baskerville;Georgia;serif" w:hAnsi="TimesNewRoman;Times New Roman;Times;Baskerville;Georgia;serif"/>
          <w:sz w:val="20"/>
          <w:u w:val="single"/>
        </w:rPr>
        <w:t>here</w:t>
      </w:r>
      <w:r>
        <w:rPr>
          <w:rFonts w:ascii="TimesNewRoman;Times New Roman;Times;Baskerville;Georgia;serif" w:hAnsi="TimesNewRoman;Times New Roman;Times;Baskerville;Georgia;serif"/>
          <w:sz w:val="20"/>
        </w:rPr>
        <w:t>. Upon registering, you will be emailed a dial-in number, and unique PIN.  </w:t>
      </w:r>
    </w:p>
    <w:p>
      <w:pPr>
        <w:pStyle w:val="TextBody"/>
        <w:bidi w:val="0"/>
        <w:spacing w:lineRule="auto" w:line="360" w:before="0" w:after="0"/>
        <w:ind w:left="0" w:right="0" w:hanging="0"/>
        <w:jc w:val="left"/>
        <w:rPr/>
      </w:pPr>
      <w:r>
        <w:rPr/>
        <w:t> </w:t>
      </w:r>
    </w:p>
    <w:p>
      <w:pPr>
        <w:pStyle w:val="TextBody"/>
        <w:bidi w:val="0"/>
        <w:spacing w:lineRule="auto" w:line="360"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 live audio webcast of the conference call and a PDF copy of the press release and the quarterly presentation will be accessible directly from the Investor Relations section of the Vishay website at http://ir.vishay.com. </w:t>
      </w:r>
    </w:p>
    <w:p>
      <w:pPr>
        <w:pStyle w:val="TextBody"/>
        <w:bidi w:val="0"/>
        <w:spacing w:lineRule="auto" w:line="360" w:before="0" w:after="0"/>
        <w:ind w:left="0" w:right="0" w:hanging="0"/>
        <w:jc w:val="left"/>
        <w:rPr/>
      </w:pPr>
      <w:r>
        <w:rPr/>
        <w:t> </w:t>
      </w:r>
    </w:p>
    <w:p>
      <w:pPr>
        <w:pStyle w:val="TextBody"/>
        <w:bidi w:val="0"/>
        <w:spacing w:lineRule="auto" w:line="360"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There will be a replay of the conference call available on the Investor Relations website approximately one hour following the call and will remain available for 30 days.  </w:t>
      </w:r>
    </w:p>
    <w:p>
      <w:pPr>
        <w:pStyle w:val="TextBody"/>
        <w:bidi w:val="0"/>
        <w:spacing w:lineRule="auto" w:line="360" w:before="0" w:after="0"/>
        <w:ind w:left="0" w:right="0" w:hanging="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60" w:before="0" w:after="0"/>
        <w:ind w:left="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About Vishay</w:t>
      </w:r>
    </w:p>
    <w:p>
      <w:pPr>
        <w:pStyle w:val="TextBody"/>
        <w:bidi w:val="0"/>
        <w:spacing w:lineRule="auto" w:line="360"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Vishay manufactures one of the world’s largest portfolios of discrete semiconductors and passive electronic components that are essential to innovative designs in the automotive, industrial, computing, consumer, telecommunications, military, aerospace, and healthcare markets. Serving customers worldwide, Vishay is </w:t>
      </w:r>
      <w:r>
        <w:rPr>
          <w:rFonts w:ascii="TimesNewRoman;Times New Roman;Times;Baskerville;Georgia;serif" w:hAnsi="TimesNewRoman;Times New Roman;Times;Baskerville;Georgia;serif"/>
          <w:b/>
          <w:i/>
          <w:sz w:val="20"/>
        </w:rPr>
        <w:t>The DNA of tech</w:t>
      </w:r>
      <w:r>
        <w:rPr>
          <w:rFonts w:ascii="TimesNewRoman;Times New Roman;Times;Baskerville;Georgia;serif" w:hAnsi="TimesNewRoman;Times New Roman;Times;Baskerville;Georgia;serif"/>
          <w:sz w:val="20"/>
        </w:rPr>
        <w:t>®. Vishay Intertechnology, Inc. is a Fortune 1,000 Company listed on the NYSE (VSH). More on Vishay at </w:t>
      </w:r>
      <w:r>
        <w:rPr>
          <w:rFonts w:ascii="TimesNewRoman;Times New Roman;Times;Baskerville;Georgia;serif" w:hAnsi="TimesNewRoman;Times New Roman;Times;Baskerville;Georgia;serif"/>
          <w:sz w:val="20"/>
          <w:u w:val="single"/>
        </w:rPr>
        <w:t>www.Vishay.com</w:t>
      </w:r>
      <w:r>
        <w:rPr>
          <w:rFonts w:ascii="TimesNewRoman;Times New Roman;Times;Baskerville;Georgia;serif" w:hAnsi="TimesNewRoman;Times New Roman;Times;Baskerville;Georgia;serif"/>
          <w:sz w:val="20"/>
        </w:rPr>
        <w:t>.</w:t>
      </w:r>
    </w:p>
    <w:p>
      <w:pPr>
        <w:pStyle w:val="TextBody"/>
        <w:bidi w:val="0"/>
        <w:spacing w:lineRule="auto" w:line="360" w:before="0" w:after="0"/>
        <w:ind w:left="0" w:right="0" w:hanging="0"/>
        <w:jc w:val="left"/>
        <w:rPr/>
      </w:pPr>
      <w:r>
        <w:rPr/>
        <w:t> </w:t>
      </w:r>
    </w:p>
    <w:p>
      <w:pPr>
        <w:pStyle w:val="TextBody"/>
        <w:bidi w:val="0"/>
        <w:spacing w:lineRule="auto" w:line="360"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This press release includes certain financial measures which are not recognized in accordance with U.S. generally accepted accounting principles ("GAAP"), including adjusted net earnings; adjusted earnings per share; adjusted net revenues; adjusted gross margin; adjusted operating margin; free cash; earnings before interest, taxes, depreciation and amortization ("EBITDA"); adjusted EBITDA; and adjusted EBITDA margin; which are considered "non-GAAP financial measures" under the U.S. Securities and Exchange Commission rules. These non-GAAP measures supplement our GAAP measures of performance or liquidity and should not be viewed as an alternative to GAAP measures of performance or liquidity. Non-GAAP measures such as adjusted net earnings, adjusted earnings per share, adjusted net revenues, adjusted gross margin, adjusted operating margin, free cash, EBITDA, adjusted EBITDA, and adjusted EBITDA margin do not have uniform definitions. These measures, as calculated by Vishay, may not be comparable to similarly titled measures used by other companies. Management believes that such measures are meaningful to investors because they provide insight with respect to intrinsic operating results and financial trends of the Company. Although the terms "free cash" and "EBITDA" are not defined in GAAP, the measures are derived using various line items measured in accordance with GAAP.  Reconciling items to arrive at adjusted net earnings represent significant charges or credits that are important to understanding the Company's intrinsic operations.  Reconciling items to calculate adjusted net revenues, adjusted gross margin, adjusted operating margin, and adjusted EBITDA represent those same items used in computing adjusted net earnings, as relevant.  Furthermore, the presented calculation of adjusted EBITDA is substantially similar to, but not identical to, a measure used in the calculation of financial ratios required for covenant compliance under Vishay's revolving credit facility.  These reconciling items are indicated on the accompanying reconciliation schedules and are more fully described in the Company’s financial statements presented in its annual report on Form 10-K and its quarterly reports presented on Forms 10-Q.</w:t>
      </w:r>
    </w:p>
    <w:p>
      <w:pPr>
        <w:pStyle w:val="TextBody"/>
        <w:bidi w:val="0"/>
        <w:spacing w:lineRule="auto" w:line="360" w:before="0" w:after="0"/>
        <w:ind w:left="0" w:right="0" w:hanging="0"/>
        <w:jc w:val="both"/>
        <w:rPr/>
      </w:pPr>
      <w:r>
        <w:rPr/>
        <w:t> </w:t>
      </w:r>
    </w:p>
    <w:p>
      <w:pPr>
        <w:pStyle w:val="TextBody"/>
        <w:bidi w:val="0"/>
        <w:spacing w:lineRule="auto" w:line="360"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Statements contained herein that relate to the Company's future performance, including forecasted revenues and margins, capacity expansion, multi-year customer demand, stockholder returns, and the performance of the economy in general, are forward-looking statements within the safe harbor provisions of Private Securities Litigation Reform Act of 1995. Words and expressions such as “will,” “expect,” “going forward” or other similar words or expressions often identify forward-looking statements. Such statements are based on current expectations only, and are subject to certain risks, uncertainties and assumptions, many of which are beyond our control. Should one or more of these risks or uncertainties materialize, or should underlying assumptions prove incorrect, actual results, performance, or achievements may vary materially from those anticipated, estimated or projected. Among the factors that could cause actual results to materially differ include: general business and economic conditions; manufacturing or supply chain interruptions or changes in customer demand; delays or difficulties in implementing our cost reduction strategies; delays or difficulties in expanding our manufacturing capacities; an inability to attract and retain highly qualified personnel; changes in foreign currency exchange rates; uncertainty related to the effects of changes in foreign currency exchange rates; competition and technological changes in our industries; difficulties in new product development; difficulties in identifying suitable acquisition candidates, consummating a transaction on terms which we consider acceptable, and integration and performance of acquired businesses; changes in U.S. and foreign trade regulations and tariffs, and uncertainty regarding the same; volatility in prices for metals and materials; changes in applicable domestic and foreign tax regulations, and uncertainty regarding the same; changes in applicable accounting standards and other factors affecting our operations that are set forth in our filings with the Securities and Exchange Commission, including our annual reports on Form 10-K and our quarterly reports on Form 10-Q. We undertake no obligation to publicly update or revise any forward-looking statements, whether as a result of new information, future events or otherwise.</w:t>
      </w:r>
    </w:p>
    <w:p>
      <w:pPr>
        <w:pStyle w:val="TextBody"/>
        <w:bidi w:val="0"/>
        <w:spacing w:lineRule="auto" w:line="360" w:before="0" w:after="0"/>
        <w:ind w:left="0" w:right="0" w:hanging="0"/>
        <w:jc w:val="both"/>
        <w:rPr/>
      </w:pPr>
      <w:r>
        <w:rPr/>
        <w:t> </w:t>
      </w:r>
    </w:p>
    <w:p>
      <w:pPr>
        <w:pStyle w:val="TextBody"/>
        <w:bidi w:val="0"/>
        <w:spacing w:lineRule="auto" w:line="360"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The DNA of tech</w:t>
      </w:r>
      <w:r>
        <w:rPr>
          <w:rFonts w:ascii="TimesNewRoman;Times New Roman;Times;Baskerville;Georgia;serif" w:hAnsi="TimesNewRoman;Times New Roman;Times;Baskerville;Georgia;serif"/>
          <w:sz w:val="20"/>
        </w:rPr>
        <w:t xml:space="preserve">® </w:t>
      </w:r>
      <w:r>
        <w:rPr>
          <w:rFonts w:ascii="TimesNewRoman;Times New Roman;Times;Baskerville;Georgia;serif" w:hAnsi="TimesNewRoman;Times New Roman;Times;Baskerville;Georgia;serif"/>
          <w:i/>
          <w:sz w:val="20"/>
        </w:rPr>
        <w:t>is a trademark of Vishay Intertechnology.</w:t>
      </w:r>
    </w:p>
    <w:p>
      <w:pPr>
        <w:pStyle w:val="TextBody"/>
        <w:bidi w:val="0"/>
        <w:spacing w:lineRule="auto" w:line="360" w:before="0" w:after="0"/>
        <w:ind w:left="0" w:right="0" w:hanging="0"/>
        <w:jc w:val="both"/>
        <w:rPr/>
      </w:pPr>
      <w:r>
        <w:rPr/>
        <w:t> </w:t>
      </w:r>
    </w:p>
    <w:p>
      <w:pPr>
        <w:pStyle w:val="TextBody"/>
        <w:bidi w:val="0"/>
        <w:spacing w:lineRule="auto" w:line="360" w:before="0" w:after="0"/>
        <w:ind w:left="0" w:right="0" w:hanging="0"/>
        <w:jc w:val="both"/>
        <w:rPr/>
      </w:pPr>
      <w:r>
        <w:rPr/>
        <w:t> </w:t>
      </w:r>
    </w:p>
    <w:p>
      <w:pPr>
        <w:pStyle w:val="TextBody"/>
        <w:bidi w:val="0"/>
        <w:spacing w:lineRule="auto" w:line="360" w:before="0" w:after="0"/>
        <w:ind w:left="0" w:right="0" w:hanging="0"/>
        <w:jc w:val="both"/>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Contact:</w:t>
      </w:r>
    </w:p>
    <w:p>
      <w:pPr>
        <w:pStyle w:val="TextBody"/>
        <w:bidi w:val="0"/>
        <w:spacing w:lineRule="auto" w:line="360"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Vishay Intertechnology, Inc.</w:t>
        <w:br/>
        <w:t>Peter Henrici</w:t>
        <w:br/>
        <w:t>Executive Vice President, Corporate Development</w:t>
        <w:br/>
        <w:t>+1-610-644-1300</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4397"/>
        <w:gridCol w:w="107"/>
        <w:gridCol w:w="202"/>
        <w:gridCol w:w="1197"/>
        <w:gridCol w:w="291"/>
        <w:gridCol w:w="107"/>
        <w:gridCol w:w="107"/>
        <w:gridCol w:w="202"/>
        <w:gridCol w:w="1253"/>
        <w:gridCol w:w="291"/>
        <w:gridCol w:w="107"/>
        <w:gridCol w:w="107"/>
        <w:gridCol w:w="202"/>
        <w:gridCol w:w="1285"/>
        <w:gridCol w:w="350"/>
      </w:tblGrid>
      <w:tr>
        <w:trPr/>
        <w:tc>
          <w:tcPr>
            <w:tcW w:w="4397" w:type="dxa"/>
            <w:tcBorders/>
            <w:vAlign w:val="center"/>
          </w:tcPr>
          <w:p>
            <w:pPr>
              <w:pStyle w:val="TableContents"/>
              <w:bidi w:val="0"/>
              <w:spacing w:before="0" w:after="283"/>
              <w:jc w:val="left"/>
              <w:rPr/>
            </w:pPr>
            <w:r>
              <w:rPr/>
              <w:t xml:space="preserve">VISHAY INTERTECHNOLOGY, INC.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Summary of Operations</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(Unaudited - In thousands, except per share amounts)</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 </w:t>
            </w:r>
          </w:p>
        </w:tc>
        <w:tc>
          <w:tcPr>
            <w:tcW w:w="5808" w:type="dxa"/>
            <w:gridSpan w:val="14"/>
            <w:tcBorders/>
            <w:vAlign w:val="center"/>
          </w:tcPr>
          <w:p>
            <w:pPr>
              <w:pStyle w:val="TableContents"/>
              <w:bidi w:val="0"/>
              <w:spacing w:before="0" w:after="283"/>
              <w:jc w:val="center"/>
              <w:rPr/>
            </w:pPr>
            <w:r>
              <w:rPr/>
              <w:t>Fiscal quarters ended</w:t>
            </w:r>
          </w:p>
        </w:tc>
      </w:tr>
      <w:tr>
        <w:trPr/>
        <w:tc>
          <w:tcPr>
            <w:tcW w:w="439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bottom w:val="single" w:sz="6" w:space="0" w:color="000000"/>
            </w:tcBorders>
            <w:tcMar>
              <w:bottom w:w="28" w:type="dxa"/>
            </w:tcMar>
            <w:vAlign w:val="center"/>
          </w:tcPr>
          <w:p>
            <w:pPr>
              <w:pStyle w:val="TableContents"/>
              <w:bidi w:val="0"/>
              <w:spacing w:before="0" w:after="283"/>
              <w:jc w:val="left"/>
              <w:rPr/>
            </w:pPr>
            <w:r>
              <w:rPr/>
              <w:t> </w:t>
            </w:r>
          </w:p>
        </w:tc>
        <w:tc>
          <w:tcPr>
            <w:tcW w:w="1197" w:type="dxa"/>
            <w:tcBorders>
              <w:bottom w:val="single" w:sz="6" w:space="0" w:color="000000"/>
            </w:tcBorders>
            <w:tcMar>
              <w:bottom w:w="28" w:type="dxa"/>
            </w:tcMar>
            <w:vAlign w:val="center"/>
          </w:tcPr>
          <w:p>
            <w:pPr>
              <w:pStyle w:val="TableContents"/>
              <w:bidi w:val="0"/>
              <w:spacing w:before="0" w:after="283"/>
              <w:jc w:val="center"/>
              <w:rPr/>
            </w:pPr>
            <w:r>
              <w:rPr/>
              <w:t>July 4, 2026</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bottom w:val="single" w:sz="6" w:space="0" w:color="000000"/>
            </w:tcBorders>
            <w:tcMar>
              <w:bottom w:w="28" w:type="dxa"/>
            </w:tcMar>
            <w:vAlign w:val="center"/>
          </w:tcPr>
          <w:p>
            <w:pPr>
              <w:pStyle w:val="TableContents"/>
              <w:bidi w:val="0"/>
              <w:spacing w:before="0" w:after="283"/>
              <w:jc w:val="left"/>
              <w:rPr/>
            </w:pPr>
            <w:r>
              <w:rPr/>
              <w:t> </w:t>
            </w:r>
          </w:p>
        </w:tc>
        <w:tc>
          <w:tcPr>
            <w:tcW w:w="1253" w:type="dxa"/>
            <w:tcBorders>
              <w:bottom w:val="single" w:sz="6" w:space="0" w:color="000000"/>
            </w:tcBorders>
            <w:tcMar>
              <w:bottom w:w="28" w:type="dxa"/>
            </w:tcMar>
            <w:vAlign w:val="center"/>
          </w:tcPr>
          <w:p>
            <w:pPr>
              <w:pStyle w:val="TableContents"/>
              <w:bidi w:val="0"/>
              <w:spacing w:before="0" w:after="283"/>
              <w:jc w:val="center"/>
              <w:rPr/>
            </w:pPr>
            <w:r>
              <w:rPr/>
              <w:t>April 4, 2026</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bottom w:val="single" w:sz="6" w:space="0" w:color="000000"/>
            </w:tcBorders>
            <w:tcMar>
              <w:bottom w:w="28" w:type="dxa"/>
            </w:tcMar>
            <w:vAlign w:val="center"/>
          </w:tcPr>
          <w:p>
            <w:pPr>
              <w:pStyle w:val="TableContents"/>
              <w:bidi w:val="0"/>
              <w:spacing w:before="0" w:after="283"/>
              <w:jc w:val="left"/>
              <w:rPr/>
            </w:pPr>
            <w:r>
              <w:rPr/>
              <w:t> </w:t>
            </w:r>
          </w:p>
        </w:tc>
        <w:tc>
          <w:tcPr>
            <w:tcW w:w="1285" w:type="dxa"/>
            <w:tcBorders>
              <w:bottom w:val="single" w:sz="6" w:space="0" w:color="000000"/>
            </w:tcBorders>
            <w:tcMar>
              <w:bottom w:w="28" w:type="dxa"/>
            </w:tcMar>
            <w:vAlign w:val="center"/>
          </w:tcPr>
          <w:p>
            <w:pPr>
              <w:pStyle w:val="TableContents"/>
              <w:bidi w:val="0"/>
              <w:spacing w:before="0" w:after="283"/>
              <w:jc w:val="center"/>
              <w:rPr/>
            </w:pPr>
            <w:r>
              <w:rPr/>
              <w:t>June 28, 2025</w:t>
            </w:r>
          </w:p>
        </w:tc>
        <w:tc>
          <w:tcPr>
            <w:tcW w:w="350" w:type="dxa"/>
            <w:tcBorders/>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pPr>
            <w:r>
              <w:rPr/>
              <w:t>Net revenues(a)</w:t>
            </w:r>
          </w:p>
        </w:tc>
        <w:tc>
          <w:tcPr>
            <w:tcW w:w="107" w:type="dxa"/>
            <w:tcBorders/>
            <w:shd w:fill="CCEEFF" w:val="clear"/>
            <w:vAlign w:val="center"/>
          </w:tcPr>
          <w:p>
            <w:pPr>
              <w:pStyle w:val="TableContents"/>
              <w:bidi w:val="0"/>
              <w:spacing w:before="0" w:after="283"/>
              <w:jc w:val="left"/>
              <w:rPr>
                <w:sz w:val="4"/>
                <w:szCs w:val="4"/>
              </w:rPr>
            </w:pPr>
            <w:r>
              <w:rPr>
                <w:sz w:val="4"/>
                <w:szCs w:val="4"/>
              </w:rPr>
            </w:r>
          </w:p>
        </w:tc>
        <w:tc>
          <w:tcPr>
            <w:tcW w:w="202" w:type="dxa"/>
            <w:tcBorders/>
            <w:shd w:fill="CCEEFF" w:val="clear"/>
            <w:vAlign w:val="center"/>
          </w:tcPr>
          <w:p>
            <w:pPr>
              <w:pStyle w:val="TableContents"/>
              <w:bidi w:val="0"/>
              <w:spacing w:before="0" w:after="283"/>
              <w:jc w:val="left"/>
              <w:rPr/>
            </w:pPr>
            <w:r>
              <w:rPr/>
              <w:t>$</w:t>
            </w:r>
          </w:p>
        </w:tc>
        <w:tc>
          <w:tcPr>
            <w:tcW w:w="1197" w:type="dxa"/>
            <w:tcBorders/>
            <w:shd w:fill="CCEEFF" w:val="clear"/>
            <w:vAlign w:val="center"/>
          </w:tcPr>
          <w:p>
            <w:pPr>
              <w:pStyle w:val="TableContents"/>
              <w:bidi w:val="0"/>
              <w:spacing w:before="0" w:after="283"/>
              <w:jc w:val="right"/>
              <w:rPr/>
            </w:pPr>
            <w:r>
              <w:rPr/>
              <w:t>888,575</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sz w:val="4"/>
                <w:szCs w:val="4"/>
              </w:rPr>
            </w:pPr>
            <w:r>
              <w:rPr>
                <w:sz w:val="4"/>
                <w:szCs w:val="4"/>
              </w:rPr>
            </w:r>
          </w:p>
        </w:tc>
        <w:tc>
          <w:tcPr>
            <w:tcW w:w="202"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839,242</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sz w:val="4"/>
                <w:szCs w:val="4"/>
              </w:rPr>
            </w:pPr>
            <w:r>
              <w:rPr>
                <w:sz w:val="4"/>
                <w:szCs w:val="4"/>
              </w:rPr>
            </w:r>
          </w:p>
        </w:tc>
        <w:tc>
          <w:tcPr>
            <w:tcW w:w="202"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762,250</w:t>
            </w:r>
          </w:p>
        </w:tc>
        <w:tc>
          <w:tcPr>
            <w:tcW w:w="350"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Costs of products sold(b)</w:t>
            </w:r>
          </w:p>
        </w:tc>
        <w:tc>
          <w:tcPr>
            <w:tcW w:w="107" w:type="dxa"/>
            <w:tcBorders/>
            <w:vAlign w:val="center"/>
          </w:tcPr>
          <w:p>
            <w:pPr>
              <w:pStyle w:val="TableContents"/>
              <w:bidi w:val="0"/>
              <w:spacing w:before="0" w:after="283"/>
              <w:jc w:val="left"/>
              <w:rPr/>
            </w:pPr>
            <w:r>
              <w:rPr/>
              <w:t> </w:t>
            </w:r>
          </w:p>
        </w:tc>
        <w:tc>
          <w:tcPr>
            <w:tcW w:w="202" w:type="dxa"/>
            <w:tcBorders>
              <w:bottom w:val="single" w:sz="2" w:space="0" w:color="000000"/>
            </w:tcBorders>
            <w:tcMar>
              <w:bottom w:w="28" w:type="dxa"/>
            </w:tcMar>
            <w:vAlign w:val="center"/>
          </w:tcPr>
          <w:p>
            <w:pPr>
              <w:pStyle w:val="TableContents"/>
              <w:bidi w:val="0"/>
              <w:spacing w:before="0" w:after="283"/>
              <w:jc w:val="right"/>
              <w:rPr/>
            </w:pPr>
            <w:r>
              <w:rPr/>
              <w:t> </w:t>
            </w:r>
          </w:p>
        </w:tc>
        <w:tc>
          <w:tcPr>
            <w:tcW w:w="1197" w:type="dxa"/>
            <w:tcBorders>
              <w:bottom w:val="single" w:sz="6" w:space="0" w:color="000000"/>
            </w:tcBorders>
            <w:tcMar>
              <w:bottom w:w="28" w:type="dxa"/>
            </w:tcMar>
            <w:vAlign w:val="center"/>
          </w:tcPr>
          <w:p>
            <w:pPr>
              <w:pStyle w:val="TableContents"/>
              <w:bidi w:val="0"/>
              <w:spacing w:before="0" w:after="283"/>
              <w:jc w:val="right"/>
              <w:rPr/>
            </w:pPr>
            <w:r>
              <w:rPr/>
              <w:t>681,193</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bottom w:val="single" w:sz="2" w:space="0" w:color="000000"/>
            </w:tcBorders>
            <w:tcMar>
              <w:bottom w:w="28" w:type="dxa"/>
            </w:tcMar>
            <w:vAlign w:val="center"/>
          </w:tcPr>
          <w:p>
            <w:pPr>
              <w:pStyle w:val="TableContents"/>
              <w:bidi w:val="0"/>
              <w:spacing w:before="0" w:after="283"/>
              <w:jc w:val="right"/>
              <w:rPr/>
            </w:pPr>
            <w:r>
              <w:rPr/>
              <w:t> </w:t>
            </w:r>
          </w:p>
        </w:tc>
        <w:tc>
          <w:tcPr>
            <w:tcW w:w="1253" w:type="dxa"/>
            <w:tcBorders>
              <w:bottom w:val="single" w:sz="6" w:space="0" w:color="000000"/>
            </w:tcBorders>
            <w:tcMar>
              <w:bottom w:w="28" w:type="dxa"/>
            </w:tcMar>
            <w:vAlign w:val="center"/>
          </w:tcPr>
          <w:p>
            <w:pPr>
              <w:pStyle w:val="TableContents"/>
              <w:bidi w:val="0"/>
              <w:spacing w:before="0" w:after="283"/>
              <w:jc w:val="right"/>
              <w:rPr/>
            </w:pPr>
            <w:r>
              <w:rPr/>
              <w:t>662,630</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bottom w:val="single" w:sz="2" w:space="0" w:color="000000"/>
            </w:tcBorders>
            <w:tcMar>
              <w:bottom w:w="28" w:type="dxa"/>
            </w:tcMar>
            <w:vAlign w:val="center"/>
          </w:tcPr>
          <w:p>
            <w:pPr>
              <w:pStyle w:val="TableContents"/>
              <w:bidi w:val="0"/>
              <w:spacing w:before="0" w:after="283"/>
              <w:jc w:val="right"/>
              <w:rPr/>
            </w:pPr>
            <w:r>
              <w:rPr/>
              <w:t> </w:t>
            </w:r>
          </w:p>
        </w:tc>
        <w:tc>
          <w:tcPr>
            <w:tcW w:w="1285" w:type="dxa"/>
            <w:tcBorders>
              <w:bottom w:val="single" w:sz="6" w:space="0" w:color="000000"/>
            </w:tcBorders>
            <w:tcMar>
              <w:bottom w:w="28" w:type="dxa"/>
            </w:tcMar>
            <w:vAlign w:val="center"/>
          </w:tcPr>
          <w:p>
            <w:pPr>
              <w:pStyle w:val="TableContents"/>
              <w:bidi w:val="0"/>
              <w:spacing w:before="0" w:after="283"/>
              <w:jc w:val="right"/>
              <w:rPr/>
            </w:pPr>
            <w:r>
              <w:rPr/>
              <w:t>613,567</w:t>
            </w:r>
          </w:p>
        </w:tc>
        <w:tc>
          <w:tcPr>
            <w:tcW w:w="350"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pPr>
            <w:r>
              <w:rPr/>
              <w:t>Gross profit</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197" w:type="dxa"/>
            <w:tcBorders/>
            <w:shd w:fill="CCEEFF" w:val="clear"/>
            <w:vAlign w:val="center"/>
          </w:tcPr>
          <w:p>
            <w:pPr>
              <w:pStyle w:val="TableContents"/>
              <w:bidi w:val="0"/>
              <w:spacing w:before="0" w:after="283"/>
              <w:jc w:val="right"/>
              <w:rPr/>
            </w:pPr>
            <w:r>
              <w:rPr/>
              <w:t>207,382</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253" w:type="dxa"/>
            <w:tcBorders/>
            <w:shd w:fill="CCEEFF" w:val="clear"/>
            <w:vAlign w:val="center"/>
          </w:tcPr>
          <w:p>
            <w:pPr>
              <w:pStyle w:val="TableContents"/>
              <w:bidi w:val="0"/>
              <w:spacing w:before="0" w:after="283"/>
              <w:jc w:val="right"/>
              <w:rPr/>
            </w:pPr>
            <w:r>
              <w:rPr/>
              <w:t>176,612</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285" w:type="dxa"/>
            <w:tcBorders/>
            <w:shd w:fill="CCEEFF" w:val="clear"/>
            <w:vAlign w:val="center"/>
          </w:tcPr>
          <w:p>
            <w:pPr>
              <w:pStyle w:val="TableContents"/>
              <w:bidi w:val="0"/>
              <w:spacing w:before="0" w:after="283"/>
              <w:jc w:val="right"/>
              <w:rPr/>
            </w:pPr>
            <w:r>
              <w:rPr/>
              <w:t>148,683</w:t>
            </w:r>
          </w:p>
        </w:tc>
        <w:tc>
          <w:tcPr>
            <w:tcW w:w="350"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Gross margin</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right"/>
              <w:rPr/>
            </w:pPr>
            <w:r>
              <w:rPr/>
              <w:t> </w:t>
            </w:r>
          </w:p>
        </w:tc>
        <w:tc>
          <w:tcPr>
            <w:tcW w:w="1197" w:type="dxa"/>
            <w:tcBorders/>
            <w:vAlign w:val="center"/>
          </w:tcPr>
          <w:p>
            <w:pPr>
              <w:pStyle w:val="TableContents"/>
              <w:bidi w:val="0"/>
              <w:spacing w:before="0" w:after="283"/>
              <w:jc w:val="right"/>
              <w:rPr/>
            </w:pPr>
            <w:r>
              <w:rPr/>
              <w:t>23.3</w:t>
            </w:r>
          </w:p>
        </w:tc>
        <w:tc>
          <w:tcPr>
            <w:tcW w:w="291" w:type="dxa"/>
            <w:tcBorders/>
            <w:vAlign w:val="center"/>
          </w:tcPr>
          <w:p>
            <w:pPr>
              <w:pStyle w:val="TableContents"/>
              <w:bidi w:val="0"/>
              <w:spacing w:before="0" w:after="283"/>
              <w:jc w:val="left"/>
              <w:rPr/>
            </w:pPr>
            <w:r>
              <w:rPr/>
              <w:t>%</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right"/>
              <w:rPr/>
            </w:pPr>
            <w:r>
              <w:rPr/>
              <w:t> </w:t>
            </w:r>
          </w:p>
        </w:tc>
        <w:tc>
          <w:tcPr>
            <w:tcW w:w="1253" w:type="dxa"/>
            <w:tcBorders/>
            <w:vAlign w:val="center"/>
          </w:tcPr>
          <w:p>
            <w:pPr>
              <w:pStyle w:val="TableContents"/>
              <w:bidi w:val="0"/>
              <w:spacing w:before="0" w:after="283"/>
              <w:jc w:val="right"/>
              <w:rPr/>
            </w:pPr>
            <w:r>
              <w:rPr/>
              <w:t>21.0</w:t>
            </w:r>
          </w:p>
        </w:tc>
        <w:tc>
          <w:tcPr>
            <w:tcW w:w="291" w:type="dxa"/>
            <w:tcBorders/>
            <w:vAlign w:val="center"/>
          </w:tcPr>
          <w:p>
            <w:pPr>
              <w:pStyle w:val="TableContents"/>
              <w:bidi w:val="0"/>
              <w:spacing w:before="0" w:after="283"/>
              <w:jc w:val="left"/>
              <w:rPr/>
            </w:pPr>
            <w:r>
              <w:rPr/>
              <w:t>%</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right"/>
              <w:rPr/>
            </w:pPr>
            <w:r>
              <w:rPr/>
              <w:t> </w:t>
            </w:r>
          </w:p>
        </w:tc>
        <w:tc>
          <w:tcPr>
            <w:tcW w:w="1285" w:type="dxa"/>
            <w:tcBorders/>
            <w:vAlign w:val="center"/>
          </w:tcPr>
          <w:p>
            <w:pPr>
              <w:pStyle w:val="TableContents"/>
              <w:bidi w:val="0"/>
              <w:spacing w:before="0" w:after="283"/>
              <w:jc w:val="right"/>
              <w:rPr/>
            </w:pPr>
            <w:r>
              <w:rPr/>
              <w:t>19.5</w:t>
            </w:r>
          </w:p>
        </w:tc>
        <w:tc>
          <w:tcPr>
            <w:tcW w:w="350" w:type="dxa"/>
            <w:tcBorders/>
            <w:vAlign w:val="center"/>
          </w:tcPr>
          <w:p>
            <w:pPr>
              <w:pStyle w:val="TableContents"/>
              <w:bidi w:val="0"/>
              <w:spacing w:before="0" w:after="283"/>
              <w:jc w:val="left"/>
              <w:rPr/>
            </w:pPr>
            <w:r>
              <w:rPr/>
              <w:t>%</w:t>
            </w:r>
          </w:p>
        </w:tc>
      </w:tr>
      <w:tr>
        <w:trPr/>
        <w:tc>
          <w:tcPr>
            <w:tcW w:w="439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Selling, general, and administrative expenses(c)</w:t>
            </w:r>
          </w:p>
        </w:tc>
        <w:tc>
          <w:tcPr>
            <w:tcW w:w="107" w:type="dxa"/>
            <w:tcBorders/>
            <w:vAlign w:val="center"/>
          </w:tcPr>
          <w:p>
            <w:pPr>
              <w:pStyle w:val="TableContents"/>
              <w:bidi w:val="0"/>
              <w:spacing w:before="0" w:after="283"/>
              <w:jc w:val="left"/>
              <w:rPr/>
            </w:pPr>
            <w:r>
              <w:rPr/>
              <w:t> </w:t>
            </w:r>
          </w:p>
        </w:tc>
        <w:tc>
          <w:tcPr>
            <w:tcW w:w="202" w:type="dxa"/>
            <w:tcBorders>
              <w:bottom w:val="single" w:sz="2" w:space="0" w:color="000000"/>
            </w:tcBorders>
            <w:tcMar>
              <w:bottom w:w="28" w:type="dxa"/>
            </w:tcMar>
            <w:vAlign w:val="center"/>
          </w:tcPr>
          <w:p>
            <w:pPr>
              <w:pStyle w:val="TableContents"/>
              <w:bidi w:val="0"/>
              <w:spacing w:before="0" w:after="283"/>
              <w:jc w:val="right"/>
              <w:rPr/>
            </w:pPr>
            <w:r>
              <w:rPr/>
              <w:t> </w:t>
            </w:r>
          </w:p>
        </w:tc>
        <w:tc>
          <w:tcPr>
            <w:tcW w:w="1197" w:type="dxa"/>
            <w:tcBorders>
              <w:bottom w:val="single" w:sz="6" w:space="0" w:color="000000"/>
            </w:tcBorders>
            <w:tcMar>
              <w:bottom w:w="28" w:type="dxa"/>
            </w:tcMar>
            <w:vAlign w:val="center"/>
          </w:tcPr>
          <w:p>
            <w:pPr>
              <w:pStyle w:val="TableContents"/>
              <w:bidi w:val="0"/>
              <w:spacing w:before="0" w:after="283"/>
              <w:jc w:val="right"/>
              <w:rPr/>
            </w:pPr>
            <w:r>
              <w:rPr/>
              <w:t>153,856</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bottom w:val="single" w:sz="2" w:space="0" w:color="000000"/>
            </w:tcBorders>
            <w:tcMar>
              <w:bottom w:w="28" w:type="dxa"/>
            </w:tcMar>
            <w:vAlign w:val="center"/>
          </w:tcPr>
          <w:p>
            <w:pPr>
              <w:pStyle w:val="TableContents"/>
              <w:bidi w:val="0"/>
              <w:spacing w:before="0" w:after="283"/>
              <w:jc w:val="right"/>
              <w:rPr/>
            </w:pPr>
            <w:r>
              <w:rPr/>
              <w:t> </w:t>
            </w:r>
          </w:p>
        </w:tc>
        <w:tc>
          <w:tcPr>
            <w:tcW w:w="1253" w:type="dxa"/>
            <w:tcBorders>
              <w:bottom w:val="single" w:sz="6" w:space="0" w:color="000000"/>
            </w:tcBorders>
            <w:tcMar>
              <w:bottom w:w="28" w:type="dxa"/>
            </w:tcMar>
            <w:vAlign w:val="center"/>
          </w:tcPr>
          <w:p>
            <w:pPr>
              <w:pStyle w:val="TableContents"/>
              <w:bidi w:val="0"/>
              <w:spacing w:before="0" w:after="283"/>
              <w:jc w:val="right"/>
              <w:rPr/>
            </w:pPr>
            <w:r>
              <w:rPr/>
              <w:t>154,488</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bottom w:val="single" w:sz="2" w:space="0" w:color="000000"/>
            </w:tcBorders>
            <w:tcMar>
              <w:bottom w:w="28" w:type="dxa"/>
            </w:tcMar>
            <w:vAlign w:val="center"/>
          </w:tcPr>
          <w:p>
            <w:pPr>
              <w:pStyle w:val="TableContents"/>
              <w:bidi w:val="0"/>
              <w:spacing w:before="0" w:after="283"/>
              <w:jc w:val="right"/>
              <w:rPr/>
            </w:pPr>
            <w:r>
              <w:rPr/>
              <w:t> </w:t>
            </w:r>
          </w:p>
        </w:tc>
        <w:tc>
          <w:tcPr>
            <w:tcW w:w="1285" w:type="dxa"/>
            <w:tcBorders>
              <w:bottom w:val="single" w:sz="6" w:space="0" w:color="000000"/>
            </w:tcBorders>
            <w:tcMar>
              <w:bottom w:w="28" w:type="dxa"/>
            </w:tcMar>
            <w:vAlign w:val="center"/>
          </w:tcPr>
          <w:p>
            <w:pPr>
              <w:pStyle w:val="TableContents"/>
              <w:bidi w:val="0"/>
              <w:spacing w:before="0" w:after="283"/>
              <w:jc w:val="right"/>
              <w:rPr/>
            </w:pPr>
            <w:r>
              <w:rPr/>
              <w:t>126,565</w:t>
            </w:r>
          </w:p>
        </w:tc>
        <w:tc>
          <w:tcPr>
            <w:tcW w:w="350"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pPr>
            <w:r>
              <w:rPr/>
              <w:t>Operating income</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197" w:type="dxa"/>
            <w:tcBorders/>
            <w:shd w:fill="CCEEFF" w:val="clear"/>
            <w:vAlign w:val="center"/>
          </w:tcPr>
          <w:p>
            <w:pPr>
              <w:pStyle w:val="TableContents"/>
              <w:bidi w:val="0"/>
              <w:spacing w:before="0" w:after="283"/>
              <w:jc w:val="right"/>
              <w:rPr/>
            </w:pPr>
            <w:r>
              <w:rPr/>
              <w:t>53,526</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253" w:type="dxa"/>
            <w:tcBorders/>
            <w:shd w:fill="CCEEFF" w:val="clear"/>
            <w:vAlign w:val="center"/>
          </w:tcPr>
          <w:p>
            <w:pPr>
              <w:pStyle w:val="TableContents"/>
              <w:bidi w:val="0"/>
              <w:spacing w:before="0" w:after="283"/>
              <w:jc w:val="right"/>
              <w:rPr/>
            </w:pPr>
            <w:r>
              <w:rPr/>
              <w:t>22,124</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285" w:type="dxa"/>
            <w:tcBorders/>
            <w:shd w:fill="CCEEFF" w:val="clear"/>
            <w:vAlign w:val="center"/>
          </w:tcPr>
          <w:p>
            <w:pPr>
              <w:pStyle w:val="TableContents"/>
              <w:bidi w:val="0"/>
              <w:spacing w:before="0" w:after="283"/>
              <w:jc w:val="right"/>
              <w:rPr/>
            </w:pPr>
            <w:r>
              <w:rPr/>
              <w:t>22,118</w:t>
            </w:r>
          </w:p>
        </w:tc>
        <w:tc>
          <w:tcPr>
            <w:tcW w:w="350"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Operating margin</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right"/>
              <w:rPr/>
            </w:pPr>
            <w:r>
              <w:rPr/>
              <w:t> </w:t>
            </w:r>
          </w:p>
        </w:tc>
        <w:tc>
          <w:tcPr>
            <w:tcW w:w="1197" w:type="dxa"/>
            <w:tcBorders/>
            <w:vAlign w:val="center"/>
          </w:tcPr>
          <w:p>
            <w:pPr>
              <w:pStyle w:val="TableContents"/>
              <w:bidi w:val="0"/>
              <w:spacing w:before="0" w:after="283"/>
              <w:jc w:val="right"/>
              <w:rPr/>
            </w:pPr>
            <w:r>
              <w:rPr/>
              <w:t>6.0</w:t>
            </w:r>
          </w:p>
        </w:tc>
        <w:tc>
          <w:tcPr>
            <w:tcW w:w="291" w:type="dxa"/>
            <w:tcBorders/>
            <w:vAlign w:val="center"/>
          </w:tcPr>
          <w:p>
            <w:pPr>
              <w:pStyle w:val="TableContents"/>
              <w:bidi w:val="0"/>
              <w:spacing w:before="0" w:after="283"/>
              <w:jc w:val="left"/>
              <w:rPr/>
            </w:pPr>
            <w:r>
              <w:rPr/>
              <w:t>%</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right"/>
              <w:rPr/>
            </w:pPr>
            <w:r>
              <w:rPr/>
              <w:t> </w:t>
            </w:r>
          </w:p>
        </w:tc>
        <w:tc>
          <w:tcPr>
            <w:tcW w:w="1253" w:type="dxa"/>
            <w:tcBorders/>
            <w:vAlign w:val="center"/>
          </w:tcPr>
          <w:p>
            <w:pPr>
              <w:pStyle w:val="TableContents"/>
              <w:bidi w:val="0"/>
              <w:spacing w:before="0" w:after="283"/>
              <w:jc w:val="right"/>
              <w:rPr/>
            </w:pPr>
            <w:r>
              <w:rPr/>
              <w:t>2.6</w:t>
            </w:r>
          </w:p>
        </w:tc>
        <w:tc>
          <w:tcPr>
            <w:tcW w:w="291" w:type="dxa"/>
            <w:tcBorders/>
            <w:vAlign w:val="center"/>
          </w:tcPr>
          <w:p>
            <w:pPr>
              <w:pStyle w:val="TableContents"/>
              <w:bidi w:val="0"/>
              <w:spacing w:before="0" w:after="283"/>
              <w:jc w:val="left"/>
              <w:rPr/>
            </w:pPr>
            <w:r>
              <w:rPr/>
              <w:t>%</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right"/>
              <w:rPr/>
            </w:pPr>
            <w:r>
              <w:rPr/>
              <w:t> </w:t>
            </w:r>
          </w:p>
        </w:tc>
        <w:tc>
          <w:tcPr>
            <w:tcW w:w="1285" w:type="dxa"/>
            <w:tcBorders/>
            <w:vAlign w:val="center"/>
          </w:tcPr>
          <w:p>
            <w:pPr>
              <w:pStyle w:val="TableContents"/>
              <w:bidi w:val="0"/>
              <w:spacing w:before="0" w:after="283"/>
              <w:jc w:val="right"/>
              <w:rPr/>
            </w:pPr>
            <w:r>
              <w:rPr/>
              <w:t>2.9</w:t>
            </w:r>
          </w:p>
        </w:tc>
        <w:tc>
          <w:tcPr>
            <w:tcW w:w="350" w:type="dxa"/>
            <w:tcBorders/>
            <w:vAlign w:val="center"/>
          </w:tcPr>
          <w:p>
            <w:pPr>
              <w:pStyle w:val="TableContents"/>
              <w:bidi w:val="0"/>
              <w:spacing w:before="0" w:after="283"/>
              <w:jc w:val="left"/>
              <w:rPr/>
            </w:pPr>
            <w:r>
              <w:rPr/>
              <w:t>%</w:t>
            </w:r>
          </w:p>
        </w:tc>
      </w:tr>
      <w:tr>
        <w:trPr/>
        <w:tc>
          <w:tcPr>
            <w:tcW w:w="439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Other income (expense):</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pPr>
            <w:r>
              <w:rPr/>
              <w:t>Interest expense</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197" w:type="dxa"/>
            <w:tcBorders/>
            <w:shd w:fill="CCEEFF" w:val="clear"/>
            <w:vAlign w:val="center"/>
          </w:tcPr>
          <w:p>
            <w:pPr>
              <w:pStyle w:val="TableContents"/>
              <w:bidi w:val="0"/>
              <w:spacing w:before="0" w:after="283"/>
              <w:jc w:val="right"/>
              <w:rPr/>
            </w:pPr>
            <w:r>
              <w:rPr/>
              <w:t>(10,333</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253" w:type="dxa"/>
            <w:tcBorders/>
            <w:shd w:fill="CCEEFF" w:val="clear"/>
            <w:vAlign w:val="center"/>
          </w:tcPr>
          <w:p>
            <w:pPr>
              <w:pStyle w:val="TableContents"/>
              <w:bidi w:val="0"/>
              <w:spacing w:before="0" w:after="283"/>
              <w:jc w:val="right"/>
              <w:rPr/>
            </w:pPr>
            <w:r>
              <w:rPr/>
              <w:t>(9,973</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285" w:type="dxa"/>
            <w:tcBorders/>
            <w:shd w:fill="CCEEFF" w:val="clear"/>
            <w:vAlign w:val="center"/>
          </w:tcPr>
          <w:p>
            <w:pPr>
              <w:pStyle w:val="TableContents"/>
              <w:bidi w:val="0"/>
              <w:spacing w:before="0" w:after="283"/>
              <w:jc w:val="right"/>
              <w:rPr/>
            </w:pPr>
            <w:r>
              <w:rPr/>
              <w:t>(10,588</w:t>
            </w:r>
          </w:p>
        </w:tc>
        <w:tc>
          <w:tcPr>
            <w:tcW w:w="350"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Other</w:t>
            </w:r>
          </w:p>
        </w:tc>
        <w:tc>
          <w:tcPr>
            <w:tcW w:w="107" w:type="dxa"/>
            <w:tcBorders/>
            <w:vAlign w:val="center"/>
          </w:tcPr>
          <w:p>
            <w:pPr>
              <w:pStyle w:val="TableContents"/>
              <w:bidi w:val="0"/>
              <w:spacing w:before="0" w:after="283"/>
              <w:jc w:val="left"/>
              <w:rPr/>
            </w:pPr>
            <w:r>
              <w:rPr/>
              <w:t> </w:t>
            </w:r>
          </w:p>
        </w:tc>
        <w:tc>
          <w:tcPr>
            <w:tcW w:w="202" w:type="dxa"/>
            <w:tcBorders>
              <w:bottom w:val="single" w:sz="2" w:space="0" w:color="000000"/>
            </w:tcBorders>
            <w:tcMar>
              <w:bottom w:w="28" w:type="dxa"/>
            </w:tcMar>
            <w:vAlign w:val="center"/>
          </w:tcPr>
          <w:p>
            <w:pPr>
              <w:pStyle w:val="TableContents"/>
              <w:bidi w:val="0"/>
              <w:spacing w:before="0" w:after="283"/>
              <w:jc w:val="right"/>
              <w:rPr/>
            </w:pPr>
            <w:r>
              <w:rPr/>
              <w:t> </w:t>
            </w:r>
          </w:p>
        </w:tc>
        <w:tc>
          <w:tcPr>
            <w:tcW w:w="1197" w:type="dxa"/>
            <w:tcBorders>
              <w:bottom w:val="single" w:sz="6" w:space="0" w:color="000000"/>
            </w:tcBorders>
            <w:tcMar>
              <w:bottom w:w="28" w:type="dxa"/>
            </w:tcMar>
            <w:vAlign w:val="center"/>
          </w:tcPr>
          <w:p>
            <w:pPr>
              <w:pStyle w:val="TableContents"/>
              <w:bidi w:val="0"/>
              <w:spacing w:before="0" w:after="283"/>
              <w:jc w:val="right"/>
              <w:rPr/>
            </w:pPr>
            <w:r>
              <w:rPr/>
              <w:t>(794</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bottom w:val="single" w:sz="2" w:space="0" w:color="000000"/>
            </w:tcBorders>
            <w:tcMar>
              <w:bottom w:w="28" w:type="dxa"/>
            </w:tcMar>
            <w:vAlign w:val="center"/>
          </w:tcPr>
          <w:p>
            <w:pPr>
              <w:pStyle w:val="TableContents"/>
              <w:bidi w:val="0"/>
              <w:spacing w:before="0" w:after="283"/>
              <w:jc w:val="right"/>
              <w:rPr/>
            </w:pPr>
            <w:r>
              <w:rPr/>
              <w:t> </w:t>
            </w:r>
          </w:p>
        </w:tc>
        <w:tc>
          <w:tcPr>
            <w:tcW w:w="1253" w:type="dxa"/>
            <w:tcBorders>
              <w:bottom w:val="single" w:sz="6" w:space="0" w:color="000000"/>
            </w:tcBorders>
            <w:tcMar>
              <w:bottom w:w="28" w:type="dxa"/>
            </w:tcMar>
            <w:vAlign w:val="center"/>
          </w:tcPr>
          <w:p>
            <w:pPr>
              <w:pStyle w:val="TableContents"/>
              <w:bidi w:val="0"/>
              <w:spacing w:before="0" w:after="283"/>
              <w:jc w:val="right"/>
              <w:rPr/>
            </w:pPr>
            <w:r>
              <w:rPr/>
              <w:t>701</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bottom w:val="single" w:sz="2" w:space="0" w:color="000000"/>
            </w:tcBorders>
            <w:tcMar>
              <w:bottom w:w="28" w:type="dxa"/>
            </w:tcMar>
            <w:vAlign w:val="center"/>
          </w:tcPr>
          <w:p>
            <w:pPr>
              <w:pStyle w:val="TableContents"/>
              <w:bidi w:val="0"/>
              <w:spacing w:before="0" w:after="283"/>
              <w:jc w:val="right"/>
              <w:rPr/>
            </w:pPr>
            <w:r>
              <w:rPr/>
              <w:t> </w:t>
            </w:r>
          </w:p>
        </w:tc>
        <w:tc>
          <w:tcPr>
            <w:tcW w:w="1285" w:type="dxa"/>
            <w:tcBorders>
              <w:bottom w:val="single" w:sz="6" w:space="0" w:color="000000"/>
            </w:tcBorders>
            <w:tcMar>
              <w:bottom w:w="28" w:type="dxa"/>
            </w:tcMar>
            <w:vAlign w:val="center"/>
          </w:tcPr>
          <w:p>
            <w:pPr>
              <w:pStyle w:val="TableContents"/>
              <w:bidi w:val="0"/>
              <w:spacing w:before="0" w:after="283"/>
              <w:jc w:val="right"/>
              <w:rPr/>
            </w:pPr>
            <w:r>
              <w:rPr/>
              <w:t>747</w:t>
            </w:r>
          </w:p>
        </w:tc>
        <w:tc>
          <w:tcPr>
            <w:tcW w:w="350"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pPr>
            <w:r>
              <w:rPr/>
              <w:t>Total other income (expense) - net</w:t>
            </w:r>
          </w:p>
        </w:tc>
        <w:tc>
          <w:tcPr>
            <w:tcW w:w="10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1197" w:type="dxa"/>
            <w:tcBorders>
              <w:bottom w:val="single" w:sz="6" w:space="0" w:color="000000"/>
            </w:tcBorders>
            <w:shd w:fill="CCEEFF" w:val="clear"/>
            <w:tcMar>
              <w:bottom w:w="28" w:type="dxa"/>
            </w:tcMar>
            <w:vAlign w:val="center"/>
          </w:tcPr>
          <w:p>
            <w:pPr>
              <w:pStyle w:val="TableContents"/>
              <w:bidi w:val="0"/>
              <w:spacing w:before="0" w:after="283"/>
              <w:jc w:val="right"/>
              <w:rPr/>
            </w:pPr>
            <w:r>
              <w:rPr/>
              <w:t>(11,127</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1253" w:type="dxa"/>
            <w:tcBorders>
              <w:bottom w:val="single" w:sz="6" w:space="0" w:color="000000"/>
            </w:tcBorders>
            <w:shd w:fill="CCEEFF" w:val="clear"/>
            <w:tcMar>
              <w:bottom w:w="28" w:type="dxa"/>
            </w:tcMar>
            <w:vAlign w:val="center"/>
          </w:tcPr>
          <w:p>
            <w:pPr>
              <w:pStyle w:val="TableContents"/>
              <w:bidi w:val="0"/>
              <w:spacing w:before="0" w:after="283"/>
              <w:jc w:val="right"/>
              <w:rPr/>
            </w:pPr>
            <w:r>
              <w:rPr/>
              <w:t>(9,272</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1285" w:type="dxa"/>
            <w:tcBorders>
              <w:bottom w:val="single" w:sz="6" w:space="0" w:color="000000"/>
            </w:tcBorders>
            <w:shd w:fill="CCEEFF" w:val="clear"/>
            <w:tcMar>
              <w:bottom w:w="28" w:type="dxa"/>
            </w:tcMar>
            <w:vAlign w:val="center"/>
          </w:tcPr>
          <w:p>
            <w:pPr>
              <w:pStyle w:val="TableContents"/>
              <w:bidi w:val="0"/>
              <w:spacing w:before="0" w:after="283"/>
              <w:jc w:val="right"/>
              <w:rPr/>
            </w:pPr>
            <w:r>
              <w:rPr/>
              <w:t>(9,841</w:t>
            </w:r>
          </w:p>
        </w:tc>
        <w:tc>
          <w:tcPr>
            <w:tcW w:w="350"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pPr>
            <w:r>
              <w:rPr/>
              <w:t>Income before taxes</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197" w:type="dxa"/>
            <w:tcBorders/>
            <w:shd w:fill="CCEEFF" w:val="clear"/>
            <w:vAlign w:val="center"/>
          </w:tcPr>
          <w:p>
            <w:pPr>
              <w:pStyle w:val="TableContents"/>
              <w:bidi w:val="0"/>
              <w:spacing w:before="0" w:after="283"/>
              <w:jc w:val="right"/>
              <w:rPr/>
            </w:pPr>
            <w:r>
              <w:rPr/>
              <w:t>42,399</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253" w:type="dxa"/>
            <w:tcBorders/>
            <w:shd w:fill="CCEEFF" w:val="clear"/>
            <w:vAlign w:val="center"/>
          </w:tcPr>
          <w:p>
            <w:pPr>
              <w:pStyle w:val="TableContents"/>
              <w:bidi w:val="0"/>
              <w:spacing w:before="0" w:after="283"/>
              <w:jc w:val="right"/>
              <w:rPr/>
            </w:pPr>
            <w:r>
              <w:rPr/>
              <w:t>12,852</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285" w:type="dxa"/>
            <w:tcBorders/>
            <w:shd w:fill="CCEEFF" w:val="clear"/>
            <w:vAlign w:val="center"/>
          </w:tcPr>
          <w:p>
            <w:pPr>
              <w:pStyle w:val="TableContents"/>
              <w:bidi w:val="0"/>
              <w:spacing w:before="0" w:after="283"/>
              <w:jc w:val="right"/>
              <w:rPr/>
            </w:pPr>
            <w:r>
              <w:rPr/>
              <w:t>12,277</w:t>
            </w:r>
          </w:p>
        </w:tc>
        <w:tc>
          <w:tcPr>
            <w:tcW w:w="350"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pPr>
            <w:r>
              <w:rPr/>
              <w:t>Income tax expense</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197" w:type="dxa"/>
            <w:tcBorders/>
            <w:shd w:fill="CCEEFF" w:val="clear"/>
            <w:vAlign w:val="center"/>
          </w:tcPr>
          <w:p>
            <w:pPr>
              <w:pStyle w:val="TableContents"/>
              <w:bidi w:val="0"/>
              <w:spacing w:before="0" w:after="283"/>
              <w:jc w:val="right"/>
              <w:rPr/>
            </w:pPr>
            <w:r>
              <w:rPr/>
              <w:t>14,275</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253" w:type="dxa"/>
            <w:tcBorders/>
            <w:shd w:fill="CCEEFF" w:val="clear"/>
            <w:vAlign w:val="center"/>
          </w:tcPr>
          <w:p>
            <w:pPr>
              <w:pStyle w:val="TableContents"/>
              <w:bidi w:val="0"/>
              <w:spacing w:before="0" w:after="283"/>
              <w:jc w:val="right"/>
              <w:rPr/>
            </w:pPr>
            <w:r>
              <w:rPr/>
              <w:t>5,688</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285" w:type="dxa"/>
            <w:tcBorders/>
            <w:shd w:fill="CCEEFF" w:val="clear"/>
            <w:vAlign w:val="center"/>
          </w:tcPr>
          <w:p>
            <w:pPr>
              <w:pStyle w:val="TableContents"/>
              <w:bidi w:val="0"/>
              <w:spacing w:before="0" w:after="283"/>
              <w:jc w:val="right"/>
              <w:rPr/>
            </w:pPr>
            <w:r>
              <w:rPr/>
              <w:t>10,273</w:t>
            </w:r>
          </w:p>
        </w:tc>
        <w:tc>
          <w:tcPr>
            <w:tcW w:w="350"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bottom w:val="single" w:sz="2" w:space="0" w:color="000000"/>
            </w:tcBorders>
            <w:tcMar>
              <w:bottom w:w="28" w:type="dxa"/>
            </w:tcMar>
            <w:vAlign w:val="center"/>
          </w:tcPr>
          <w:p>
            <w:pPr>
              <w:pStyle w:val="TableContents"/>
              <w:bidi w:val="0"/>
              <w:spacing w:before="0" w:after="283"/>
              <w:jc w:val="left"/>
              <w:rPr/>
            </w:pPr>
            <w:r>
              <w:rPr/>
              <w:t> </w:t>
            </w:r>
          </w:p>
        </w:tc>
        <w:tc>
          <w:tcPr>
            <w:tcW w:w="1197" w:type="dxa"/>
            <w:tcBorders>
              <w:bottom w:val="single" w:sz="6" w:space="0" w:color="000000"/>
            </w:tcBorders>
            <w:tcMar>
              <w:bottom w:w="28" w:type="dxa"/>
            </w:tcMar>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bottom w:val="single" w:sz="2" w:space="0" w:color="000000"/>
            </w:tcBorders>
            <w:tcMar>
              <w:bottom w:w="28" w:type="dxa"/>
            </w:tcMar>
            <w:vAlign w:val="center"/>
          </w:tcPr>
          <w:p>
            <w:pPr>
              <w:pStyle w:val="TableContents"/>
              <w:bidi w:val="0"/>
              <w:spacing w:before="0" w:after="283"/>
              <w:jc w:val="left"/>
              <w:rPr/>
            </w:pPr>
            <w:r>
              <w:rPr/>
              <w:t> </w:t>
            </w:r>
          </w:p>
        </w:tc>
        <w:tc>
          <w:tcPr>
            <w:tcW w:w="1253" w:type="dxa"/>
            <w:tcBorders>
              <w:bottom w:val="single" w:sz="6" w:space="0" w:color="000000"/>
            </w:tcBorders>
            <w:tcMar>
              <w:bottom w:w="28" w:type="dxa"/>
            </w:tcMar>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bottom w:val="single" w:sz="2" w:space="0" w:color="000000"/>
            </w:tcBorders>
            <w:tcMar>
              <w:bottom w:w="28" w:type="dxa"/>
            </w:tcMar>
            <w:vAlign w:val="center"/>
          </w:tcPr>
          <w:p>
            <w:pPr>
              <w:pStyle w:val="TableContents"/>
              <w:bidi w:val="0"/>
              <w:spacing w:before="0" w:after="283"/>
              <w:jc w:val="left"/>
              <w:rPr/>
            </w:pPr>
            <w:r>
              <w:rPr/>
              <w:t> </w:t>
            </w:r>
          </w:p>
        </w:tc>
        <w:tc>
          <w:tcPr>
            <w:tcW w:w="1285" w:type="dxa"/>
            <w:tcBorders>
              <w:bottom w:val="single" w:sz="6" w:space="0" w:color="000000"/>
            </w:tcBorders>
            <w:tcMar>
              <w:bottom w:w="28" w:type="dxa"/>
            </w:tcMar>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pPr>
            <w:r>
              <w:rPr/>
              <w:t>Net earnings</w:t>
            </w:r>
          </w:p>
        </w:tc>
        <w:tc>
          <w:tcPr>
            <w:tcW w:w="107"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28,124</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3" w:type="dxa"/>
            <w:tcBorders>
              <w:bottom w:val="double" w:sz="6" w:space="0" w:color="000000"/>
            </w:tcBorders>
            <w:shd w:fill="CCEEFF" w:val="clear"/>
            <w:tcMar>
              <w:bottom w:w="28" w:type="dxa"/>
            </w:tcMar>
            <w:vAlign w:val="center"/>
          </w:tcPr>
          <w:p>
            <w:pPr>
              <w:pStyle w:val="TableContents"/>
              <w:bidi w:val="0"/>
              <w:spacing w:before="0" w:after="283"/>
              <w:jc w:val="right"/>
              <w:rPr/>
            </w:pPr>
            <w:r>
              <w:rPr/>
              <w:t>7,164</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5" w:type="dxa"/>
            <w:tcBorders>
              <w:bottom w:val="double" w:sz="6" w:space="0" w:color="000000"/>
            </w:tcBorders>
            <w:shd w:fill="CCEEFF" w:val="clear"/>
            <w:tcMar>
              <w:bottom w:w="28" w:type="dxa"/>
            </w:tcMar>
            <w:vAlign w:val="center"/>
          </w:tcPr>
          <w:p>
            <w:pPr>
              <w:pStyle w:val="TableContents"/>
              <w:bidi w:val="0"/>
              <w:spacing w:before="0" w:after="283"/>
              <w:jc w:val="right"/>
              <w:rPr/>
            </w:pPr>
            <w:r>
              <w:rPr/>
              <w:t>2,004</w:t>
            </w:r>
          </w:p>
        </w:tc>
        <w:tc>
          <w:tcPr>
            <w:tcW w:w="350"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pPr>
            <w:r>
              <w:rPr/>
              <w:t>Basic earnings per share</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197" w:type="dxa"/>
            <w:tcBorders/>
            <w:shd w:fill="CCEEFF" w:val="clear"/>
            <w:vAlign w:val="center"/>
          </w:tcPr>
          <w:p>
            <w:pPr>
              <w:pStyle w:val="TableContents"/>
              <w:bidi w:val="0"/>
              <w:spacing w:before="0" w:after="283"/>
              <w:jc w:val="right"/>
              <w:rPr/>
            </w:pPr>
            <w:r>
              <w:rPr/>
              <w:t>0.21</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0.05</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0.01</w:t>
            </w:r>
          </w:p>
        </w:tc>
        <w:tc>
          <w:tcPr>
            <w:tcW w:w="350"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pPr>
            <w:r>
              <w:rPr/>
              <w:t>Diluted earnings per share</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197" w:type="dxa"/>
            <w:tcBorders/>
            <w:shd w:fill="CCEEFF" w:val="clear"/>
            <w:vAlign w:val="center"/>
          </w:tcPr>
          <w:p>
            <w:pPr>
              <w:pStyle w:val="TableContents"/>
              <w:bidi w:val="0"/>
              <w:spacing w:before="0" w:after="283"/>
              <w:jc w:val="right"/>
              <w:rPr/>
            </w:pPr>
            <w:r>
              <w:rPr/>
              <w:t>0.19</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0.05</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0.01</w:t>
            </w:r>
          </w:p>
        </w:tc>
        <w:tc>
          <w:tcPr>
            <w:tcW w:w="350"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pPr>
            <w:r>
              <w:rPr/>
              <w:t>Weighted average shares outstanding - basic</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197" w:type="dxa"/>
            <w:tcBorders/>
            <w:shd w:fill="CCEEFF" w:val="clear"/>
            <w:vAlign w:val="center"/>
          </w:tcPr>
          <w:p>
            <w:pPr>
              <w:pStyle w:val="TableContents"/>
              <w:bidi w:val="0"/>
              <w:spacing w:before="0" w:after="283"/>
              <w:jc w:val="right"/>
              <w:rPr/>
            </w:pPr>
            <w:r>
              <w:rPr/>
              <w:t>136,824</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253" w:type="dxa"/>
            <w:tcBorders/>
            <w:shd w:fill="CCEEFF" w:val="clear"/>
            <w:vAlign w:val="center"/>
          </w:tcPr>
          <w:p>
            <w:pPr>
              <w:pStyle w:val="TableContents"/>
              <w:bidi w:val="0"/>
              <w:spacing w:before="0" w:after="283"/>
              <w:jc w:val="right"/>
              <w:rPr/>
            </w:pPr>
            <w:r>
              <w:rPr/>
              <w:t>136,045</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285" w:type="dxa"/>
            <w:tcBorders/>
            <w:shd w:fill="CCEEFF" w:val="clear"/>
            <w:vAlign w:val="center"/>
          </w:tcPr>
          <w:p>
            <w:pPr>
              <w:pStyle w:val="TableContents"/>
              <w:bidi w:val="0"/>
              <w:spacing w:before="0" w:after="283"/>
              <w:jc w:val="right"/>
              <w:rPr/>
            </w:pPr>
            <w:r>
              <w:rPr/>
              <w:t>135,702</w:t>
            </w:r>
          </w:p>
        </w:tc>
        <w:tc>
          <w:tcPr>
            <w:tcW w:w="350"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pPr>
            <w:r>
              <w:rPr/>
              <w:t>Weighted average shares outstanding - diluted</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197" w:type="dxa"/>
            <w:tcBorders/>
            <w:shd w:fill="CCEEFF" w:val="clear"/>
            <w:vAlign w:val="center"/>
          </w:tcPr>
          <w:p>
            <w:pPr>
              <w:pStyle w:val="TableContents"/>
              <w:bidi w:val="0"/>
              <w:spacing w:before="0" w:after="283"/>
              <w:jc w:val="right"/>
              <w:rPr/>
            </w:pPr>
            <w:r>
              <w:rPr/>
              <w:t>147,901</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253" w:type="dxa"/>
            <w:tcBorders/>
            <w:shd w:fill="CCEEFF" w:val="clear"/>
            <w:vAlign w:val="center"/>
          </w:tcPr>
          <w:p>
            <w:pPr>
              <w:pStyle w:val="TableContents"/>
              <w:bidi w:val="0"/>
              <w:spacing w:before="0" w:after="283"/>
              <w:jc w:val="right"/>
              <w:rPr/>
            </w:pPr>
            <w:r>
              <w:rPr/>
              <w:t>137,471</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right"/>
              <w:rPr/>
            </w:pPr>
            <w:r>
              <w:rPr/>
              <w:t> </w:t>
            </w:r>
          </w:p>
        </w:tc>
        <w:tc>
          <w:tcPr>
            <w:tcW w:w="1285" w:type="dxa"/>
            <w:tcBorders/>
            <w:shd w:fill="CCEEFF" w:val="clear"/>
            <w:vAlign w:val="center"/>
          </w:tcPr>
          <w:p>
            <w:pPr>
              <w:pStyle w:val="TableContents"/>
              <w:bidi w:val="0"/>
              <w:spacing w:before="0" w:after="283"/>
              <w:jc w:val="right"/>
              <w:rPr/>
            </w:pPr>
            <w:r>
              <w:rPr/>
              <w:t>136,167</w:t>
            </w:r>
          </w:p>
        </w:tc>
        <w:tc>
          <w:tcPr>
            <w:tcW w:w="350"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pPr>
            <w:r>
              <w:rPr/>
              <w:t>Cash dividends per share</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197" w:type="dxa"/>
            <w:tcBorders/>
            <w:shd w:fill="CCEEFF" w:val="clear"/>
            <w:vAlign w:val="center"/>
          </w:tcPr>
          <w:p>
            <w:pPr>
              <w:pStyle w:val="TableContents"/>
              <w:bidi w:val="0"/>
              <w:spacing w:before="0" w:after="283"/>
              <w:jc w:val="right"/>
              <w:rPr/>
            </w:pPr>
            <w:r>
              <w:rPr/>
              <w:t>0.10</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0.10</w:t>
            </w:r>
          </w:p>
        </w:tc>
        <w:tc>
          <w:tcPr>
            <w:tcW w:w="29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0.10</w:t>
            </w:r>
          </w:p>
        </w:tc>
        <w:tc>
          <w:tcPr>
            <w:tcW w:w="350"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r>
      <w:tr>
        <w:trPr/>
        <w:tc>
          <w:tcPr>
            <w:tcW w:w="10205" w:type="dxa"/>
            <w:gridSpan w:val="15"/>
            <w:tcBorders/>
            <w:vAlign w:val="center"/>
          </w:tcPr>
          <w:p>
            <w:pPr>
              <w:pStyle w:val="TableContents"/>
              <w:bidi w:val="0"/>
              <w:spacing w:before="0" w:after="283"/>
              <w:jc w:val="both"/>
              <w:rPr/>
            </w:pPr>
            <w:r>
              <w:rPr/>
              <w:t>(a) Net revenues for the fiscal quarter ended July 4, 2026 are reduced by ($30,008) for tariff refunds passed through to customers, with no impact on gross profit.</w:t>
            </w:r>
          </w:p>
        </w:tc>
      </w:tr>
      <w:tr>
        <w:trPr/>
        <w:tc>
          <w:tcPr>
            <w:tcW w:w="10205" w:type="dxa"/>
            <w:gridSpan w:val="15"/>
            <w:tcBorders/>
            <w:vAlign w:val="center"/>
          </w:tcPr>
          <w:p>
            <w:pPr>
              <w:pStyle w:val="TableContents"/>
              <w:bidi w:val="0"/>
              <w:spacing w:before="0" w:after="283"/>
              <w:jc w:val="both"/>
              <w:rPr/>
            </w:pPr>
            <w:r>
              <w:rPr/>
              <w:t>(b) Costs of product sold for the fiscal quarter ended July 4, 2026 are reduced by ($30,008) for tariff refunds received from the U.S. government, with no impact on gross profit.</w:t>
            </w:r>
          </w:p>
        </w:tc>
      </w:tr>
      <w:tr>
        <w:trPr/>
        <w:tc>
          <w:tcPr>
            <w:tcW w:w="10205" w:type="dxa"/>
            <w:gridSpan w:val="15"/>
            <w:tcBorders/>
            <w:vAlign w:val="center"/>
          </w:tcPr>
          <w:p>
            <w:pPr>
              <w:pStyle w:val="TableContents"/>
              <w:bidi w:val="0"/>
              <w:spacing w:before="0" w:after="283"/>
              <w:jc w:val="both"/>
              <w:rPr/>
            </w:pPr>
            <w:r>
              <w:rPr/>
              <w:t>(c) Selling, general, and administrative expenses for the fiscal quarter ended June 28, 2025 include a ($11,293) benefit recognized upon the favorable resolution of a contingency.</w:t>
            </w:r>
          </w:p>
        </w:tc>
      </w:tr>
    </w:tbl>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5804"/>
        <w:gridCol w:w="113"/>
        <w:gridCol w:w="215"/>
        <w:gridCol w:w="1420"/>
        <w:gridCol w:w="310"/>
        <w:gridCol w:w="113"/>
        <w:gridCol w:w="113"/>
        <w:gridCol w:w="215"/>
        <w:gridCol w:w="1529"/>
        <w:gridCol w:w="373"/>
      </w:tblGrid>
      <w:tr>
        <w:trPr/>
        <w:tc>
          <w:tcPr>
            <w:tcW w:w="5804" w:type="dxa"/>
            <w:tcBorders/>
            <w:vAlign w:val="center"/>
          </w:tcPr>
          <w:p>
            <w:pPr>
              <w:pStyle w:val="TableContents"/>
              <w:bidi w:val="0"/>
              <w:spacing w:before="0" w:after="283"/>
              <w:jc w:val="left"/>
              <w:rPr/>
            </w:pPr>
            <w:r>
              <w:rPr/>
              <w:t xml:space="preserve">VISHAY INTERTECHNOLOGY, INC.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Summary of Operations</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(Unaudited - In thousands, except per share amounts)</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 </w:t>
            </w:r>
          </w:p>
        </w:tc>
        <w:tc>
          <w:tcPr>
            <w:tcW w:w="4401" w:type="dxa"/>
            <w:gridSpan w:val="9"/>
            <w:tcBorders/>
            <w:vAlign w:val="center"/>
          </w:tcPr>
          <w:p>
            <w:pPr>
              <w:pStyle w:val="TableContents"/>
              <w:bidi w:val="0"/>
              <w:spacing w:before="0" w:after="283"/>
              <w:jc w:val="center"/>
              <w:rPr/>
            </w:pPr>
            <w:r>
              <w:rPr/>
              <w:t>Six fiscal months ended</w:t>
            </w:r>
          </w:p>
        </w:tc>
      </w:tr>
      <w:tr>
        <w:trPr/>
        <w:tc>
          <w:tcPr>
            <w:tcW w:w="58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1420" w:type="dxa"/>
            <w:tcBorders>
              <w:bottom w:val="single" w:sz="6" w:space="0" w:color="000000"/>
            </w:tcBorders>
            <w:tcMar>
              <w:bottom w:w="28" w:type="dxa"/>
            </w:tcMar>
            <w:vAlign w:val="center"/>
          </w:tcPr>
          <w:p>
            <w:pPr>
              <w:pStyle w:val="TableContents"/>
              <w:bidi w:val="0"/>
              <w:spacing w:before="0" w:after="283"/>
              <w:jc w:val="center"/>
              <w:rPr/>
            </w:pPr>
            <w:r>
              <w:rPr/>
              <w:t>July 4, 2026</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1529" w:type="dxa"/>
            <w:tcBorders>
              <w:bottom w:val="single" w:sz="6" w:space="0" w:color="000000"/>
            </w:tcBorders>
            <w:tcMar>
              <w:bottom w:w="28" w:type="dxa"/>
            </w:tcMar>
            <w:vAlign w:val="center"/>
          </w:tcPr>
          <w:p>
            <w:pPr>
              <w:pStyle w:val="TableContents"/>
              <w:bidi w:val="0"/>
              <w:spacing w:before="0" w:after="283"/>
              <w:jc w:val="center"/>
              <w:rPr/>
            </w:pPr>
            <w:r>
              <w:rPr/>
              <w:t>June 28, 2025</w:t>
            </w:r>
          </w:p>
        </w:tc>
        <w:tc>
          <w:tcPr>
            <w:tcW w:w="373" w:type="dxa"/>
            <w:tcBorders/>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r>
      <w:tr>
        <w:trPr/>
        <w:tc>
          <w:tcPr>
            <w:tcW w:w="5804" w:type="dxa"/>
            <w:tcBorders/>
            <w:shd w:fill="CCEEFF" w:val="clear"/>
            <w:vAlign w:val="center"/>
          </w:tcPr>
          <w:p>
            <w:pPr>
              <w:pStyle w:val="TableContents"/>
              <w:bidi w:val="0"/>
              <w:spacing w:before="0" w:after="283"/>
              <w:jc w:val="left"/>
              <w:rPr/>
            </w:pPr>
            <w:r>
              <w:rPr/>
              <w:t>Net revenues(d)</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pPr>
            <w:r>
              <w:rPr/>
              <w:t>$</w:t>
            </w:r>
          </w:p>
        </w:tc>
        <w:tc>
          <w:tcPr>
            <w:tcW w:w="1420" w:type="dxa"/>
            <w:tcBorders/>
            <w:shd w:fill="CCEEFF" w:val="clear"/>
            <w:vAlign w:val="center"/>
          </w:tcPr>
          <w:p>
            <w:pPr>
              <w:pStyle w:val="TableContents"/>
              <w:bidi w:val="0"/>
              <w:spacing w:before="0" w:after="283"/>
              <w:jc w:val="right"/>
              <w:rPr/>
            </w:pPr>
            <w:r>
              <w:rPr/>
              <w:t>1,727,817</w:t>
            </w:r>
          </w:p>
        </w:tc>
        <w:tc>
          <w:tcPr>
            <w:tcW w:w="3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pPr>
            <w:r>
              <w:rPr/>
              <w:t>$</w:t>
            </w:r>
          </w:p>
        </w:tc>
        <w:tc>
          <w:tcPr>
            <w:tcW w:w="1529" w:type="dxa"/>
            <w:tcBorders/>
            <w:shd w:fill="CCEEFF" w:val="clear"/>
            <w:vAlign w:val="center"/>
          </w:tcPr>
          <w:p>
            <w:pPr>
              <w:pStyle w:val="TableContents"/>
              <w:bidi w:val="0"/>
              <w:spacing w:before="0" w:after="283"/>
              <w:jc w:val="right"/>
              <w:rPr/>
            </w:pPr>
            <w:r>
              <w:rPr/>
              <w:t>1,477,486</w:t>
            </w:r>
          </w:p>
        </w:tc>
        <w:tc>
          <w:tcPr>
            <w:tcW w:w="373" w:type="dxa"/>
            <w:tcBorders/>
            <w:shd w:fill="CCEEFF" w:val="clear"/>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Costs of products sold(e)</w:t>
            </w:r>
          </w:p>
        </w:tc>
        <w:tc>
          <w:tcPr>
            <w:tcW w:w="113" w:type="dxa"/>
            <w:tcBorders/>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right"/>
              <w:rPr/>
            </w:pPr>
            <w:r>
              <w:rPr/>
              <w:t> </w:t>
            </w:r>
          </w:p>
        </w:tc>
        <w:tc>
          <w:tcPr>
            <w:tcW w:w="1420" w:type="dxa"/>
            <w:tcBorders>
              <w:bottom w:val="single" w:sz="6" w:space="0" w:color="000000"/>
            </w:tcBorders>
            <w:tcMar>
              <w:bottom w:w="28" w:type="dxa"/>
            </w:tcMar>
            <w:vAlign w:val="center"/>
          </w:tcPr>
          <w:p>
            <w:pPr>
              <w:pStyle w:val="TableContents"/>
              <w:bidi w:val="0"/>
              <w:spacing w:before="0" w:after="283"/>
              <w:jc w:val="right"/>
              <w:rPr/>
            </w:pPr>
            <w:r>
              <w:rPr/>
              <w:t>1,343,823</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right"/>
              <w:rPr/>
            </w:pPr>
            <w:r>
              <w:rPr/>
              <w:t> </w:t>
            </w:r>
          </w:p>
        </w:tc>
        <w:tc>
          <w:tcPr>
            <w:tcW w:w="1529" w:type="dxa"/>
            <w:tcBorders>
              <w:bottom w:val="single" w:sz="6" w:space="0" w:color="000000"/>
            </w:tcBorders>
            <w:tcMar>
              <w:bottom w:w="28" w:type="dxa"/>
            </w:tcMar>
            <w:vAlign w:val="center"/>
          </w:tcPr>
          <w:p>
            <w:pPr>
              <w:pStyle w:val="TableContents"/>
              <w:bidi w:val="0"/>
              <w:spacing w:before="0" w:after="283"/>
              <w:jc w:val="right"/>
              <w:rPr/>
            </w:pPr>
            <w:r>
              <w:rPr/>
              <w:t>1,193,249</w:t>
            </w:r>
          </w:p>
        </w:tc>
        <w:tc>
          <w:tcPr>
            <w:tcW w:w="373" w:type="dxa"/>
            <w:tcBorders/>
            <w:vAlign w:val="center"/>
          </w:tcPr>
          <w:p>
            <w:pPr>
              <w:pStyle w:val="TableContents"/>
              <w:bidi w:val="0"/>
              <w:spacing w:before="0" w:after="283"/>
              <w:jc w:val="left"/>
              <w:rPr/>
            </w:pPr>
            <w:r>
              <w:rPr/>
              <w:t> </w:t>
            </w:r>
          </w:p>
        </w:tc>
      </w:tr>
      <w:tr>
        <w:trPr/>
        <w:tc>
          <w:tcPr>
            <w:tcW w:w="5804" w:type="dxa"/>
            <w:tcBorders/>
            <w:shd w:fill="CCEEFF" w:val="clear"/>
            <w:vAlign w:val="center"/>
          </w:tcPr>
          <w:p>
            <w:pPr>
              <w:pStyle w:val="TableContents"/>
              <w:bidi w:val="0"/>
              <w:spacing w:before="0" w:after="283"/>
              <w:jc w:val="left"/>
              <w:rPr/>
            </w:pPr>
            <w:r>
              <w:rPr/>
              <w:t>Gross profit</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 </w:t>
            </w:r>
          </w:p>
        </w:tc>
        <w:tc>
          <w:tcPr>
            <w:tcW w:w="1420" w:type="dxa"/>
            <w:tcBorders/>
            <w:shd w:fill="CCEEFF" w:val="clear"/>
            <w:vAlign w:val="center"/>
          </w:tcPr>
          <w:p>
            <w:pPr>
              <w:pStyle w:val="TableContents"/>
              <w:bidi w:val="0"/>
              <w:spacing w:before="0" w:after="283"/>
              <w:jc w:val="right"/>
              <w:rPr/>
            </w:pPr>
            <w:r>
              <w:rPr/>
              <w:t>383,994</w:t>
            </w:r>
          </w:p>
        </w:tc>
        <w:tc>
          <w:tcPr>
            <w:tcW w:w="3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 </w:t>
            </w:r>
          </w:p>
        </w:tc>
        <w:tc>
          <w:tcPr>
            <w:tcW w:w="1529" w:type="dxa"/>
            <w:tcBorders/>
            <w:shd w:fill="CCEEFF" w:val="clear"/>
            <w:vAlign w:val="center"/>
          </w:tcPr>
          <w:p>
            <w:pPr>
              <w:pStyle w:val="TableContents"/>
              <w:bidi w:val="0"/>
              <w:spacing w:before="0" w:after="283"/>
              <w:jc w:val="right"/>
              <w:rPr/>
            </w:pPr>
            <w:r>
              <w:rPr/>
              <w:t>284,237</w:t>
            </w:r>
          </w:p>
        </w:tc>
        <w:tc>
          <w:tcPr>
            <w:tcW w:w="373" w:type="dxa"/>
            <w:tcBorders/>
            <w:shd w:fill="CCEEFF" w:val="clear"/>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Gross margin</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 </w:t>
            </w:r>
          </w:p>
        </w:tc>
        <w:tc>
          <w:tcPr>
            <w:tcW w:w="1420" w:type="dxa"/>
            <w:tcBorders/>
            <w:vAlign w:val="center"/>
          </w:tcPr>
          <w:p>
            <w:pPr>
              <w:pStyle w:val="TableContents"/>
              <w:bidi w:val="0"/>
              <w:spacing w:before="0" w:after="283"/>
              <w:jc w:val="right"/>
              <w:rPr/>
            </w:pPr>
            <w:r>
              <w:rPr/>
              <w:t>22.2</w:t>
            </w:r>
          </w:p>
        </w:tc>
        <w:tc>
          <w:tcPr>
            <w:tcW w:w="310"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 </w:t>
            </w:r>
          </w:p>
        </w:tc>
        <w:tc>
          <w:tcPr>
            <w:tcW w:w="1529" w:type="dxa"/>
            <w:tcBorders/>
            <w:vAlign w:val="center"/>
          </w:tcPr>
          <w:p>
            <w:pPr>
              <w:pStyle w:val="TableContents"/>
              <w:bidi w:val="0"/>
              <w:spacing w:before="0" w:after="283"/>
              <w:jc w:val="right"/>
              <w:rPr/>
            </w:pPr>
            <w:r>
              <w:rPr/>
              <w:t>19.2</w:t>
            </w:r>
          </w:p>
        </w:tc>
        <w:tc>
          <w:tcPr>
            <w:tcW w:w="373" w:type="dxa"/>
            <w:tcBorders/>
            <w:vAlign w:val="center"/>
          </w:tcPr>
          <w:p>
            <w:pPr>
              <w:pStyle w:val="TableContents"/>
              <w:bidi w:val="0"/>
              <w:spacing w:before="0" w:after="283"/>
              <w:jc w:val="left"/>
              <w:rPr/>
            </w:pPr>
            <w:r>
              <w:rPr/>
              <w:t>%</w:t>
            </w:r>
          </w:p>
        </w:tc>
      </w:tr>
      <w:tr>
        <w:trPr/>
        <w:tc>
          <w:tcPr>
            <w:tcW w:w="5804"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29"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Selling, general, and administrative expenses(f)</w:t>
            </w:r>
          </w:p>
        </w:tc>
        <w:tc>
          <w:tcPr>
            <w:tcW w:w="113" w:type="dxa"/>
            <w:tcBorders/>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right"/>
              <w:rPr/>
            </w:pPr>
            <w:r>
              <w:rPr/>
              <w:t> </w:t>
            </w:r>
          </w:p>
        </w:tc>
        <w:tc>
          <w:tcPr>
            <w:tcW w:w="1420" w:type="dxa"/>
            <w:tcBorders>
              <w:bottom w:val="single" w:sz="6" w:space="0" w:color="000000"/>
            </w:tcBorders>
            <w:tcMar>
              <w:bottom w:w="28" w:type="dxa"/>
            </w:tcMar>
            <w:vAlign w:val="center"/>
          </w:tcPr>
          <w:p>
            <w:pPr>
              <w:pStyle w:val="TableContents"/>
              <w:bidi w:val="0"/>
              <w:spacing w:before="0" w:after="283"/>
              <w:jc w:val="right"/>
              <w:rPr/>
            </w:pPr>
            <w:r>
              <w:rPr/>
              <w:t>308,344</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right"/>
              <w:rPr/>
            </w:pPr>
            <w:r>
              <w:rPr/>
              <w:t> </w:t>
            </w:r>
          </w:p>
        </w:tc>
        <w:tc>
          <w:tcPr>
            <w:tcW w:w="1529" w:type="dxa"/>
            <w:tcBorders>
              <w:bottom w:val="single" w:sz="6" w:space="0" w:color="000000"/>
            </w:tcBorders>
            <w:tcMar>
              <w:bottom w:w="28" w:type="dxa"/>
            </w:tcMar>
            <w:vAlign w:val="center"/>
          </w:tcPr>
          <w:p>
            <w:pPr>
              <w:pStyle w:val="TableContents"/>
              <w:bidi w:val="0"/>
              <w:spacing w:before="0" w:after="283"/>
              <w:jc w:val="right"/>
              <w:rPr/>
            </w:pPr>
            <w:r>
              <w:rPr/>
              <w:t>261,304</w:t>
            </w:r>
          </w:p>
        </w:tc>
        <w:tc>
          <w:tcPr>
            <w:tcW w:w="373" w:type="dxa"/>
            <w:tcBorders/>
            <w:vAlign w:val="center"/>
          </w:tcPr>
          <w:p>
            <w:pPr>
              <w:pStyle w:val="TableContents"/>
              <w:bidi w:val="0"/>
              <w:spacing w:before="0" w:after="283"/>
              <w:jc w:val="left"/>
              <w:rPr/>
            </w:pPr>
            <w:r>
              <w:rPr/>
              <w:t> </w:t>
            </w:r>
          </w:p>
        </w:tc>
      </w:tr>
      <w:tr>
        <w:trPr/>
        <w:tc>
          <w:tcPr>
            <w:tcW w:w="5804" w:type="dxa"/>
            <w:tcBorders/>
            <w:shd w:fill="CCEEFF" w:val="clear"/>
            <w:vAlign w:val="center"/>
          </w:tcPr>
          <w:p>
            <w:pPr>
              <w:pStyle w:val="TableContents"/>
              <w:bidi w:val="0"/>
              <w:spacing w:before="0" w:after="283"/>
              <w:jc w:val="left"/>
              <w:rPr/>
            </w:pPr>
            <w:r>
              <w:rPr/>
              <w:t>Operating income</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 </w:t>
            </w:r>
          </w:p>
        </w:tc>
        <w:tc>
          <w:tcPr>
            <w:tcW w:w="1420" w:type="dxa"/>
            <w:tcBorders/>
            <w:shd w:fill="CCEEFF" w:val="clear"/>
            <w:vAlign w:val="center"/>
          </w:tcPr>
          <w:p>
            <w:pPr>
              <w:pStyle w:val="TableContents"/>
              <w:bidi w:val="0"/>
              <w:spacing w:before="0" w:after="283"/>
              <w:jc w:val="right"/>
              <w:rPr/>
            </w:pPr>
            <w:r>
              <w:rPr/>
              <w:t>75,650</w:t>
            </w:r>
          </w:p>
        </w:tc>
        <w:tc>
          <w:tcPr>
            <w:tcW w:w="3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 </w:t>
            </w:r>
          </w:p>
        </w:tc>
        <w:tc>
          <w:tcPr>
            <w:tcW w:w="1529" w:type="dxa"/>
            <w:tcBorders/>
            <w:shd w:fill="CCEEFF" w:val="clear"/>
            <w:vAlign w:val="center"/>
          </w:tcPr>
          <w:p>
            <w:pPr>
              <w:pStyle w:val="TableContents"/>
              <w:bidi w:val="0"/>
              <w:spacing w:before="0" w:after="283"/>
              <w:jc w:val="right"/>
              <w:rPr/>
            </w:pPr>
            <w:r>
              <w:rPr/>
              <w:t>22,933</w:t>
            </w:r>
          </w:p>
        </w:tc>
        <w:tc>
          <w:tcPr>
            <w:tcW w:w="373" w:type="dxa"/>
            <w:tcBorders/>
            <w:shd w:fill="CCEEFF" w:val="clear"/>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Operating margin</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 </w:t>
            </w:r>
          </w:p>
        </w:tc>
        <w:tc>
          <w:tcPr>
            <w:tcW w:w="1420" w:type="dxa"/>
            <w:tcBorders/>
            <w:vAlign w:val="center"/>
          </w:tcPr>
          <w:p>
            <w:pPr>
              <w:pStyle w:val="TableContents"/>
              <w:bidi w:val="0"/>
              <w:spacing w:before="0" w:after="283"/>
              <w:jc w:val="right"/>
              <w:rPr/>
            </w:pPr>
            <w:r>
              <w:rPr/>
              <w:t>4.4</w:t>
            </w:r>
          </w:p>
        </w:tc>
        <w:tc>
          <w:tcPr>
            <w:tcW w:w="310"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 </w:t>
            </w:r>
          </w:p>
        </w:tc>
        <w:tc>
          <w:tcPr>
            <w:tcW w:w="1529" w:type="dxa"/>
            <w:tcBorders/>
            <w:vAlign w:val="center"/>
          </w:tcPr>
          <w:p>
            <w:pPr>
              <w:pStyle w:val="TableContents"/>
              <w:bidi w:val="0"/>
              <w:spacing w:before="0" w:after="283"/>
              <w:jc w:val="right"/>
              <w:rPr/>
            </w:pPr>
            <w:r>
              <w:rPr/>
              <w:t>1.6</w:t>
            </w:r>
          </w:p>
        </w:tc>
        <w:tc>
          <w:tcPr>
            <w:tcW w:w="373" w:type="dxa"/>
            <w:tcBorders/>
            <w:vAlign w:val="center"/>
          </w:tcPr>
          <w:p>
            <w:pPr>
              <w:pStyle w:val="TableContents"/>
              <w:bidi w:val="0"/>
              <w:spacing w:before="0" w:after="283"/>
              <w:jc w:val="left"/>
              <w:rPr/>
            </w:pPr>
            <w:r>
              <w:rPr/>
              <w:t>%</w:t>
            </w:r>
          </w:p>
        </w:tc>
      </w:tr>
      <w:tr>
        <w:trPr/>
        <w:tc>
          <w:tcPr>
            <w:tcW w:w="5804"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29"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Other income (expense):</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r>
      <w:tr>
        <w:trPr/>
        <w:tc>
          <w:tcPr>
            <w:tcW w:w="5804" w:type="dxa"/>
            <w:tcBorders/>
            <w:shd w:fill="CCEEFF" w:val="clear"/>
            <w:vAlign w:val="center"/>
          </w:tcPr>
          <w:p>
            <w:pPr>
              <w:pStyle w:val="TableContents"/>
              <w:bidi w:val="0"/>
              <w:spacing w:before="0" w:after="283"/>
              <w:jc w:val="left"/>
              <w:rPr/>
            </w:pPr>
            <w:r>
              <w:rPr/>
              <w:t>Interest expense</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 </w:t>
            </w:r>
          </w:p>
        </w:tc>
        <w:tc>
          <w:tcPr>
            <w:tcW w:w="1420" w:type="dxa"/>
            <w:tcBorders/>
            <w:shd w:fill="CCEEFF" w:val="clear"/>
            <w:vAlign w:val="center"/>
          </w:tcPr>
          <w:p>
            <w:pPr>
              <w:pStyle w:val="TableContents"/>
              <w:bidi w:val="0"/>
              <w:spacing w:before="0" w:after="283"/>
              <w:jc w:val="right"/>
              <w:rPr/>
            </w:pPr>
            <w:r>
              <w:rPr/>
              <w:t>(20,306</w:t>
            </w:r>
          </w:p>
        </w:tc>
        <w:tc>
          <w:tcPr>
            <w:tcW w:w="3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 </w:t>
            </w:r>
          </w:p>
        </w:tc>
        <w:tc>
          <w:tcPr>
            <w:tcW w:w="1529" w:type="dxa"/>
            <w:tcBorders/>
            <w:shd w:fill="CCEEFF" w:val="clear"/>
            <w:vAlign w:val="center"/>
          </w:tcPr>
          <w:p>
            <w:pPr>
              <w:pStyle w:val="TableContents"/>
              <w:bidi w:val="0"/>
              <w:spacing w:before="0" w:after="283"/>
              <w:jc w:val="right"/>
              <w:rPr/>
            </w:pPr>
            <w:r>
              <w:rPr/>
              <w:t>(19,378</w:t>
            </w:r>
          </w:p>
        </w:tc>
        <w:tc>
          <w:tcPr>
            <w:tcW w:w="373" w:type="dxa"/>
            <w:tcBorders/>
            <w:shd w:fill="CCEEFF" w:val="clear"/>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Other</w:t>
            </w:r>
          </w:p>
        </w:tc>
        <w:tc>
          <w:tcPr>
            <w:tcW w:w="113" w:type="dxa"/>
            <w:tcBorders/>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right"/>
              <w:rPr/>
            </w:pPr>
            <w:r>
              <w:rPr/>
              <w:t> </w:t>
            </w:r>
          </w:p>
        </w:tc>
        <w:tc>
          <w:tcPr>
            <w:tcW w:w="1420" w:type="dxa"/>
            <w:tcBorders>
              <w:bottom w:val="single" w:sz="6" w:space="0" w:color="000000"/>
            </w:tcBorders>
            <w:tcMar>
              <w:bottom w:w="28" w:type="dxa"/>
            </w:tcMar>
            <w:vAlign w:val="center"/>
          </w:tcPr>
          <w:p>
            <w:pPr>
              <w:pStyle w:val="TableContents"/>
              <w:bidi w:val="0"/>
              <w:spacing w:before="0" w:after="283"/>
              <w:jc w:val="right"/>
              <w:rPr/>
            </w:pPr>
            <w:r>
              <w:rPr/>
              <w:t>(93</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right"/>
              <w:rPr/>
            </w:pPr>
            <w:r>
              <w:rPr/>
              <w:t> </w:t>
            </w:r>
          </w:p>
        </w:tc>
        <w:tc>
          <w:tcPr>
            <w:tcW w:w="1529" w:type="dxa"/>
            <w:tcBorders>
              <w:bottom w:val="single" w:sz="6" w:space="0" w:color="000000"/>
            </w:tcBorders>
            <w:tcMar>
              <w:bottom w:w="28" w:type="dxa"/>
            </w:tcMar>
            <w:vAlign w:val="center"/>
          </w:tcPr>
          <w:p>
            <w:pPr>
              <w:pStyle w:val="TableContents"/>
              <w:bidi w:val="0"/>
              <w:spacing w:before="0" w:after="283"/>
              <w:jc w:val="right"/>
              <w:rPr/>
            </w:pPr>
            <w:r>
              <w:rPr/>
              <w:t>4,494</w:t>
            </w:r>
          </w:p>
        </w:tc>
        <w:tc>
          <w:tcPr>
            <w:tcW w:w="373" w:type="dxa"/>
            <w:tcBorders/>
            <w:vAlign w:val="center"/>
          </w:tcPr>
          <w:p>
            <w:pPr>
              <w:pStyle w:val="TableContents"/>
              <w:bidi w:val="0"/>
              <w:spacing w:before="0" w:after="283"/>
              <w:jc w:val="left"/>
              <w:rPr/>
            </w:pPr>
            <w:r>
              <w:rPr/>
              <w:t> </w:t>
            </w:r>
          </w:p>
        </w:tc>
      </w:tr>
      <w:tr>
        <w:trPr/>
        <w:tc>
          <w:tcPr>
            <w:tcW w:w="5804" w:type="dxa"/>
            <w:tcBorders/>
            <w:shd w:fill="CCEEFF" w:val="clear"/>
            <w:vAlign w:val="center"/>
          </w:tcPr>
          <w:p>
            <w:pPr>
              <w:pStyle w:val="TableContents"/>
              <w:bidi w:val="0"/>
              <w:spacing w:before="0" w:after="283"/>
              <w:jc w:val="left"/>
              <w:rPr/>
            </w:pPr>
            <w:r>
              <w:rPr/>
              <w:t>Total other income (expense) - net</w:t>
            </w:r>
          </w:p>
        </w:tc>
        <w:tc>
          <w:tcPr>
            <w:tcW w:w="113" w:type="dxa"/>
            <w:tcBorders/>
            <w:shd w:fill="CCEEFF" w:val="clear"/>
            <w:vAlign w:val="center"/>
          </w:tcPr>
          <w:p>
            <w:pPr>
              <w:pStyle w:val="TableContents"/>
              <w:bidi w:val="0"/>
              <w:spacing w:before="0" w:after="283"/>
              <w:jc w:val="left"/>
              <w:rPr/>
            </w:pPr>
            <w:r>
              <w:rPr/>
              <w:t> </w:t>
            </w:r>
          </w:p>
        </w:tc>
        <w:tc>
          <w:tcPr>
            <w:tcW w:w="215"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20" w:type="dxa"/>
            <w:tcBorders>
              <w:bottom w:val="single" w:sz="6" w:space="0" w:color="000000"/>
            </w:tcBorders>
            <w:shd w:fill="CCEEFF" w:val="clear"/>
            <w:tcMar>
              <w:bottom w:w="28" w:type="dxa"/>
            </w:tcMar>
            <w:vAlign w:val="center"/>
          </w:tcPr>
          <w:p>
            <w:pPr>
              <w:pStyle w:val="TableContents"/>
              <w:bidi w:val="0"/>
              <w:spacing w:before="0" w:after="283"/>
              <w:jc w:val="right"/>
              <w:rPr/>
            </w:pPr>
            <w:r>
              <w:rPr/>
              <w:t>(20,399</w:t>
            </w:r>
          </w:p>
        </w:tc>
        <w:tc>
          <w:tcPr>
            <w:tcW w:w="3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5"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529" w:type="dxa"/>
            <w:tcBorders>
              <w:bottom w:val="single" w:sz="6" w:space="0" w:color="000000"/>
            </w:tcBorders>
            <w:shd w:fill="CCEEFF" w:val="clear"/>
            <w:tcMar>
              <w:bottom w:w="28" w:type="dxa"/>
            </w:tcMar>
            <w:vAlign w:val="center"/>
          </w:tcPr>
          <w:p>
            <w:pPr>
              <w:pStyle w:val="TableContents"/>
              <w:bidi w:val="0"/>
              <w:spacing w:before="0" w:after="283"/>
              <w:jc w:val="right"/>
              <w:rPr/>
            </w:pPr>
            <w:r>
              <w:rPr/>
              <w:t>(14,884</w:t>
            </w:r>
          </w:p>
        </w:tc>
        <w:tc>
          <w:tcPr>
            <w:tcW w:w="373" w:type="dxa"/>
            <w:tcBorders/>
            <w:shd w:fill="CCEEFF" w:val="clear"/>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r>
      <w:tr>
        <w:trPr/>
        <w:tc>
          <w:tcPr>
            <w:tcW w:w="5804" w:type="dxa"/>
            <w:tcBorders/>
            <w:shd w:fill="CCEEFF" w:val="clear"/>
            <w:vAlign w:val="center"/>
          </w:tcPr>
          <w:p>
            <w:pPr>
              <w:pStyle w:val="TableContents"/>
              <w:bidi w:val="0"/>
              <w:spacing w:before="0" w:after="283"/>
              <w:jc w:val="left"/>
              <w:rPr/>
            </w:pPr>
            <w:r>
              <w:rPr/>
              <w:t>Income before taxes</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 </w:t>
            </w:r>
          </w:p>
        </w:tc>
        <w:tc>
          <w:tcPr>
            <w:tcW w:w="1420" w:type="dxa"/>
            <w:tcBorders/>
            <w:shd w:fill="CCEEFF" w:val="clear"/>
            <w:vAlign w:val="center"/>
          </w:tcPr>
          <w:p>
            <w:pPr>
              <w:pStyle w:val="TableContents"/>
              <w:bidi w:val="0"/>
              <w:spacing w:before="0" w:after="283"/>
              <w:jc w:val="right"/>
              <w:rPr/>
            </w:pPr>
            <w:r>
              <w:rPr/>
              <w:t>55,251</w:t>
            </w:r>
          </w:p>
        </w:tc>
        <w:tc>
          <w:tcPr>
            <w:tcW w:w="3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 </w:t>
            </w:r>
          </w:p>
        </w:tc>
        <w:tc>
          <w:tcPr>
            <w:tcW w:w="1529" w:type="dxa"/>
            <w:tcBorders/>
            <w:shd w:fill="CCEEFF" w:val="clear"/>
            <w:vAlign w:val="center"/>
          </w:tcPr>
          <w:p>
            <w:pPr>
              <w:pStyle w:val="TableContents"/>
              <w:bidi w:val="0"/>
              <w:spacing w:before="0" w:after="283"/>
              <w:jc w:val="right"/>
              <w:rPr/>
            </w:pPr>
            <w:r>
              <w:rPr/>
              <w:t>8,049</w:t>
            </w:r>
          </w:p>
        </w:tc>
        <w:tc>
          <w:tcPr>
            <w:tcW w:w="373" w:type="dxa"/>
            <w:tcBorders/>
            <w:shd w:fill="CCEEFF" w:val="clear"/>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r>
      <w:tr>
        <w:trPr/>
        <w:tc>
          <w:tcPr>
            <w:tcW w:w="5804" w:type="dxa"/>
            <w:tcBorders/>
            <w:shd w:fill="CCEEFF" w:val="clear"/>
            <w:vAlign w:val="center"/>
          </w:tcPr>
          <w:p>
            <w:pPr>
              <w:pStyle w:val="TableContents"/>
              <w:bidi w:val="0"/>
              <w:spacing w:before="0" w:after="283"/>
              <w:jc w:val="left"/>
              <w:rPr/>
            </w:pPr>
            <w:r>
              <w:rPr/>
              <w:t>Income tax expense</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 </w:t>
            </w:r>
          </w:p>
        </w:tc>
        <w:tc>
          <w:tcPr>
            <w:tcW w:w="1420" w:type="dxa"/>
            <w:tcBorders/>
            <w:shd w:fill="CCEEFF" w:val="clear"/>
            <w:vAlign w:val="center"/>
          </w:tcPr>
          <w:p>
            <w:pPr>
              <w:pStyle w:val="TableContents"/>
              <w:bidi w:val="0"/>
              <w:spacing w:before="0" w:after="283"/>
              <w:jc w:val="right"/>
              <w:rPr/>
            </w:pPr>
            <w:r>
              <w:rPr/>
              <w:t>19,963</w:t>
            </w:r>
          </w:p>
        </w:tc>
        <w:tc>
          <w:tcPr>
            <w:tcW w:w="3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 </w:t>
            </w:r>
          </w:p>
        </w:tc>
        <w:tc>
          <w:tcPr>
            <w:tcW w:w="1529" w:type="dxa"/>
            <w:tcBorders/>
            <w:shd w:fill="CCEEFF" w:val="clear"/>
            <w:vAlign w:val="center"/>
          </w:tcPr>
          <w:p>
            <w:pPr>
              <w:pStyle w:val="TableContents"/>
              <w:bidi w:val="0"/>
              <w:spacing w:before="0" w:after="283"/>
              <w:jc w:val="right"/>
              <w:rPr/>
            </w:pPr>
            <w:r>
              <w:rPr/>
              <w:t>10,137</w:t>
            </w:r>
          </w:p>
        </w:tc>
        <w:tc>
          <w:tcPr>
            <w:tcW w:w="373" w:type="dxa"/>
            <w:tcBorders/>
            <w:shd w:fill="CCEEFF" w:val="clear"/>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1420" w:type="dxa"/>
            <w:tcBorders>
              <w:bottom w:val="single" w:sz="6" w:space="0" w:color="000000"/>
            </w:tcBorders>
            <w:tcMar>
              <w:bottom w:w="28" w:type="dxa"/>
            </w:tcMar>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1529" w:type="dxa"/>
            <w:tcBorders>
              <w:bottom w:val="single" w:sz="6" w:space="0" w:color="000000"/>
            </w:tcBorders>
            <w:tcMar>
              <w:bottom w:w="28" w:type="dxa"/>
            </w:tcMar>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r>
      <w:tr>
        <w:trPr/>
        <w:tc>
          <w:tcPr>
            <w:tcW w:w="5804" w:type="dxa"/>
            <w:tcBorders/>
            <w:shd w:fill="CCEEFF" w:val="clear"/>
            <w:vAlign w:val="center"/>
          </w:tcPr>
          <w:p>
            <w:pPr>
              <w:pStyle w:val="TableContents"/>
              <w:bidi w:val="0"/>
              <w:spacing w:before="0" w:after="283"/>
              <w:jc w:val="left"/>
              <w:rPr/>
            </w:pPr>
            <w:r>
              <w:rPr/>
              <w:t>Net earnings (loss)</w:t>
            </w:r>
          </w:p>
        </w:tc>
        <w:tc>
          <w:tcPr>
            <w:tcW w:w="113"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0" w:type="dxa"/>
            <w:tcBorders>
              <w:bottom w:val="double" w:sz="6" w:space="0" w:color="000000"/>
            </w:tcBorders>
            <w:shd w:fill="CCEEFF" w:val="clear"/>
            <w:tcMar>
              <w:bottom w:w="28" w:type="dxa"/>
            </w:tcMar>
            <w:vAlign w:val="center"/>
          </w:tcPr>
          <w:p>
            <w:pPr>
              <w:pStyle w:val="TableContents"/>
              <w:bidi w:val="0"/>
              <w:spacing w:before="0" w:after="283"/>
              <w:jc w:val="right"/>
              <w:rPr/>
            </w:pPr>
            <w:r>
              <w:rPr/>
              <w:t>35,288</w:t>
            </w:r>
          </w:p>
        </w:tc>
        <w:tc>
          <w:tcPr>
            <w:tcW w:w="3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29" w:type="dxa"/>
            <w:tcBorders>
              <w:bottom w:val="double" w:sz="6" w:space="0" w:color="000000"/>
            </w:tcBorders>
            <w:shd w:fill="CCEEFF" w:val="clear"/>
            <w:tcMar>
              <w:bottom w:w="28" w:type="dxa"/>
            </w:tcMar>
            <w:vAlign w:val="center"/>
          </w:tcPr>
          <w:p>
            <w:pPr>
              <w:pStyle w:val="TableContents"/>
              <w:bidi w:val="0"/>
              <w:spacing w:before="0" w:after="283"/>
              <w:jc w:val="right"/>
              <w:rPr/>
            </w:pPr>
            <w:r>
              <w:rPr/>
              <w:t>(2,088</w:t>
            </w:r>
          </w:p>
        </w:tc>
        <w:tc>
          <w:tcPr>
            <w:tcW w:w="373" w:type="dxa"/>
            <w:tcBorders/>
            <w:shd w:fill="CCEEFF" w:val="clear"/>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r>
      <w:tr>
        <w:trPr/>
        <w:tc>
          <w:tcPr>
            <w:tcW w:w="5804" w:type="dxa"/>
            <w:tcBorders/>
            <w:shd w:fill="CCEEFF" w:val="clear"/>
            <w:vAlign w:val="center"/>
          </w:tcPr>
          <w:p>
            <w:pPr>
              <w:pStyle w:val="TableContents"/>
              <w:bidi w:val="0"/>
              <w:spacing w:before="0" w:after="283"/>
              <w:jc w:val="left"/>
              <w:rPr/>
            </w:pPr>
            <w:r>
              <w:rPr/>
              <w:t>Basic earnings (loss) per share attributable to Vishay stockholders</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420" w:type="dxa"/>
            <w:tcBorders/>
            <w:shd w:fill="CCEEFF" w:val="clear"/>
            <w:vAlign w:val="center"/>
          </w:tcPr>
          <w:p>
            <w:pPr>
              <w:pStyle w:val="TableContents"/>
              <w:bidi w:val="0"/>
              <w:spacing w:before="0" w:after="283"/>
              <w:jc w:val="right"/>
              <w:rPr/>
            </w:pPr>
            <w:r>
              <w:rPr/>
              <w:t>0.26</w:t>
            </w:r>
          </w:p>
        </w:tc>
        <w:tc>
          <w:tcPr>
            <w:tcW w:w="3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529" w:type="dxa"/>
            <w:tcBorders/>
            <w:shd w:fill="CCEEFF" w:val="clear"/>
            <w:vAlign w:val="center"/>
          </w:tcPr>
          <w:p>
            <w:pPr>
              <w:pStyle w:val="TableContents"/>
              <w:bidi w:val="0"/>
              <w:spacing w:before="0" w:after="283"/>
              <w:jc w:val="right"/>
              <w:rPr/>
            </w:pPr>
            <w:r>
              <w:rPr/>
              <w:t>(0.02</w:t>
            </w:r>
          </w:p>
        </w:tc>
        <w:tc>
          <w:tcPr>
            <w:tcW w:w="373" w:type="dxa"/>
            <w:tcBorders/>
            <w:shd w:fill="CCEEFF" w:val="clear"/>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r>
      <w:tr>
        <w:trPr/>
        <w:tc>
          <w:tcPr>
            <w:tcW w:w="5804" w:type="dxa"/>
            <w:tcBorders/>
            <w:shd w:fill="CCEEFF" w:val="clear"/>
            <w:vAlign w:val="center"/>
          </w:tcPr>
          <w:p>
            <w:pPr>
              <w:pStyle w:val="TableContents"/>
              <w:bidi w:val="0"/>
              <w:spacing w:before="0" w:after="283"/>
              <w:jc w:val="left"/>
              <w:rPr/>
            </w:pPr>
            <w:r>
              <w:rPr/>
              <w:t>Diluted earnings (loss) per share attributable to Vishay stockholders</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420" w:type="dxa"/>
            <w:tcBorders/>
            <w:shd w:fill="CCEEFF" w:val="clear"/>
            <w:vAlign w:val="center"/>
          </w:tcPr>
          <w:p>
            <w:pPr>
              <w:pStyle w:val="TableContents"/>
              <w:bidi w:val="0"/>
              <w:spacing w:before="0" w:after="283"/>
              <w:jc w:val="right"/>
              <w:rPr/>
            </w:pPr>
            <w:r>
              <w:rPr/>
              <w:t>0.25</w:t>
            </w:r>
          </w:p>
        </w:tc>
        <w:tc>
          <w:tcPr>
            <w:tcW w:w="3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529" w:type="dxa"/>
            <w:tcBorders/>
            <w:shd w:fill="CCEEFF" w:val="clear"/>
            <w:vAlign w:val="center"/>
          </w:tcPr>
          <w:p>
            <w:pPr>
              <w:pStyle w:val="TableContents"/>
              <w:bidi w:val="0"/>
              <w:spacing w:before="0" w:after="283"/>
              <w:jc w:val="right"/>
              <w:rPr/>
            </w:pPr>
            <w:r>
              <w:rPr/>
              <w:t>(0.02</w:t>
            </w:r>
          </w:p>
        </w:tc>
        <w:tc>
          <w:tcPr>
            <w:tcW w:w="373" w:type="dxa"/>
            <w:tcBorders/>
            <w:shd w:fill="CCEEFF" w:val="clear"/>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r>
      <w:tr>
        <w:trPr/>
        <w:tc>
          <w:tcPr>
            <w:tcW w:w="5804" w:type="dxa"/>
            <w:tcBorders/>
            <w:shd w:fill="CCEEFF" w:val="clear"/>
            <w:vAlign w:val="center"/>
          </w:tcPr>
          <w:p>
            <w:pPr>
              <w:pStyle w:val="TableContents"/>
              <w:bidi w:val="0"/>
              <w:spacing w:before="0" w:after="283"/>
              <w:jc w:val="left"/>
              <w:rPr/>
            </w:pPr>
            <w:r>
              <w:rPr/>
              <w:t>Weighted average shares outstanding - basic</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 </w:t>
            </w:r>
          </w:p>
        </w:tc>
        <w:tc>
          <w:tcPr>
            <w:tcW w:w="1420" w:type="dxa"/>
            <w:tcBorders/>
            <w:shd w:fill="CCEEFF" w:val="clear"/>
            <w:vAlign w:val="center"/>
          </w:tcPr>
          <w:p>
            <w:pPr>
              <w:pStyle w:val="TableContents"/>
              <w:bidi w:val="0"/>
              <w:spacing w:before="0" w:after="283"/>
              <w:jc w:val="right"/>
              <w:rPr/>
            </w:pPr>
            <w:r>
              <w:rPr/>
              <w:t>136,428</w:t>
            </w:r>
          </w:p>
        </w:tc>
        <w:tc>
          <w:tcPr>
            <w:tcW w:w="3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 </w:t>
            </w:r>
          </w:p>
        </w:tc>
        <w:tc>
          <w:tcPr>
            <w:tcW w:w="1529" w:type="dxa"/>
            <w:tcBorders/>
            <w:shd w:fill="CCEEFF" w:val="clear"/>
            <w:vAlign w:val="center"/>
          </w:tcPr>
          <w:p>
            <w:pPr>
              <w:pStyle w:val="TableContents"/>
              <w:bidi w:val="0"/>
              <w:spacing w:before="0" w:after="283"/>
              <w:jc w:val="right"/>
              <w:rPr/>
            </w:pPr>
            <w:r>
              <w:rPr/>
              <w:t>135,750</w:t>
            </w:r>
          </w:p>
        </w:tc>
        <w:tc>
          <w:tcPr>
            <w:tcW w:w="373" w:type="dxa"/>
            <w:tcBorders/>
            <w:shd w:fill="CCEEFF" w:val="clear"/>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r>
      <w:tr>
        <w:trPr/>
        <w:tc>
          <w:tcPr>
            <w:tcW w:w="5804" w:type="dxa"/>
            <w:tcBorders/>
            <w:shd w:fill="CCEEFF" w:val="clear"/>
            <w:vAlign w:val="center"/>
          </w:tcPr>
          <w:p>
            <w:pPr>
              <w:pStyle w:val="TableContents"/>
              <w:bidi w:val="0"/>
              <w:spacing w:before="0" w:after="283"/>
              <w:jc w:val="left"/>
              <w:rPr/>
            </w:pPr>
            <w:r>
              <w:rPr/>
              <w:t>Weighted average shares outstanding - diluted</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 </w:t>
            </w:r>
          </w:p>
        </w:tc>
        <w:tc>
          <w:tcPr>
            <w:tcW w:w="1420" w:type="dxa"/>
            <w:tcBorders/>
            <w:shd w:fill="CCEEFF" w:val="clear"/>
            <w:vAlign w:val="center"/>
          </w:tcPr>
          <w:p>
            <w:pPr>
              <w:pStyle w:val="TableContents"/>
              <w:bidi w:val="0"/>
              <w:spacing w:before="0" w:after="283"/>
              <w:jc w:val="right"/>
              <w:rPr/>
            </w:pPr>
            <w:r>
              <w:rPr/>
              <w:t>142,680</w:t>
            </w:r>
          </w:p>
        </w:tc>
        <w:tc>
          <w:tcPr>
            <w:tcW w:w="3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 </w:t>
            </w:r>
          </w:p>
        </w:tc>
        <w:tc>
          <w:tcPr>
            <w:tcW w:w="1529" w:type="dxa"/>
            <w:tcBorders/>
            <w:shd w:fill="CCEEFF" w:val="clear"/>
            <w:vAlign w:val="center"/>
          </w:tcPr>
          <w:p>
            <w:pPr>
              <w:pStyle w:val="TableContents"/>
              <w:bidi w:val="0"/>
              <w:spacing w:before="0" w:after="283"/>
              <w:jc w:val="right"/>
              <w:rPr/>
            </w:pPr>
            <w:r>
              <w:rPr/>
              <w:t>135,750</w:t>
            </w:r>
          </w:p>
        </w:tc>
        <w:tc>
          <w:tcPr>
            <w:tcW w:w="373" w:type="dxa"/>
            <w:tcBorders/>
            <w:shd w:fill="CCEEFF" w:val="clear"/>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r>
      <w:tr>
        <w:trPr/>
        <w:tc>
          <w:tcPr>
            <w:tcW w:w="5804" w:type="dxa"/>
            <w:tcBorders/>
            <w:shd w:fill="CCEEFF" w:val="clear"/>
            <w:vAlign w:val="center"/>
          </w:tcPr>
          <w:p>
            <w:pPr>
              <w:pStyle w:val="TableContents"/>
              <w:bidi w:val="0"/>
              <w:spacing w:before="0" w:after="283"/>
              <w:jc w:val="left"/>
              <w:rPr/>
            </w:pPr>
            <w:r>
              <w:rPr/>
              <w:t>Cash dividends per share</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420" w:type="dxa"/>
            <w:tcBorders/>
            <w:shd w:fill="CCEEFF" w:val="clear"/>
            <w:vAlign w:val="center"/>
          </w:tcPr>
          <w:p>
            <w:pPr>
              <w:pStyle w:val="TableContents"/>
              <w:bidi w:val="0"/>
              <w:spacing w:before="0" w:after="283"/>
              <w:jc w:val="right"/>
              <w:rPr/>
            </w:pPr>
            <w:r>
              <w:rPr/>
              <w:t>0.20</w:t>
            </w:r>
          </w:p>
        </w:tc>
        <w:tc>
          <w:tcPr>
            <w:tcW w:w="3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529" w:type="dxa"/>
            <w:tcBorders/>
            <w:shd w:fill="CCEEFF" w:val="clear"/>
            <w:vAlign w:val="center"/>
          </w:tcPr>
          <w:p>
            <w:pPr>
              <w:pStyle w:val="TableContents"/>
              <w:bidi w:val="0"/>
              <w:spacing w:before="0" w:after="283"/>
              <w:jc w:val="right"/>
              <w:rPr/>
            </w:pPr>
            <w:r>
              <w:rPr/>
              <w:t>0.20</w:t>
            </w:r>
          </w:p>
        </w:tc>
        <w:tc>
          <w:tcPr>
            <w:tcW w:w="373" w:type="dxa"/>
            <w:tcBorders/>
            <w:shd w:fill="CCEEFF" w:val="clear"/>
            <w:vAlign w:val="center"/>
          </w:tcPr>
          <w:p>
            <w:pPr>
              <w:pStyle w:val="TableContents"/>
              <w:bidi w:val="0"/>
              <w:spacing w:before="0" w:after="283"/>
              <w:jc w:val="left"/>
              <w:rPr/>
            </w:pPr>
            <w:r>
              <w:rPr/>
              <w:t> </w:t>
            </w:r>
          </w:p>
        </w:tc>
      </w:tr>
      <w:tr>
        <w:trPr/>
        <w:tc>
          <w:tcPr>
            <w:tcW w:w="58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r>
      <w:tr>
        <w:trPr/>
        <w:tc>
          <w:tcPr>
            <w:tcW w:w="10205" w:type="dxa"/>
            <w:gridSpan w:val="10"/>
            <w:tcBorders/>
            <w:vAlign w:val="center"/>
          </w:tcPr>
          <w:p>
            <w:pPr>
              <w:pStyle w:val="TableContents"/>
              <w:bidi w:val="0"/>
              <w:spacing w:before="0" w:after="283"/>
              <w:jc w:val="both"/>
              <w:rPr/>
            </w:pPr>
            <w:r>
              <w:rPr/>
              <w:t>(d) Net revenues for the six fiscal months ended July 4, 2026 are reduced by ($30,008) for tariff refunds passed through to customers, with no impact on gross profit.</w:t>
            </w:r>
          </w:p>
        </w:tc>
      </w:tr>
      <w:tr>
        <w:trPr/>
        <w:tc>
          <w:tcPr>
            <w:tcW w:w="10205" w:type="dxa"/>
            <w:gridSpan w:val="10"/>
            <w:tcBorders/>
            <w:vAlign w:val="center"/>
          </w:tcPr>
          <w:p>
            <w:pPr>
              <w:pStyle w:val="TableContents"/>
              <w:bidi w:val="0"/>
              <w:spacing w:before="0" w:after="283"/>
              <w:jc w:val="both"/>
              <w:rPr/>
            </w:pPr>
            <w:r>
              <w:rPr/>
              <w:t>(e) Costs of product sold for the six fiscal months ended July 4, 2026 are reduced by ($30,008) for tariff refunds received from the U.S. government, with no impact on gross profit.</w:t>
            </w:r>
          </w:p>
        </w:tc>
      </w:tr>
      <w:tr>
        <w:trPr/>
        <w:tc>
          <w:tcPr>
            <w:tcW w:w="10205" w:type="dxa"/>
            <w:gridSpan w:val="10"/>
            <w:tcBorders/>
            <w:vAlign w:val="center"/>
          </w:tcPr>
          <w:p>
            <w:pPr>
              <w:pStyle w:val="TableContents"/>
              <w:bidi w:val="0"/>
              <w:spacing w:before="0" w:after="283"/>
              <w:jc w:val="both"/>
              <w:rPr/>
            </w:pPr>
            <w:r>
              <w:rPr/>
              <w:t>(f) Selling, general, and administrative expenses for the six fiscal months ended June 28, 2025 include a ($11,293) benefit recognized upon the favorable resolution of a contingency.</w:t>
            </w:r>
          </w:p>
        </w:tc>
      </w:tr>
    </w:tbl>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tbl>
      <w:tblPr>
        <w:tblW w:w="8300" w:type="dxa"/>
        <w:jc w:val="left"/>
        <w:tblInd w:w="0" w:type="dxa"/>
        <w:tblLayout w:type="fixed"/>
        <w:tblCellMar>
          <w:top w:w="0" w:type="dxa"/>
          <w:left w:w="0" w:type="dxa"/>
          <w:bottom w:w="0" w:type="dxa"/>
          <w:right w:w="0" w:type="dxa"/>
        </w:tblCellMar>
      </w:tblPr>
      <w:tblGrid>
        <w:gridCol w:w="4130"/>
        <w:gridCol w:w="90"/>
        <w:gridCol w:w="170"/>
        <w:gridCol w:w="1220"/>
        <w:gridCol w:w="185"/>
        <w:gridCol w:w="90"/>
        <w:gridCol w:w="90"/>
        <w:gridCol w:w="170"/>
        <w:gridCol w:w="1925"/>
        <w:gridCol w:w="230"/>
      </w:tblGrid>
      <w:tr>
        <w:trPr/>
        <w:tc>
          <w:tcPr>
            <w:tcW w:w="4130" w:type="dxa"/>
            <w:tcBorders/>
            <w:vAlign w:val="center"/>
          </w:tcPr>
          <w:p>
            <w:pPr>
              <w:pStyle w:val="TableContents"/>
              <w:bidi w:val="0"/>
              <w:spacing w:before="0" w:after="283"/>
              <w:jc w:val="left"/>
              <w:rPr/>
            </w:pPr>
            <w:r>
              <w:rPr/>
              <w:t xml:space="preserve">VISHAY INTERTECHNOLOGY, INC.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Consolidated Condensed Balance Sheets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(Unaudited - In thousands)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center"/>
              <w:rPr/>
            </w:pPr>
            <w:r>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25" w:type="dxa"/>
            <w:tcBorders>
              <w:bottom w:val="single" w:sz="6" w:space="0" w:color="000000"/>
            </w:tcBorders>
            <w:tcMar>
              <w:bottom w:w="28" w:type="dxa"/>
            </w:tcMar>
            <w:vAlign w:val="center"/>
          </w:tcPr>
          <w:p>
            <w:pPr>
              <w:pStyle w:val="TableContents"/>
              <w:bidi w:val="0"/>
              <w:spacing w:before="0" w:after="283"/>
              <w:jc w:val="center"/>
              <w:rPr/>
            </w:pPr>
            <w:r>
              <w:rPr/>
              <w:t>December 31, 2025</w:t>
            </w:r>
          </w:p>
        </w:tc>
        <w:tc>
          <w:tcPr>
            <w:tcW w:w="23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1,297,309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925" w:type="dxa"/>
            <w:tcBorders/>
            <w:shd w:fill="CCEEFF" w:val="clear"/>
            <w:vAlign w:val="center"/>
          </w:tcPr>
          <w:p>
            <w:pPr>
              <w:pStyle w:val="TableContents"/>
              <w:bidi w:val="0"/>
              <w:spacing w:before="0" w:after="283"/>
              <w:jc w:val="right"/>
              <w:rPr/>
            </w:pPr>
            <w:r>
              <w:rPr/>
              <w:t>514,966</w:t>
            </w:r>
          </w:p>
        </w:tc>
        <w:tc>
          <w:tcPr>
            <w:tcW w:w="23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Short-term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20" w:type="dxa"/>
            <w:tcBorders/>
            <w:vAlign w:val="center"/>
          </w:tcPr>
          <w:p>
            <w:pPr>
              <w:pStyle w:val="TableContents"/>
              <w:bidi w:val="0"/>
              <w:spacing w:before="0" w:after="283"/>
              <w:jc w:val="right"/>
              <w:rPr/>
            </w:pPr>
            <w:r>
              <w:rPr/>
              <w:t>5,263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5" w:type="dxa"/>
            <w:tcBorders/>
            <w:vAlign w:val="center"/>
          </w:tcPr>
          <w:p>
            <w:pPr>
              <w:pStyle w:val="TableContents"/>
              <w:bidi w:val="0"/>
              <w:spacing w:before="0" w:after="283"/>
              <w:jc w:val="right"/>
              <w:rPr/>
            </w:pPr>
            <w:r>
              <w:rPr/>
              <w:t>265</w:t>
            </w:r>
          </w:p>
        </w:tc>
        <w:tc>
          <w:tcPr>
            <w:tcW w:w="23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20" w:type="dxa"/>
            <w:tcBorders/>
            <w:shd w:fill="CCEEFF" w:val="clear"/>
            <w:vAlign w:val="center"/>
          </w:tcPr>
          <w:p>
            <w:pPr>
              <w:pStyle w:val="TableContents"/>
              <w:bidi w:val="0"/>
              <w:spacing w:before="0" w:after="283"/>
              <w:jc w:val="right"/>
              <w:rPr/>
            </w:pPr>
            <w:r>
              <w:rPr/>
              <w:t>393,373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5" w:type="dxa"/>
            <w:tcBorders/>
            <w:shd w:fill="CCEEFF" w:val="clear"/>
            <w:vAlign w:val="center"/>
          </w:tcPr>
          <w:p>
            <w:pPr>
              <w:pStyle w:val="TableContents"/>
              <w:bidi w:val="0"/>
              <w:spacing w:before="0" w:after="283"/>
              <w:jc w:val="right"/>
              <w:rPr/>
            </w:pPr>
            <w:r>
              <w:rPr/>
              <w:t>381,802</w:t>
            </w:r>
          </w:p>
        </w:tc>
        <w:tc>
          <w:tcPr>
            <w:tcW w:w="23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Finished goods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20" w:type="dxa"/>
            <w:tcBorders/>
            <w:shd w:fill="CCEEFF" w:val="clear"/>
            <w:vAlign w:val="center"/>
          </w:tcPr>
          <w:p>
            <w:pPr>
              <w:pStyle w:val="TableContents"/>
              <w:bidi w:val="0"/>
              <w:spacing w:before="0" w:after="283"/>
              <w:jc w:val="right"/>
              <w:rPr/>
            </w:pPr>
            <w:r>
              <w:rPr/>
              <w:t>184,960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5" w:type="dxa"/>
            <w:tcBorders/>
            <w:shd w:fill="CCEEFF" w:val="clear"/>
            <w:vAlign w:val="center"/>
          </w:tcPr>
          <w:p>
            <w:pPr>
              <w:pStyle w:val="TableContents"/>
              <w:bidi w:val="0"/>
              <w:spacing w:before="0" w:after="283"/>
              <w:jc w:val="right"/>
              <w:rPr/>
            </w:pPr>
            <w:r>
              <w:rPr/>
              <w:t>182,444</w:t>
            </w:r>
          </w:p>
        </w:tc>
        <w:tc>
          <w:tcPr>
            <w:tcW w:w="23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Work in process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20" w:type="dxa"/>
            <w:tcBorders/>
            <w:vAlign w:val="center"/>
          </w:tcPr>
          <w:p>
            <w:pPr>
              <w:pStyle w:val="TableContents"/>
              <w:bidi w:val="0"/>
              <w:spacing w:before="0" w:after="283"/>
              <w:jc w:val="right"/>
              <w:rPr/>
            </w:pPr>
            <w:r>
              <w:rPr/>
              <w:t>360,965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5" w:type="dxa"/>
            <w:tcBorders/>
            <w:vAlign w:val="center"/>
          </w:tcPr>
          <w:p>
            <w:pPr>
              <w:pStyle w:val="TableContents"/>
              <w:bidi w:val="0"/>
              <w:spacing w:before="0" w:after="283"/>
              <w:jc w:val="right"/>
              <w:rPr/>
            </w:pPr>
            <w:r>
              <w:rPr/>
              <w:t>331,347</w:t>
            </w:r>
          </w:p>
        </w:tc>
        <w:tc>
          <w:tcPr>
            <w:tcW w:w="23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Raw materials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220" w:type="dxa"/>
            <w:tcBorders>
              <w:bottom w:val="single" w:sz="6" w:space="0" w:color="000000"/>
            </w:tcBorders>
            <w:shd w:fill="CCEEFF" w:val="clear"/>
            <w:tcMar>
              <w:bottom w:w="28" w:type="dxa"/>
            </w:tcMar>
            <w:vAlign w:val="center"/>
          </w:tcPr>
          <w:p>
            <w:pPr>
              <w:pStyle w:val="TableContents"/>
              <w:bidi w:val="0"/>
              <w:spacing w:before="0" w:after="283"/>
              <w:jc w:val="right"/>
              <w:rPr/>
            </w:pPr>
            <w:r>
              <w:rPr/>
              <w:t>261,186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925" w:type="dxa"/>
            <w:tcBorders>
              <w:bottom w:val="single" w:sz="6" w:space="0" w:color="000000"/>
            </w:tcBorders>
            <w:shd w:fill="CCEEFF" w:val="clear"/>
            <w:tcMar>
              <w:bottom w:w="28" w:type="dxa"/>
            </w:tcMar>
            <w:vAlign w:val="center"/>
          </w:tcPr>
          <w:p>
            <w:pPr>
              <w:pStyle w:val="TableContents"/>
              <w:bidi w:val="0"/>
              <w:spacing w:before="0" w:after="283"/>
              <w:jc w:val="right"/>
              <w:rPr/>
            </w:pPr>
            <w:r>
              <w:rPr/>
              <w:t>245,412</w:t>
            </w:r>
          </w:p>
        </w:tc>
        <w:tc>
          <w:tcPr>
            <w:tcW w:w="23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Total inventories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20" w:type="dxa"/>
            <w:tcBorders/>
            <w:vAlign w:val="center"/>
          </w:tcPr>
          <w:p>
            <w:pPr>
              <w:pStyle w:val="TableContents"/>
              <w:bidi w:val="0"/>
              <w:spacing w:before="0" w:after="283"/>
              <w:jc w:val="right"/>
              <w:rPr/>
            </w:pPr>
            <w:r>
              <w:rPr/>
              <w:t>807,111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5" w:type="dxa"/>
            <w:tcBorders/>
            <w:vAlign w:val="center"/>
          </w:tcPr>
          <w:p>
            <w:pPr>
              <w:pStyle w:val="TableContents"/>
              <w:bidi w:val="0"/>
              <w:spacing w:before="0" w:after="283"/>
              <w:jc w:val="right"/>
              <w:rPr/>
            </w:pPr>
            <w:r>
              <w:rPr/>
              <w:t>759,203</w:t>
            </w:r>
          </w:p>
        </w:tc>
        <w:tc>
          <w:tcPr>
            <w:tcW w:w="23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220" w:type="dxa"/>
            <w:tcBorders>
              <w:bottom w:val="single" w:sz="6" w:space="0" w:color="000000"/>
            </w:tcBorders>
            <w:tcMar>
              <w:bottom w:w="28" w:type="dxa"/>
            </w:tcMar>
            <w:vAlign w:val="center"/>
          </w:tcPr>
          <w:p>
            <w:pPr>
              <w:pStyle w:val="TableContents"/>
              <w:bidi w:val="0"/>
              <w:spacing w:before="0" w:after="283"/>
              <w:jc w:val="right"/>
              <w:rPr/>
            </w:pPr>
            <w:r>
              <w:rPr/>
              <w:t>221,811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925" w:type="dxa"/>
            <w:tcBorders>
              <w:bottom w:val="single" w:sz="6" w:space="0" w:color="000000"/>
            </w:tcBorders>
            <w:tcMar>
              <w:bottom w:w="28" w:type="dxa"/>
            </w:tcMar>
            <w:vAlign w:val="center"/>
          </w:tcPr>
          <w:p>
            <w:pPr>
              <w:pStyle w:val="TableContents"/>
              <w:bidi w:val="0"/>
              <w:spacing w:before="0" w:after="283"/>
              <w:jc w:val="right"/>
              <w:rPr/>
            </w:pPr>
            <w:r>
              <w:rPr/>
              <w:t>231,004</w:t>
            </w:r>
          </w:p>
        </w:tc>
        <w:tc>
          <w:tcPr>
            <w:tcW w:w="23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Total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20" w:type="dxa"/>
            <w:tcBorders/>
            <w:shd w:fill="CCEEFF" w:val="clear"/>
            <w:vAlign w:val="center"/>
          </w:tcPr>
          <w:p>
            <w:pPr>
              <w:pStyle w:val="TableContents"/>
              <w:bidi w:val="0"/>
              <w:spacing w:before="0" w:after="283"/>
              <w:jc w:val="right"/>
              <w:rPr/>
            </w:pPr>
            <w:r>
              <w:rPr/>
              <w:t>2,724,867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5" w:type="dxa"/>
            <w:tcBorders/>
            <w:shd w:fill="CCEEFF" w:val="clear"/>
            <w:vAlign w:val="center"/>
          </w:tcPr>
          <w:p>
            <w:pPr>
              <w:pStyle w:val="TableContents"/>
              <w:bidi w:val="0"/>
              <w:spacing w:before="0" w:after="283"/>
              <w:jc w:val="right"/>
              <w:rPr/>
            </w:pPr>
            <w:r>
              <w:rPr/>
              <w:t>1,887,240</w:t>
            </w:r>
          </w:p>
        </w:tc>
        <w:tc>
          <w:tcPr>
            <w:tcW w:w="23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Property and equipment, at cost: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Land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20" w:type="dxa"/>
            <w:tcBorders/>
            <w:vAlign w:val="center"/>
          </w:tcPr>
          <w:p>
            <w:pPr>
              <w:pStyle w:val="TableContents"/>
              <w:bidi w:val="0"/>
              <w:spacing w:before="0" w:after="283"/>
              <w:jc w:val="right"/>
              <w:rPr/>
            </w:pPr>
            <w:r>
              <w:rPr/>
              <w:t>85,711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5" w:type="dxa"/>
            <w:tcBorders/>
            <w:vAlign w:val="center"/>
          </w:tcPr>
          <w:p>
            <w:pPr>
              <w:pStyle w:val="TableContents"/>
              <w:bidi w:val="0"/>
              <w:spacing w:before="0" w:after="283"/>
              <w:jc w:val="right"/>
              <w:rPr/>
            </w:pPr>
            <w:r>
              <w:rPr/>
              <w:t>86,399</w:t>
            </w:r>
          </w:p>
        </w:tc>
        <w:tc>
          <w:tcPr>
            <w:tcW w:w="23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Buildings and improvements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20" w:type="dxa"/>
            <w:tcBorders/>
            <w:shd w:fill="CCEEFF" w:val="clear"/>
            <w:vAlign w:val="center"/>
          </w:tcPr>
          <w:p>
            <w:pPr>
              <w:pStyle w:val="TableContents"/>
              <w:bidi w:val="0"/>
              <w:spacing w:before="0" w:after="283"/>
              <w:jc w:val="right"/>
              <w:rPr/>
            </w:pPr>
            <w:r>
              <w:rPr/>
              <w:t>841,294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5" w:type="dxa"/>
            <w:tcBorders/>
            <w:shd w:fill="CCEEFF" w:val="clear"/>
            <w:vAlign w:val="center"/>
          </w:tcPr>
          <w:p>
            <w:pPr>
              <w:pStyle w:val="TableContents"/>
              <w:bidi w:val="0"/>
              <w:spacing w:before="0" w:after="283"/>
              <w:jc w:val="right"/>
              <w:rPr/>
            </w:pPr>
            <w:r>
              <w:rPr/>
              <w:t>839,856</w:t>
            </w:r>
          </w:p>
        </w:tc>
        <w:tc>
          <w:tcPr>
            <w:tcW w:w="23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Machinery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20" w:type="dxa"/>
            <w:tcBorders/>
            <w:vAlign w:val="center"/>
          </w:tcPr>
          <w:p>
            <w:pPr>
              <w:pStyle w:val="TableContents"/>
              <w:bidi w:val="0"/>
              <w:spacing w:before="0" w:after="283"/>
              <w:jc w:val="right"/>
              <w:rPr/>
            </w:pPr>
            <w:r>
              <w:rPr/>
              <w:t>3,505,644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5" w:type="dxa"/>
            <w:tcBorders/>
            <w:vAlign w:val="center"/>
          </w:tcPr>
          <w:p>
            <w:pPr>
              <w:pStyle w:val="TableContents"/>
              <w:bidi w:val="0"/>
              <w:spacing w:before="0" w:after="283"/>
              <w:jc w:val="right"/>
              <w:rPr/>
            </w:pPr>
            <w:r>
              <w:rPr/>
              <w:t>3,477,884</w:t>
            </w:r>
          </w:p>
        </w:tc>
        <w:tc>
          <w:tcPr>
            <w:tcW w:w="23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Construction in progress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20" w:type="dxa"/>
            <w:tcBorders/>
            <w:shd w:fill="CCEEFF" w:val="clear"/>
            <w:vAlign w:val="center"/>
          </w:tcPr>
          <w:p>
            <w:pPr>
              <w:pStyle w:val="TableContents"/>
              <w:bidi w:val="0"/>
              <w:spacing w:before="0" w:after="283"/>
              <w:jc w:val="right"/>
              <w:rPr/>
            </w:pPr>
            <w:r>
              <w:rPr/>
              <w:t>558,131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5" w:type="dxa"/>
            <w:tcBorders/>
            <w:shd w:fill="CCEEFF" w:val="clear"/>
            <w:vAlign w:val="center"/>
          </w:tcPr>
          <w:p>
            <w:pPr>
              <w:pStyle w:val="TableContents"/>
              <w:bidi w:val="0"/>
              <w:spacing w:before="0" w:after="283"/>
              <w:jc w:val="right"/>
              <w:rPr/>
            </w:pPr>
            <w:r>
              <w:rPr/>
              <w:t>464,475</w:t>
            </w:r>
          </w:p>
        </w:tc>
        <w:tc>
          <w:tcPr>
            <w:tcW w:w="23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Allowance for depreciation</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220" w:type="dxa"/>
            <w:tcBorders>
              <w:bottom w:val="single" w:sz="6" w:space="0" w:color="000000"/>
            </w:tcBorders>
            <w:tcMar>
              <w:bottom w:w="28" w:type="dxa"/>
            </w:tcMar>
            <w:vAlign w:val="center"/>
          </w:tcPr>
          <w:p>
            <w:pPr>
              <w:pStyle w:val="TableContents"/>
              <w:bidi w:val="0"/>
              <w:spacing w:before="0" w:after="283"/>
              <w:jc w:val="right"/>
              <w:rPr/>
            </w:pPr>
            <w:r>
              <w:rPr/>
              <w:t>(3,241,135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925" w:type="dxa"/>
            <w:tcBorders>
              <w:bottom w:val="single" w:sz="6" w:space="0" w:color="000000"/>
            </w:tcBorders>
            <w:tcMar>
              <w:bottom w:w="28" w:type="dxa"/>
            </w:tcMar>
            <w:vAlign w:val="center"/>
          </w:tcPr>
          <w:p>
            <w:pPr>
              <w:pStyle w:val="TableContents"/>
              <w:bidi w:val="0"/>
              <w:spacing w:before="0" w:after="283"/>
              <w:jc w:val="right"/>
              <w:rPr/>
            </w:pPr>
            <w:r>
              <w:rPr/>
              <w:t>(3,195,455</w:t>
            </w:r>
          </w:p>
        </w:tc>
        <w:tc>
          <w:tcPr>
            <w:tcW w:w="23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20" w:type="dxa"/>
            <w:tcBorders/>
            <w:shd w:fill="CCEEFF" w:val="clear"/>
            <w:vAlign w:val="center"/>
          </w:tcPr>
          <w:p>
            <w:pPr>
              <w:pStyle w:val="TableContents"/>
              <w:bidi w:val="0"/>
              <w:spacing w:before="0" w:after="283"/>
              <w:jc w:val="right"/>
              <w:rPr/>
            </w:pPr>
            <w:r>
              <w:rPr/>
              <w:t>1,749,645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5" w:type="dxa"/>
            <w:tcBorders/>
            <w:shd w:fill="CCEEFF" w:val="clear"/>
            <w:vAlign w:val="center"/>
          </w:tcPr>
          <w:p>
            <w:pPr>
              <w:pStyle w:val="TableContents"/>
              <w:bidi w:val="0"/>
              <w:spacing w:before="0" w:after="283"/>
              <w:jc w:val="right"/>
              <w:rPr/>
            </w:pPr>
            <w:r>
              <w:rPr/>
              <w:t>1,673,159</w:t>
            </w:r>
          </w:p>
        </w:tc>
        <w:tc>
          <w:tcPr>
            <w:tcW w:w="23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Right of use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20" w:type="dxa"/>
            <w:tcBorders/>
            <w:shd w:fill="CCEEFF" w:val="clear"/>
            <w:vAlign w:val="center"/>
          </w:tcPr>
          <w:p>
            <w:pPr>
              <w:pStyle w:val="TableContents"/>
              <w:bidi w:val="0"/>
              <w:spacing w:before="0" w:after="283"/>
              <w:jc w:val="right"/>
              <w:rPr/>
            </w:pPr>
            <w:r>
              <w:rPr/>
              <w:t>122,630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5" w:type="dxa"/>
            <w:tcBorders/>
            <w:shd w:fill="CCEEFF" w:val="clear"/>
            <w:vAlign w:val="center"/>
          </w:tcPr>
          <w:p>
            <w:pPr>
              <w:pStyle w:val="TableContents"/>
              <w:bidi w:val="0"/>
              <w:spacing w:before="0" w:after="283"/>
              <w:jc w:val="right"/>
              <w:rPr/>
            </w:pPr>
            <w:r>
              <w:rPr/>
              <w:t>119,746</w:t>
            </w:r>
          </w:p>
        </w:tc>
        <w:tc>
          <w:tcPr>
            <w:tcW w:w="23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Deferred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20" w:type="dxa"/>
            <w:tcBorders/>
            <w:vAlign w:val="center"/>
          </w:tcPr>
          <w:p>
            <w:pPr>
              <w:pStyle w:val="TableContents"/>
              <w:bidi w:val="0"/>
              <w:spacing w:before="0" w:after="283"/>
              <w:jc w:val="right"/>
              <w:rPr/>
            </w:pPr>
            <w:r>
              <w:rPr/>
              <w:t>190,381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5" w:type="dxa"/>
            <w:tcBorders/>
            <w:vAlign w:val="center"/>
          </w:tcPr>
          <w:p>
            <w:pPr>
              <w:pStyle w:val="TableContents"/>
              <w:bidi w:val="0"/>
              <w:spacing w:before="0" w:after="283"/>
              <w:jc w:val="right"/>
              <w:rPr/>
            </w:pPr>
            <w:r>
              <w:rPr/>
              <w:t>183,016</w:t>
            </w:r>
          </w:p>
        </w:tc>
        <w:tc>
          <w:tcPr>
            <w:tcW w:w="23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Goodwill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20" w:type="dxa"/>
            <w:tcBorders/>
            <w:shd w:fill="CCEEFF" w:val="clear"/>
            <w:vAlign w:val="center"/>
          </w:tcPr>
          <w:p>
            <w:pPr>
              <w:pStyle w:val="TableContents"/>
              <w:bidi w:val="0"/>
              <w:spacing w:before="0" w:after="283"/>
              <w:jc w:val="right"/>
              <w:rPr/>
            </w:pPr>
            <w:r>
              <w:rPr/>
              <w:t>180,027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5" w:type="dxa"/>
            <w:tcBorders/>
            <w:shd w:fill="CCEEFF" w:val="clear"/>
            <w:vAlign w:val="center"/>
          </w:tcPr>
          <w:p>
            <w:pPr>
              <w:pStyle w:val="TableContents"/>
              <w:bidi w:val="0"/>
              <w:spacing w:before="0" w:after="283"/>
              <w:jc w:val="right"/>
              <w:rPr/>
            </w:pPr>
            <w:r>
              <w:rPr/>
              <w:t>180,390</w:t>
            </w:r>
          </w:p>
        </w:tc>
        <w:tc>
          <w:tcPr>
            <w:tcW w:w="23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Other intangible assets,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20" w:type="dxa"/>
            <w:tcBorders/>
            <w:vAlign w:val="center"/>
          </w:tcPr>
          <w:p>
            <w:pPr>
              <w:pStyle w:val="TableContents"/>
              <w:bidi w:val="0"/>
              <w:spacing w:before="0" w:after="283"/>
              <w:jc w:val="right"/>
              <w:rPr/>
            </w:pPr>
            <w:r>
              <w:rPr/>
              <w:t>71,266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5" w:type="dxa"/>
            <w:tcBorders/>
            <w:vAlign w:val="center"/>
          </w:tcPr>
          <w:p>
            <w:pPr>
              <w:pStyle w:val="TableContents"/>
              <w:bidi w:val="0"/>
              <w:spacing w:before="0" w:after="283"/>
              <w:jc w:val="right"/>
              <w:rPr/>
            </w:pPr>
            <w:r>
              <w:rPr/>
              <w:t>78,487</w:t>
            </w:r>
          </w:p>
        </w:tc>
        <w:tc>
          <w:tcPr>
            <w:tcW w:w="23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Other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220" w:type="dxa"/>
            <w:tcBorders>
              <w:bottom w:val="single" w:sz="6" w:space="0" w:color="000000"/>
            </w:tcBorders>
            <w:shd w:fill="CCEEFF" w:val="clear"/>
            <w:tcMar>
              <w:bottom w:w="28" w:type="dxa"/>
            </w:tcMar>
            <w:vAlign w:val="center"/>
          </w:tcPr>
          <w:p>
            <w:pPr>
              <w:pStyle w:val="TableContents"/>
              <w:bidi w:val="0"/>
              <w:spacing w:before="0" w:after="283"/>
              <w:jc w:val="right"/>
              <w:rPr/>
            </w:pPr>
            <w:r>
              <w:rPr/>
              <w:t>117,550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925" w:type="dxa"/>
            <w:tcBorders>
              <w:bottom w:val="single" w:sz="6" w:space="0" w:color="000000"/>
            </w:tcBorders>
            <w:shd w:fill="CCEEFF" w:val="clear"/>
            <w:tcMar>
              <w:bottom w:w="28" w:type="dxa"/>
            </w:tcMar>
            <w:vAlign w:val="center"/>
          </w:tcPr>
          <w:p>
            <w:pPr>
              <w:pStyle w:val="TableContents"/>
              <w:bidi w:val="0"/>
              <w:spacing w:before="0" w:after="283"/>
              <w:jc w:val="right"/>
              <w:rPr/>
            </w:pPr>
            <w:r>
              <w:rPr/>
              <w:t>112,122</w:t>
            </w:r>
          </w:p>
        </w:tc>
        <w:tc>
          <w:tcPr>
            <w:tcW w:w="23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tcMar>
              <w:bottom w:w="28" w:type="dxa"/>
            </w:tcMar>
            <w:vAlign w:val="center"/>
          </w:tcPr>
          <w:p>
            <w:pPr>
              <w:pStyle w:val="TableContents"/>
              <w:bidi w:val="0"/>
              <w:spacing w:before="0" w:after="283"/>
              <w:jc w:val="right"/>
              <w:rPr/>
            </w:pPr>
            <w:r>
              <w:rPr/>
              <w:t>5,156,366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25" w:type="dxa"/>
            <w:tcBorders>
              <w:bottom w:val="double" w:sz="6" w:space="0" w:color="000000"/>
            </w:tcBorders>
            <w:tcMar>
              <w:bottom w:w="28" w:type="dxa"/>
            </w:tcMar>
            <w:vAlign w:val="center"/>
          </w:tcPr>
          <w:p>
            <w:pPr>
              <w:pStyle w:val="TableContents"/>
              <w:bidi w:val="0"/>
              <w:spacing w:before="0" w:after="283"/>
              <w:jc w:val="right"/>
              <w:rPr/>
            </w:pPr>
            <w:r>
              <w:rPr/>
              <w:t>4,234,160</w:t>
            </w:r>
          </w:p>
        </w:tc>
        <w:tc>
          <w:tcPr>
            <w:tcW w:w="230" w:type="dxa"/>
            <w:tcBorders/>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tbl>
      <w:tblPr>
        <w:tblW w:w="9055" w:type="dxa"/>
        <w:jc w:val="left"/>
        <w:tblInd w:w="0" w:type="dxa"/>
        <w:tblLayout w:type="fixed"/>
        <w:tblCellMar>
          <w:top w:w="0" w:type="dxa"/>
          <w:left w:w="0" w:type="dxa"/>
          <w:bottom w:w="0" w:type="dxa"/>
          <w:right w:w="0" w:type="dxa"/>
        </w:tblCellMar>
      </w:tblPr>
      <w:tblGrid>
        <w:gridCol w:w="5075"/>
        <w:gridCol w:w="90"/>
        <w:gridCol w:w="170"/>
        <w:gridCol w:w="1220"/>
        <w:gridCol w:w="90"/>
        <w:gridCol w:w="90"/>
        <w:gridCol w:w="90"/>
        <w:gridCol w:w="170"/>
        <w:gridCol w:w="1925"/>
        <w:gridCol w:w="135"/>
      </w:tblGrid>
      <w:tr>
        <w:trPr/>
        <w:tc>
          <w:tcPr>
            <w:tcW w:w="5075" w:type="dxa"/>
            <w:tcBorders/>
            <w:vAlign w:val="center"/>
          </w:tcPr>
          <w:p>
            <w:pPr>
              <w:pStyle w:val="TableContents"/>
              <w:bidi w:val="0"/>
              <w:spacing w:before="0" w:after="283"/>
              <w:jc w:val="left"/>
              <w:rPr/>
            </w:pPr>
            <w:r>
              <w:rPr/>
              <w:t xml:space="preserve">VISHAY INTERTECHNOLOGY, INC.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Consolidated Condensed Balance Sheets (continued)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(Unaudited - In thousands)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center"/>
              <w:rPr/>
            </w:pPr>
            <w:r>
              <w:rPr/>
              <w:t>July 4,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25" w:type="dxa"/>
            <w:tcBorders>
              <w:bottom w:val="single" w:sz="6" w:space="0" w:color="000000"/>
            </w:tcBorders>
            <w:tcMar>
              <w:bottom w:w="28" w:type="dxa"/>
            </w:tcMar>
            <w:vAlign w:val="center"/>
          </w:tcPr>
          <w:p>
            <w:pPr>
              <w:pStyle w:val="TableContents"/>
              <w:bidi w:val="0"/>
              <w:spacing w:before="0" w:after="283"/>
              <w:jc w:val="center"/>
              <w:rPr/>
            </w:pPr>
            <w:r>
              <w:rPr/>
              <w:t>December 31, 2025</w:t>
            </w:r>
          </w:p>
        </w:tc>
        <w:tc>
          <w:tcPr>
            <w:tcW w:w="13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Liabilities and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Trade accounts payable</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237,482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925" w:type="dxa"/>
            <w:tcBorders/>
            <w:shd w:fill="CCEEFF" w:val="clear"/>
            <w:vAlign w:val="center"/>
          </w:tcPr>
          <w:p>
            <w:pPr>
              <w:pStyle w:val="TableContents"/>
              <w:bidi w:val="0"/>
              <w:spacing w:before="0" w:after="283"/>
              <w:jc w:val="right"/>
              <w:rPr/>
            </w:pPr>
            <w:r>
              <w:rPr/>
              <w:t>214,984</w:t>
            </w:r>
          </w:p>
        </w:tc>
        <w:tc>
          <w:tcPr>
            <w:tcW w:w="135"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Payroll and related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20" w:type="dxa"/>
            <w:tcBorders/>
            <w:vAlign w:val="center"/>
          </w:tcPr>
          <w:p>
            <w:pPr>
              <w:pStyle w:val="TableContents"/>
              <w:bidi w:val="0"/>
              <w:spacing w:before="0" w:after="283"/>
              <w:jc w:val="right"/>
              <w:rPr/>
            </w:pPr>
            <w:r>
              <w:rPr/>
              <w:t>179,479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5" w:type="dxa"/>
            <w:tcBorders/>
            <w:vAlign w:val="center"/>
          </w:tcPr>
          <w:p>
            <w:pPr>
              <w:pStyle w:val="TableContents"/>
              <w:bidi w:val="0"/>
              <w:spacing w:before="0" w:after="283"/>
              <w:jc w:val="right"/>
              <w:rPr/>
            </w:pPr>
            <w:r>
              <w:rPr/>
              <w:t>164,114</w:t>
            </w:r>
          </w:p>
        </w:tc>
        <w:tc>
          <w:tcPr>
            <w:tcW w:w="13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20" w:type="dxa"/>
            <w:tcBorders/>
            <w:shd w:fill="CCEEFF" w:val="clear"/>
            <w:vAlign w:val="center"/>
          </w:tcPr>
          <w:p>
            <w:pPr>
              <w:pStyle w:val="TableContents"/>
              <w:bidi w:val="0"/>
              <w:spacing w:before="0" w:after="283"/>
              <w:jc w:val="right"/>
              <w:rPr/>
            </w:pPr>
            <w:r>
              <w:rPr/>
              <w:t>28,241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5" w:type="dxa"/>
            <w:tcBorders/>
            <w:shd w:fill="CCEEFF" w:val="clear"/>
            <w:vAlign w:val="center"/>
          </w:tcPr>
          <w:p>
            <w:pPr>
              <w:pStyle w:val="TableContents"/>
              <w:bidi w:val="0"/>
              <w:spacing w:before="0" w:after="283"/>
              <w:jc w:val="right"/>
              <w:rPr/>
            </w:pPr>
            <w:r>
              <w:rPr/>
              <w:t>26,546</w:t>
            </w:r>
          </w:p>
        </w:tc>
        <w:tc>
          <w:tcPr>
            <w:tcW w:w="135"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Other accrued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20" w:type="dxa"/>
            <w:tcBorders/>
            <w:vAlign w:val="center"/>
          </w:tcPr>
          <w:p>
            <w:pPr>
              <w:pStyle w:val="TableContents"/>
              <w:bidi w:val="0"/>
              <w:spacing w:before="0" w:after="283"/>
              <w:jc w:val="right"/>
              <w:rPr/>
            </w:pPr>
            <w:r>
              <w:rPr/>
              <w:t>310,238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5" w:type="dxa"/>
            <w:tcBorders/>
            <w:vAlign w:val="center"/>
          </w:tcPr>
          <w:p>
            <w:pPr>
              <w:pStyle w:val="TableContents"/>
              <w:bidi w:val="0"/>
              <w:spacing w:before="0" w:after="283"/>
              <w:jc w:val="right"/>
              <w:rPr/>
            </w:pPr>
            <w:r>
              <w:rPr/>
              <w:t>300,031</w:t>
            </w:r>
          </w:p>
        </w:tc>
        <w:tc>
          <w:tcPr>
            <w:tcW w:w="13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20" w:type="dxa"/>
            <w:tcBorders/>
            <w:shd w:fill="CCEEFF" w:val="clear"/>
            <w:vAlign w:val="center"/>
          </w:tcPr>
          <w:p>
            <w:pPr>
              <w:pStyle w:val="TableContents"/>
              <w:bidi w:val="0"/>
              <w:spacing w:before="0" w:after="283"/>
              <w:jc w:val="right"/>
              <w:rPr/>
            </w:pPr>
            <w:r>
              <w:rPr/>
              <w:t>18,757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5" w:type="dxa"/>
            <w:tcBorders/>
            <w:shd w:fill="CCEEFF" w:val="clear"/>
            <w:vAlign w:val="center"/>
          </w:tcPr>
          <w:p>
            <w:pPr>
              <w:pStyle w:val="TableContents"/>
              <w:bidi w:val="0"/>
              <w:spacing w:before="0" w:after="283"/>
              <w:jc w:val="right"/>
              <w:rPr/>
            </w:pPr>
            <w:r>
              <w:rPr/>
              <w:t>14,751</w:t>
            </w:r>
          </w:p>
        </w:tc>
        <w:tc>
          <w:tcPr>
            <w:tcW w:w="135"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Current portion of long-term debt</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220" w:type="dxa"/>
            <w:tcBorders>
              <w:bottom w:val="single" w:sz="6" w:space="0" w:color="000000"/>
            </w:tcBorders>
            <w:tcMar>
              <w:bottom w:w="28" w:type="dxa"/>
            </w:tcMar>
            <w:vAlign w:val="center"/>
          </w:tcPr>
          <w:p>
            <w:pPr>
              <w:pStyle w:val="TableContents"/>
              <w:bidi w:val="0"/>
              <w:spacing w:before="0" w:after="283"/>
              <w:jc w:val="right"/>
              <w:rPr/>
            </w:pPr>
            <w:r>
              <w:rPr/>
              <w:t>737,744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925" w:type="dxa"/>
            <w:tcBorders>
              <w:bottom w:val="single" w:sz="6"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20" w:type="dxa"/>
            <w:tcBorders/>
            <w:shd w:fill="CCEEFF" w:val="clear"/>
            <w:vAlign w:val="center"/>
          </w:tcPr>
          <w:p>
            <w:pPr>
              <w:pStyle w:val="TableContents"/>
              <w:bidi w:val="0"/>
              <w:spacing w:before="0" w:after="283"/>
              <w:jc w:val="right"/>
              <w:rPr/>
            </w:pPr>
            <w:r>
              <w:rPr/>
              <w:t>1,511,941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5" w:type="dxa"/>
            <w:tcBorders/>
            <w:shd w:fill="CCEEFF" w:val="clear"/>
            <w:vAlign w:val="center"/>
          </w:tcPr>
          <w:p>
            <w:pPr>
              <w:pStyle w:val="TableContents"/>
              <w:bidi w:val="0"/>
              <w:spacing w:before="0" w:after="283"/>
              <w:jc w:val="right"/>
              <w:rPr/>
            </w:pPr>
            <w:r>
              <w:rPr/>
              <w:t>720,426</w:t>
            </w:r>
          </w:p>
        </w:tc>
        <w:tc>
          <w:tcPr>
            <w:tcW w:w="135"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Long-term debt less current portion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20" w:type="dxa"/>
            <w:tcBorders/>
            <w:shd w:fill="CCEEFF" w:val="clear"/>
            <w:vAlign w:val="center"/>
          </w:tcPr>
          <w:p>
            <w:pPr>
              <w:pStyle w:val="TableContents"/>
              <w:bidi w:val="0"/>
              <w:spacing w:before="0" w:after="283"/>
              <w:jc w:val="right"/>
              <w:rPr/>
            </w:pPr>
            <w:r>
              <w:rPr/>
              <w:t>234,543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5" w:type="dxa"/>
            <w:tcBorders/>
            <w:shd w:fill="CCEEFF" w:val="clear"/>
            <w:vAlign w:val="center"/>
          </w:tcPr>
          <w:p>
            <w:pPr>
              <w:pStyle w:val="TableContents"/>
              <w:bidi w:val="0"/>
              <w:spacing w:before="0" w:after="283"/>
              <w:jc w:val="right"/>
              <w:rPr/>
            </w:pPr>
            <w:r>
              <w:rPr/>
              <w:t>950,893</w:t>
            </w:r>
          </w:p>
        </w:tc>
        <w:tc>
          <w:tcPr>
            <w:tcW w:w="135"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Deferred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20" w:type="dxa"/>
            <w:tcBorders/>
            <w:vAlign w:val="center"/>
          </w:tcPr>
          <w:p>
            <w:pPr>
              <w:pStyle w:val="TableContents"/>
              <w:bidi w:val="0"/>
              <w:spacing w:before="0" w:after="283"/>
              <w:jc w:val="right"/>
              <w:rPr/>
            </w:pPr>
            <w:r>
              <w:rPr/>
              <w:t>97,488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5" w:type="dxa"/>
            <w:tcBorders/>
            <w:vAlign w:val="center"/>
          </w:tcPr>
          <w:p>
            <w:pPr>
              <w:pStyle w:val="TableContents"/>
              <w:bidi w:val="0"/>
              <w:spacing w:before="0" w:after="283"/>
              <w:jc w:val="right"/>
              <w:rPr/>
            </w:pPr>
            <w:r>
              <w:rPr/>
              <w:t>96,818</w:t>
            </w:r>
          </w:p>
        </w:tc>
        <w:tc>
          <w:tcPr>
            <w:tcW w:w="13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Long-term 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20" w:type="dxa"/>
            <w:tcBorders/>
            <w:shd w:fill="CCEEFF" w:val="clear"/>
            <w:vAlign w:val="center"/>
          </w:tcPr>
          <w:p>
            <w:pPr>
              <w:pStyle w:val="TableContents"/>
              <w:bidi w:val="0"/>
              <w:spacing w:before="0" w:after="283"/>
              <w:jc w:val="right"/>
              <w:rPr/>
            </w:pPr>
            <w:r>
              <w:rPr/>
              <w:t>96,583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5" w:type="dxa"/>
            <w:tcBorders/>
            <w:shd w:fill="CCEEFF" w:val="clear"/>
            <w:vAlign w:val="center"/>
          </w:tcPr>
          <w:p>
            <w:pPr>
              <w:pStyle w:val="TableContents"/>
              <w:bidi w:val="0"/>
              <w:spacing w:before="0" w:after="283"/>
              <w:jc w:val="right"/>
              <w:rPr/>
            </w:pPr>
            <w:r>
              <w:rPr/>
              <w:t>95,799</w:t>
            </w:r>
          </w:p>
        </w:tc>
        <w:tc>
          <w:tcPr>
            <w:tcW w:w="135"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Other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20" w:type="dxa"/>
            <w:tcBorders/>
            <w:vAlign w:val="center"/>
          </w:tcPr>
          <w:p>
            <w:pPr>
              <w:pStyle w:val="TableContents"/>
              <w:bidi w:val="0"/>
              <w:spacing w:before="0" w:after="283"/>
              <w:jc w:val="right"/>
              <w:rPr/>
            </w:pPr>
            <w:r>
              <w:rPr/>
              <w:t>136,668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5" w:type="dxa"/>
            <w:tcBorders/>
            <w:vAlign w:val="center"/>
          </w:tcPr>
          <w:p>
            <w:pPr>
              <w:pStyle w:val="TableContents"/>
              <w:bidi w:val="0"/>
              <w:spacing w:before="0" w:after="283"/>
              <w:jc w:val="right"/>
              <w:rPr/>
            </w:pPr>
            <w:r>
              <w:rPr/>
              <w:t>109,228</w:t>
            </w:r>
          </w:p>
        </w:tc>
        <w:tc>
          <w:tcPr>
            <w:tcW w:w="13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Accrued pension and other postretirement costs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220" w:type="dxa"/>
            <w:tcBorders>
              <w:bottom w:val="single" w:sz="6" w:space="0" w:color="000000"/>
            </w:tcBorders>
            <w:shd w:fill="CCEEFF" w:val="clear"/>
            <w:tcMar>
              <w:bottom w:w="28" w:type="dxa"/>
            </w:tcMar>
            <w:vAlign w:val="center"/>
          </w:tcPr>
          <w:p>
            <w:pPr>
              <w:pStyle w:val="TableContents"/>
              <w:bidi w:val="0"/>
              <w:spacing w:before="0" w:after="283"/>
              <w:jc w:val="right"/>
              <w:rPr/>
            </w:pPr>
            <w:r>
              <w:rPr/>
              <w:t>166,246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925" w:type="dxa"/>
            <w:tcBorders>
              <w:bottom w:val="single" w:sz="6" w:space="0" w:color="000000"/>
            </w:tcBorders>
            <w:shd w:fill="CCEEFF" w:val="clear"/>
            <w:tcMar>
              <w:bottom w:w="28" w:type="dxa"/>
            </w:tcMar>
            <w:vAlign w:val="center"/>
          </w:tcPr>
          <w:p>
            <w:pPr>
              <w:pStyle w:val="TableContents"/>
              <w:bidi w:val="0"/>
              <w:spacing w:before="0" w:after="283"/>
              <w:jc w:val="right"/>
              <w:rPr/>
            </w:pPr>
            <w:r>
              <w:rPr/>
              <w:t>172,723</w:t>
            </w:r>
          </w:p>
        </w:tc>
        <w:tc>
          <w:tcPr>
            <w:tcW w:w="135"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 </w:t>
            </w:r>
          </w:p>
        </w:tc>
        <w:tc>
          <w:tcPr>
            <w:tcW w:w="1220" w:type="dxa"/>
            <w:tcBorders>
              <w:bottom w:val="double" w:sz="6" w:space="0" w:color="000000"/>
            </w:tcBorders>
            <w:tcMar>
              <w:bottom w:w="28" w:type="dxa"/>
            </w:tcMar>
            <w:vAlign w:val="center"/>
          </w:tcPr>
          <w:p>
            <w:pPr>
              <w:pStyle w:val="TableContents"/>
              <w:bidi w:val="0"/>
              <w:spacing w:before="0" w:after="283"/>
              <w:jc w:val="right"/>
              <w:rPr/>
            </w:pPr>
            <w:r>
              <w:rPr/>
              <w:t>2,243,469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 </w:t>
            </w:r>
          </w:p>
        </w:tc>
        <w:tc>
          <w:tcPr>
            <w:tcW w:w="1925" w:type="dxa"/>
            <w:tcBorders>
              <w:bottom w:val="double" w:sz="6" w:space="0" w:color="000000"/>
            </w:tcBorders>
            <w:tcMar>
              <w:bottom w:w="28" w:type="dxa"/>
            </w:tcMar>
            <w:vAlign w:val="center"/>
          </w:tcPr>
          <w:p>
            <w:pPr>
              <w:pStyle w:val="TableContents"/>
              <w:bidi w:val="0"/>
              <w:spacing w:before="0" w:after="283"/>
              <w:jc w:val="right"/>
              <w:rPr/>
            </w:pPr>
            <w:r>
              <w:rPr/>
              <w:t>2,145,887</w:t>
            </w:r>
          </w:p>
        </w:tc>
        <w:tc>
          <w:tcPr>
            <w:tcW w:w="13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Vishay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Common stock</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20" w:type="dxa"/>
            <w:tcBorders/>
            <w:vAlign w:val="center"/>
          </w:tcPr>
          <w:p>
            <w:pPr>
              <w:pStyle w:val="TableContents"/>
              <w:bidi w:val="0"/>
              <w:spacing w:before="0" w:after="283"/>
              <w:jc w:val="right"/>
              <w:rPr/>
            </w:pPr>
            <w:r>
              <w:rPr/>
              <w:t>14,129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5" w:type="dxa"/>
            <w:tcBorders/>
            <w:vAlign w:val="center"/>
          </w:tcPr>
          <w:p>
            <w:pPr>
              <w:pStyle w:val="TableContents"/>
              <w:bidi w:val="0"/>
              <w:spacing w:before="0" w:after="283"/>
              <w:jc w:val="right"/>
              <w:rPr/>
            </w:pPr>
            <w:r>
              <w:rPr/>
              <w:t>12,351</w:t>
            </w:r>
          </w:p>
        </w:tc>
        <w:tc>
          <w:tcPr>
            <w:tcW w:w="13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Class B convertible common stock</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20" w:type="dxa"/>
            <w:tcBorders/>
            <w:shd w:fill="CCEEFF" w:val="clear"/>
            <w:vAlign w:val="center"/>
          </w:tcPr>
          <w:p>
            <w:pPr>
              <w:pStyle w:val="TableContents"/>
              <w:bidi w:val="0"/>
              <w:spacing w:before="0" w:after="283"/>
              <w:jc w:val="right"/>
              <w:rPr/>
            </w:pPr>
            <w:r>
              <w:rPr/>
              <w:t>1,210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5" w:type="dxa"/>
            <w:tcBorders/>
            <w:shd w:fill="CCEEFF" w:val="clear"/>
            <w:vAlign w:val="center"/>
          </w:tcPr>
          <w:p>
            <w:pPr>
              <w:pStyle w:val="TableContents"/>
              <w:bidi w:val="0"/>
              <w:spacing w:before="0" w:after="283"/>
              <w:jc w:val="right"/>
              <w:rPr/>
            </w:pPr>
            <w:r>
              <w:rPr/>
              <w:t>1,210</w:t>
            </w:r>
          </w:p>
        </w:tc>
        <w:tc>
          <w:tcPr>
            <w:tcW w:w="135"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Capital in excess of par value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20" w:type="dxa"/>
            <w:tcBorders/>
            <w:vAlign w:val="center"/>
          </w:tcPr>
          <w:p>
            <w:pPr>
              <w:pStyle w:val="TableContents"/>
              <w:bidi w:val="0"/>
              <w:spacing w:before="0" w:after="283"/>
              <w:jc w:val="right"/>
              <w:rPr/>
            </w:pPr>
            <w:r>
              <w:rPr/>
              <w:t>1,945,629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5" w:type="dxa"/>
            <w:tcBorders/>
            <w:vAlign w:val="center"/>
          </w:tcPr>
          <w:p>
            <w:pPr>
              <w:pStyle w:val="TableContents"/>
              <w:bidi w:val="0"/>
              <w:spacing w:before="0" w:after="283"/>
              <w:jc w:val="right"/>
              <w:rPr/>
            </w:pPr>
            <w:r>
              <w:rPr/>
              <w:t>1,101,086</w:t>
            </w:r>
          </w:p>
        </w:tc>
        <w:tc>
          <w:tcPr>
            <w:tcW w:w="13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Retained earnings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20" w:type="dxa"/>
            <w:tcBorders/>
            <w:shd w:fill="CCEEFF" w:val="clear"/>
            <w:vAlign w:val="center"/>
          </w:tcPr>
          <w:p>
            <w:pPr>
              <w:pStyle w:val="TableContents"/>
              <w:bidi w:val="0"/>
              <w:spacing w:before="0" w:after="283"/>
              <w:jc w:val="right"/>
              <w:rPr/>
            </w:pPr>
            <w:r>
              <w:rPr/>
              <w:t>900,268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5" w:type="dxa"/>
            <w:tcBorders/>
            <w:shd w:fill="CCEEFF" w:val="clear"/>
            <w:vAlign w:val="center"/>
          </w:tcPr>
          <w:p>
            <w:pPr>
              <w:pStyle w:val="TableContents"/>
              <w:bidi w:val="0"/>
              <w:spacing w:before="0" w:after="283"/>
              <w:jc w:val="right"/>
              <w:rPr/>
            </w:pPr>
            <w:r>
              <w:rPr/>
              <w:t>892,232</w:t>
            </w:r>
          </w:p>
        </w:tc>
        <w:tc>
          <w:tcPr>
            <w:tcW w:w="135"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Accumulated other comprehensive income</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220" w:type="dxa"/>
            <w:tcBorders>
              <w:bottom w:val="single" w:sz="6" w:space="0" w:color="000000"/>
            </w:tcBorders>
            <w:tcMar>
              <w:bottom w:w="28" w:type="dxa"/>
            </w:tcMar>
            <w:vAlign w:val="center"/>
          </w:tcPr>
          <w:p>
            <w:pPr>
              <w:pStyle w:val="TableContents"/>
              <w:bidi w:val="0"/>
              <w:spacing w:before="0" w:after="283"/>
              <w:jc w:val="right"/>
              <w:rPr/>
            </w:pPr>
            <w:r>
              <w:rPr/>
              <w:t>51,661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925" w:type="dxa"/>
            <w:tcBorders>
              <w:bottom w:val="single" w:sz="6" w:space="0" w:color="000000"/>
            </w:tcBorders>
            <w:tcMar>
              <w:bottom w:w="28" w:type="dxa"/>
            </w:tcMar>
            <w:vAlign w:val="center"/>
          </w:tcPr>
          <w:p>
            <w:pPr>
              <w:pStyle w:val="TableContents"/>
              <w:bidi w:val="0"/>
              <w:spacing w:before="0" w:after="283"/>
              <w:jc w:val="right"/>
              <w:rPr/>
            </w:pPr>
            <w:r>
              <w:rPr/>
              <w:t>81,394</w:t>
            </w:r>
          </w:p>
        </w:tc>
        <w:tc>
          <w:tcPr>
            <w:tcW w:w="13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Total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220" w:type="dxa"/>
            <w:tcBorders>
              <w:bottom w:val="single" w:sz="6" w:space="0" w:color="000000"/>
            </w:tcBorders>
            <w:shd w:fill="CCEEFF" w:val="clear"/>
            <w:tcMar>
              <w:bottom w:w="28" w:type="dxa"/>
            </w:tcMar>
            <w:vAlign w:val="center"/>
          </w:tcPr>
          <w:p>
            <w:pPr>
              <w:pStyle w:val="TableContents"/>
              <w:bidi w:val="0"/>
              <w:spacing w:before="0" w:after="283"/>
              <w:jc w:val="right"/>
              <w:rPr/>
            </w:pPr>
            <w:r>
              <w:rPr/>
              <w:t>2,912,897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925" w:type="dxa"/>
            <w:tcBorders>
              <w:bottom w:val="single" w:sz="6" w:space="0" w:color="000000"/>
            </w:tcBorders>
            <w:shd w:fill="CCEEFF" w:val="clear"/>
            <w:tcMar>
              <w:bottom w:w="28" w:type="dxa"/>
            </w:tcMar>
            <w:vAlign w:val="center"/>
          </w:tcPr>
          <w:p>
            <w:pPr>
              <w:pStyle w:val="TableContents"/>
              <w:bidi w:val="0"/>
              <w:spacing w:before="0" w:after="283"/>
              <w:jc w:val="right"/>
              <w:rPr/>
            </w:pPr>
            <w:r>
              <w:rPr/>
              <w:t>2,088,273</w:t>
            </w:r>
          </w:p>
        </w:tc>
        <w:tc>
          <w:tcPr>
            <w:tcW w:w="135"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Total liabilities and equity</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tcMar>
              <w:bottom w:w="28" w:type="dxa"/>
            </w:tcMar>
            <w:vAlign w:val="center"/>
          </w:tcPr>
          <w:p>
            <w:pPr>
              <w:pStyle w:val="TableContents"/>
              <w:bidi w:val="0"/>
              <w:spacing w:before="0" w:after="283"/>
              <w:jc w:val="right"/>
              <w:rPr/>
            </w:pPr>
            <w:r>
              <w:rPr/>
              <w:t>5,156,366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25" w:type="dxa"/>
            <w:tcBorders>
              <w:bottom w:val="double" w:sz="6" w:space="0" w:color="000000"/>
            </w:tcBorders>
            <w:tcMar>
              <w:bottom w:w="28" w:type="dxa"/>
            </w:tcMar>
            <w:vAlign w:val="center"/>
          </w:tcPr>
          <w:p>
            <w:pPr>
              <w:pStyle w:val="TableContents"/>
              <w:bidi w:val="0"/>
              <w:spacing w:before="0" w:after="283"/>
              <w:jc w:val="right"/>
              <w:rPr/>
            </w:pPr>
            <w:r>
              <w:rPr/>
              <w:t>4,234,160</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6777"/>
        <w:gridCol w:w="90"/>
        <w:gridCol w:w="170"/>
        <w:gridCol w:w="1158"/>
        <w:gridCol w:w="185"/>
        <w:gridCol w:w="90"/>
        <w:gridCol w:w="90"/>
        <w:gridCol w:w="170"/>
        <w:gridCol w:w="1244"/>
        <w:gridCol w:w="231"/>
      </w:tblGrid>
      <w:tr>
        <w:trPr/>
        <w:tc>
          <w:tcPr>
            <w:tcW w:w="6777" w:type="dxa"/>
            <w:tcBorders/>
            <w:vAlign w:val="center"/>
          </w:tcPr>
          <w:p>
            <w:pPr>
              <w:pStyle w:val="TableContents"/>
              <w:bidi w:val="0"/>
              <w:spacing w:before="0" w:after="283"/>
              <w:jc w:val="left"/>
              <w:rPr/>
            </w:pPr>
            <w:r>
              <w:rPr/>
              <w:t xml:space="preserve">VISHAY INTERTECHNOLOGY, INC.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Consolidated Condensed Statements of Cash Flows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(Unaudited - In thousands)</w:t>
            </w:r>
          </w:p>
        </w:tc>
        <w:tc>
          <w:tcPr>
            <w:tcW w:w="3428" w:type="dxa"/>
            <w:gridSpan w:val="9"/>
            <w:tcBorders/>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 </w:t>
            </w:r>
          </w:p>
        </w:tc>
        <w:tc>
          <w:tcPr>
            <w:tcW w:w="3428" w:type="dxa"/>
            <w:gridSpan w:val="9"/>
            <w:tcBorders/>
            <w:vAlign w:val="center"/>
          </w:tcPr>
          <w:p>
            <w:pPr>
              <w:pStyle w:val="TableContents"/>
              <w:bidi w:val="0"/>
              <w:spacing w:before="0" w:after="283"/>
              <w:jc w:val="center"/>
              <w:rPr/>
            </w:pPr>
            <w:r>
              <w:rPr/>
              <w:t>Six fiscal months ended</w:t>
            </w:r>
          </w:p>
        </w:tc>
      </w:tr>
      <w:tr>
        <w:trPr/>
        <w:tc>
          <w:tcPr>
            <w:tcW w:w="67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58" w:type="dxa"/>
            <w:tcBorders>
              <w:bottom w:val="single" w:sz="6" w:space="0" w:color="000000"/>
            </w:tcBorders>
            <w:tcMar>
              <w:bottom w:w="28" w:type="dxa"/>
            </w:tcMar>
            <w:vAlign w:val="center"/>
          </w:tcPr>
          <w:p>
            <w:pPr>
              <w:pStyle w:val="TableContents"/>
              <w:bidi w:val="0"/>
              <w:spacing w:before="0" w:after="283"/>
              <w:jc w:val="center"/>
              <w:rPr/>
            </w:pPr>
            <w:r>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44" w:type="dxa"/>
            <w:tcBorders>
              <w:bottom w:val="single" w:sz="6" w:space="0" w:color="000000"/>
            </w:tcBorders>
            <w:tcMar>
              <w:bottom w:w="28" w:type="dxa"/>
            </w:tcMar>
            <w:vAlign w:val="center"/>
          </w:tcPr>
          <w:p>
            <w:pPr>
              <w:pStyle w:val="TableContents"/>
              <w:bidi w:val="0"/>
              <w:spacing w:before="0" w:after="283"/>
              <w:jc w:val="center"/>
              <w:rPr/>
            </w:pPr>
            <w:r>
              <w:rPr/>
              <w:t>June 28, 2025</w:t>
            </w:r>
          </w:p>
        </w:tc>
        <w:tc>
          <w:tcPr>
            <w:tcW w:w="231" w:type="dxa"/>
            <w:tcBorders/>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b/>
              </w:rPr>
            </w:pPr>
            <w:r>
              <w:rPr>
                <w:b/>
              </w:rPr>
              <w:t>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Net earnings (loss)</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158" w:type="dxa"/>
            <w:tcBorders/>
            <w:shd w:fill="CCEEFF" w:val="clear"/>
            <w:vAlign w:val="center"/>
          </w:tcPr>
          <w:p>
            <w:pPr>
              <w:pStyle w:val="TableContents"/>
              <w:bidi w:val="0"/>
              <w:spacing w:before="0" w:after="283"/>
              <w:jc w:val="right"/>
              <w:rPr/>
            </w:pPr>
            <w:r>
              <w:rPr/>
              <w:t>35,288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(2,088</w:t>
            </w:r>
          </w:p>
        </w:tc>
        <w:tc>
          <w:tcPr>
            <w:tcW w:w="231" w:type="dxa"/>
            <w:tcBorders/>
            <w:shd w:fill="CCEEFF" w:val="clear"/>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Adjustments to reconcile net earnings (loss) to net cash provided by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58" w:type="dxa"/>
            <w:tcBorders/>
            <w:shd w:fill="CCEEFF" w:val="clear"/>
            <w:vAlign w:val="center"/>
          </w:tcPr>
          <w:p>
            <w:pPr>
              <w:pStyle w:val="TableContents"/>
              <w:bidi w:val="0"/>
              <w:spacing w:before="0" w:after="283"/>
              <w:jc w:val="right"/>
              <w:rPr/>
            </w:pPr>
            <w:r>
              <w:rPr/>
              <w:t>114,328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44" w:type="dxa"/>
            <w:tcBorders/>
            <w:shd w:fill="CCEEFF" w:val="clear"/>
            <w:vAlign w:val="center"/>
          </w:tcPr>
          <w:p>
            <w:pPr>
              <w:pStyle w:val="TableContents"/>
              <w:bidi w:val="0"/>
              <w:spacing w:before="0" w:after="283"/>
              <w:jc w:val="right"/>
              <w:rPr/>
            </w:pPr>
            <w:r>
              <w:rPr/>
              <w:t>109,743</w:t>
            </w:r>
          </w:p>
        </w:tc>
        <w:tc>
          <w:tcPr>
            <w:tcW w:w="231" w:type="dxa"/>
            <w:tcBorders/>
            <w:shd w:fill="CCEEFF" w:val="clear"/>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Loss on disposal of property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58" w:type="dxa"/>
            <w:tcBorders/>
            <w:vAlign w:val="center"/>
          </w:tcPr>
          <w:p>
            <w:pPr>
              <w:pStyle w:val="TableContents"/>
              <w:bidi w:val="0"/>
              <w:spacing w:before="0" w:after="283"/>
              <w:jc w:val="right"/>
              <w:rPr/>
            </w:pPr>
            <w:r>
              <w:rPr/>
              <w:t>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73</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Inventory write-offs for obsolescence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58" w:type="dxa"/>
            <w:tcBorders/>
            <w:shd w:fill="CCEEFF" w:val="clear"/>
            <w:vAlign w:val="center"/>
          </w:tcPr>
          <w:p>
            <w:pPr>
              <w:pStyle w:val="TableContents"/>
              <w:bidi w:val="0"/>
              <w:spacing w:before="0" w:after="283"/>
              <w:jc w:val="right"/>
              <w:rPr/>
            </w:pPr>
            <w:r>
              <w:rPr/>
              <w:t>21,883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44" w:type="dxa"/>
            <w:tcBorders/>
            <w:shd w:fill="CCEEFF" w:val="clear"/>
            <w:vAlign w:val="center"/>
          </w:tcPr>
          <w:p>
            <w:pPr>
              <w:pStyle w:val="TableContents"/>
              <w:bidi w:val="0"/>
              <w:spacing w:before="0" w:after="283"/>
              <w:jc w:val="right"/>
              <w:rPr/>
            </w:pPr>
            <w:r>
              <w:rPr/>
              <w:t>17,456</w:t>
            </w:r>
          </w:p>
        </w:tc>
        <w:tc>
          <w:tcPr>
            <w:tcW w:w="231" w:type="dxa"/>
            <w:tcBorders/>
            <w:shd w:fill="CCEEFF" w:val="clear"/>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Deferred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58" w:type="dxa"/>
            <w:tcBorders/>
            <w:vAlign w:val="center"/>
          </w:tcPr>
          <w:p>
            <w:pPr>
              <w:pStyle w:val="TableContents"/>
              <w:bidi w:val="0"/>
              <w:spacing w:before="0" w:after="283"/>
              <w:jc w:val="right"/>
              <w:rPr/>
            </w:pPr>
            <w:r>
              <w:rPr/>
              <w:t>(6,069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(6,034</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Stock compensation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58" w:type="dxa"/>
            <w:tcBorders/>
            <w:shd w:fill="CCEEFF" w:val="clear"/>
            <w:vAlign w:val="center"/>
          </w:tcPr>
          <w:p>
            <w:pPr>
              <w:pStyle w:val="TableContents"/>
              <w:bidi w:val="0"/>
              <w:spacing w:before="0" w:after="283"/>
              <w:jc w:val="right"/>
              <w:rPr/>
            </w:pPr>
            <w:r>
              <w:rPr/>
              <w:t>20,056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44" w:type="dxa"/>
            <w:tcBorders/>
            <w:shd w:fill="CCEEFF" w:val="clear"/>
            <w:vAlign w:val="center"/>
          </w:tcPr>
          <w:p>
            <w:pPr>
              <w:pStyle w:val="TableContents"/>
              <w:bidi w:val="0"/>
              <w:spacing w:before="0" w:after="283"/>
              <w:jc w:val="right"/>
              <w:rPr/>
            </w:pPr>
            <w:r>
              <w:rPr/>
              <w:t>11,736</w:t>
            </w:r>
          </w:p>
        </w:tc>
        <w:tc>
          <w:tcPr>
            <w:tcW w:w="231" w:type="dxa"/>
            <w:tcBorders/>
            <w:shd w:fill="CCEEFF" w:val="clear"/>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58" w:type="dxa"/>
            <w:tcBorders/>
            <w:vAlign w:val="center"/>
          </w:tcPr>
          <w:p>
            <w:pPr>
              <w:pStyle w:val="TableContents"/>
              <w:bidi w:val="0"/>
              <w:spacing w:before="0" w:after="283"/>
              <w:jc w:val="right"/>
              <w:rPr/>
            </w:pPr>
            <w:r>
              <w:rPr/>
              <w:t>79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(3,606</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Change in U.S. transition tax liability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58"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44" w:type="dxa"/>
            <w:tcBorders/>
            <w:shd w:fill="CCEEFF" w:val="clear"/>
            <w:vAlign w:val="center"/>
          </w:tcPr>
          <w:p>
            <w:pPr>
              <w:pStyle w:val="TableContents"/>
              <w:bidi w:val="0"/>
              <w:spacing w:before="0" w:after="283"/>
              <w:jc w:val="right"/>
              <w:rPr/>
            </w:pPr>
            <w:r>
              <w:rPr/>
              <w:t>(47,027</w:t>
            </w:r>
          </w:p>
        </w:tc>
        <w:tc>
          <w:tcPr>
            <w:tcW w:w="231" w:type="dxa"/>
            <w:tcBorders/>
            <w:shd w:fill="CCEEFF" w:val="clear"/>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Change in repatriation tax liability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58" w:type="dxa"/>
            <w:tcBorders/>
            <w:vAlign w:val="center"/>
          </w:tcPr>
          <w:p>
            <w:pPr>
              <w:pStyle w:val="TableContents"/>
              <w:bidi w:val="0"/>
              <w:spacing w:before="0" w:after="283"/>
              <w:jc w:val="right"/>
              <w:rPr/>
            </w:pPr>
            <w:r>
              <w:rPr/>
              <w:t>(2,000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(9,375</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158" w:type="dxa"/>
            <w:tcBorders>
              <w:bottom w:val="single" w:sz="6" w:space="0" w:color="000000"/>
            </w:tcBorders>
            <w:shd w:fill="CCEEFF" w:val="clear"/>
            <w:tcMar>
              <w:bottom w:w="28" w:type="dxa"/>
            </w:tcMar>
            <w:vAlign w:val="center"/>
          </w:tcPr>
          <w:p>
            <w:pPr>
              <w:pStyle w:val="TableContents"/>
              <w:bidi w:val="0"/>
              <w:spacing w:before="0" w:after="283"/>
              <w:jc w:val="right"/>
              <w:rPr/>
            </w:pPr>
            <w:r>
              <w:rPr/>
              <w:t>(14,561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244" w:type="dxa"/>
            <w:tcBorders>
              <w:bottom w:val="single" w:sz="6" w:space="0" w:color="000000"/>
            </w:tcBorders>
            <w:shd w:fill="CCEEFF" w:val="clear"/>
            <w:tcMar>
              <w:bottom w:w="28" w:type="dxa"/>
            </w:tcMar>
            <w:vAlign w:val="center"/>
          </w:tcPr>
          <w:p>
            <w:pPr>
              <w:pStyle w:val="TableContents"/>
              <w:bidi w:val="0"/>
              <w:spacing w:before="0" w:after="283"/>
              <w:jc w:val="right"/>
              <w:rPr/>
            </w:pPr>
            <w:r>
              <w:rPr/>
              <w:t>(63,571</w:t>
            </w:r>
          </w:p>
        </w:tc>
        <w:tc>
          <w:tcPr>
            <w:tcW w:w="231" w:type="dxa"/>
            <w:tcBorders/>
            <w:shd w:fill="CCEEFF" w:val="clear"/>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Net cash provided by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58" w:type="dxa"/>
            <w:tcBorders/>
            <w:vAlign w:val="center"/>
          </w:tcPr>
          <w:p>
            <w:pPr>
              <w:pStyle w:val="TableContents"/>
              <w:bidi w:val="0"/>
              <w:spacing w:before="0" w:after="283"/>
              <w:jc w:val="right"/>
              <w:rPr/>
            </w:pPr>
            <w:r>
              <w:rPr/>
              <w:t>169,028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7,307</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b/>
              </w:rPr>
            </w:pPr>
            <w:r>
              <w:rPr>
                <w:b/>
              </w:rPr>
              <w:t>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Capital expenditures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58" w:type="dxa"/>
            <w:tcBorders/>
            <w:shd w:fill="CCEEFF" w:val="clear"/>
            <w:vAlign w:val="center"/>
          </w:tcPr>
          <w:p>
            <w:pPr>
              <w:pStyle w:val="TableContents"/>
              <w:bidi w:val="0"/>
              <w:spacing w:before="0" w:after="283"/>
              <w:jc w:val="right"/>
              <w:rPr/>
            </w:pPr>
            <w:r>
              <w:rPr/>
              <w:t>(205,862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44" w:type="dxa"/>
            <w:tcBorders/>
            <w:shd w:fill="CCEEFF" w:val="clear"/>
            <w:vAlign w:val="center"/>
          </w:tcPr>
          <w:p>
            <w:pPr>
              <w:pStyle w:val="TableContents"/>
              <w:bidi w:val="0"/>
              <w:spacing w:before="0" w:after="283"/>
              <w:jc w:val="right"/>
              <w:rPr/>
            </w:pPr>
            <w:r>
              <w:rPr/>
              <w:t>(126,167</w:t>
            </w:r>
          </w:p>
        </w:tc>
        <w:tc>
          <w:tcPr>
            <w:tcW w:w="231" w:type="dxa"/>
            <w:tcBorders/>
            <w:shd w:fill="CCEEFF" w:val="clear"/>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Proceeds from sale of property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58" w:type="dxa"/>
            <w:tcBorders/>
            <w:vAlign w:val="center"/>
          </w:tcPr>
          <w:p>
            <w:pPr>
              <w:pStyle w:val="TableContents"/>
              <w:bidi w:val="0"/>
              <w:spacing w:before="0" w:after="283"/>
              <w:jc w:val="right"/>
              <w:rPr/>
            </w:pPr>
            <w:r>
              <w:rPr/>
              <w:t>221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494</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Purchase of short-term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58" w:type="dxa"/>
            <w:tcBorders/>
            <w:shd w:fill="CCEEFF" w:val="clear"/>
            <w:vAlign w:val="center"/>
          </w:tcPr>
          <w:p>
            <w:pPr>
              <w:pStyle w:val="TableContents"/>
              <w:bidi w:val="0"/>
              <w:spacing w:before="0" w:after="283"/>
              <w:jc w:val="right"/>
              <w:rPr/>
            </w:pPr>
            <w:r>
              <w:rPr/>
              <w:t>(5,260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44" w:type="dxa"/>
            <w:tcBorders/>
            <w:shd w:fill="CCEEFF" w:val="clear"/>
            <w:vAlign w:val="center"/>
          </w:tcPr>
          <w:p>
            <w:pPr>
              <w:pStyle w:val="TableContents"/>
              <w:bidi w:val="0"/>
              <w:spacing w:before="0" w:after="283"/>
              <w:jc w:val="right"/>
              <w:rPr/>
            </w:pPr>
            <w:r>
              <w:rPr/>
              <w:t>(28,481</w:t>
            </w:r>
          </w:p>
        </w:tc>
        <w:tc>
          <w:tcPr>
            <w:tcW w:w="231" w:type="dxa"/>
            <w:tcBorders/>
            <w:shd w:fill="CCEEFF" w:val="clear"/>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Maturity of short-term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58" w:type="dxa"/>
            <w:tcBorders/>
            <w:vAlign w:val="center"/>
          </w:tcPr>
          <w:p>
            <w:pPr>
              <w:pStyle w:val="TableContents"/>
              <w:bidi w:val="0"/>
              <w:spacing w:before="0" w:after="283"/>
              <w:jc w:val="right"/>
              <w:rPr/>
            </w:pPr>
            <w:r>
              <w:rPr/>
              <w:t>262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39,400</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Other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158" w:type="dxa"/>
            <w:tcBorders>
              <w:bottom w:val="single" w:sz="6" w:space="0" w:color="000000"/>
            </w:tcBorders>
            <w:shd w:fill="CCEEFF" w:val="clear"/>
            <w:tcMar>
              <w:bottom w:w="28" w:type="dxa"/>
            </w:tcMar>
            <w:vAlign w:val="center"/>
          </w:tcPr>
          <w:p>
            <w:pPr>
              <w:pStyle w:val="TableContents"/>
              <w:bidi w:val="0"/>
              <w:spacing w:before="0" w:after="283"/>
              <w:jc w:val="right"/>
              <w:rPr/>
            </w:pPr>
            <w:r>
              <w:rPr/>
              <w:t>(381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244" w:type="dxa"/>
            <w:tcBorders>
              <w:bottom w:val="single" w:sz="6" w:space="0" w:color="000000"/>
            </w:tcBorders>
            <w:shd w:fill="CCEEFF" w:val="clear"/>
            <w:tcMar>
              <w:bottom w:w="28" w:type="dxa"/>
            </w:tcMar>
            <w:vAlign w:val="center"/>
          </w:tcPr>
          <w:p>
            <w:pPr>
              <w:pStyle w:val="TableContents"/>
              <w:bidi w:val="0"/>
              <w:spacing w:before="0" w:after="283"/>
              <w:jc w:val="right"/>
              <w:rPr/>
            </w:pPr>
            <w:r>
              <w:rPr/>
              <w:t>(661</w:t>
            </w:r>
          </w:p>
        </w:tc>
        <w:tc>
          <w:tcPr>
            <w:tcW w:w="231" w:type="dxa"/>
            <w:tcBorders/>
            <w:shd w:fill="CCEEFF" w:val="clear"/>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58" w:type="dxa"/>
            <w:tcBorders/>
            <w:vAlign w:val="center"/>
          </w:tcPr>
          <w:p>
            <w:pPr>
              <w:pStyle w:val="TableContents"/>
              <w:bidi w:val="0"/>
              <w:spacing w:before="0" w:after="283"/>
              <w:jc w:val="right"/>
              <w:rPr/>
            </w:pPr>
            <w:r>
              <w:rPr/>
              <w:t>(211,020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(115,415</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b/>
              </w:rPr>
            </w:pPr>
            <w:r>
              <w:rPr>
                <w:b/>
              </w:rPr>
              <w:t>Financing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Proceeds from follow-on public offering, net of underwriting discounts and issuance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58" w:type="dxa"/>
            <w:tcBorders/>
            <w:shd w:fill="CCEEFF" w:val="clear"/>
            <w:vAlign w:val="center"/>
          </w:tcPr>
          <w:p>
            <w:pPr>
              <w:pStyle w:val="TableContents"/>
              <w:bidi w:val="0"/>
              <w:spacing w:before="0" w:after="283"/>
              <w:jc w:val="right"/>
              <w:rPr/>
            </w:pPr>
            <w:r>
              <w:rPr/>
              <w:t>830,250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44" w:type="dxa"/>
            <w:tcBorders/>
            <w:shd w:fill="CCEEFF" w:val="clear"/>
            <w:vAlign w:val="center"/>
          </w:tcPr>
          <w:p>
            <w:pPr>
              <w:pStyle w:val="TableContents"/>
              <w:bidi w:val="0"/>
              <w:spacing w:before="0" w:after="283"/>
              <w:jc w:val="right"/>
              <w:rPr/>
            </w:pPr>
            <w:r>
              <w:rPr/>
              <w:t>-</w:t>
            </w:r>
          </w:p>
        </w:tc>
        <w:tc>
          <w:tcPr>
            <w:tcW w:w="231" w:type="dxa"/>
            <w:tcBorders/>
            <w:shd w:fill="CCEEFF" w:val="clear"/>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Principal payments on long-term debt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58"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(41,911</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Net proceeds on revolving credit facility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58" w:type="dxa"/>
            <w:tcBorders/>
            <w:shd w:fill="CCEEFF" w:val="clear"/>
            <w:vAlign w:val="center"/>
          </w:tcPr>
          <w:p>
            <w:pPr>
              <w:pStyle w:val="TableContents"/>
              <w:bidi w:val="0"/>
              <w:spacing w:before="0" w:after="283"/>
              <w:jc w:val="right"/>
              <w:rPr/>
            </w:pPr>
            <w:r>
              <w:rPr/>
              <w:t>19,000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44" w:type="dxa"/>
            <w:tcBorders/>
            <w:shd w:fill="CCEEFF" w:val="clear"/>
            <w:vAlign w:val="center"/>
          </w:tcPr>
          <w:p>
            <w:pPr>
              <w:pStyle w:val="TableContents"/>
              <w:bidi w:val="0"/>
              <w:spacing w:before="0" w:after="283"/>
              <w:jc w:val="right"/>
              <w:rPr/>
            </w:pPr>
            <w:r>
              <w:rPr/>
              <w:t>49,000</w:t>
            </w:r>
          </w:p>
        </w:tc>
        <w:tc>
          <w:tcPr>
            <w:tcW w:w="231" w:type="dxa"/>
            <w:tcBorders/>
            <w:shd w:fill="CCEEFF" w:val="clear"/>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Dividends paid to common stockholders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58" w:type="dxa"/>
            <w:tcBorders/>
            <w:vAlign w:val="center"/>
          </w:tcPr>
          <w:p>
            <w:pPr>
              <w:pStyle w:val="TableContents"/>
              <w:bidi w:val="0"/>
              <w:spacing w:before="0" w:after="283"/>
              <w:jc w:val="right"/>
              <w:rPr/>
            </w:pPr>
            <w:r>
              <w:rPr/>
              <w:t>(24,805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(24,700</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Dividends paid to Class B common stockholders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58" w:type="dxa"/>
            <w:tcBorders/>
            <w:shd w:fill="CCEEFF" w:val="clear"/>
            <w:vAlign w:val="center"/>
          </w:tcPr>
          <w:p>
            <w:pPr>
              <w:pStyle w:val="TableContents"/>
              <w:bidi w:val="0"/>
              <w:spacing w:before="0" w:after="283"/>
              <w:jc w:val="right"/>
              <w:rPr/>
            </w:pPr>
            <w:r>
              <w:rPr/>
              <w:t>(2,419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44" w:type="dxa"/>
            <w:tcBorders/>
            <w:shd w:fill="CCEEFF" w:val="clear"/>
            <w:vAlign w:val="center"/>
          </w:tcPr>
          <w:p>
            <w:pPr>
              <w:pStyle w:val="TableContents"/>
              <w:bidi w:val="0"/>
              <w:spacing w:before="0" w:after="283"/>
              <w:jc w:val="right"/>
              <w:rPr/>
            </w:pPr>
            <w:r>
              <w:rPr/>
              <w:t>(2,419</w:t>
            </w:r>
          </w:p>
        </w:tc>
        <w:tc>
          <w:tcPr>
            <w:tcW w:w="231" w:type="dxa"/>
            <w:tcBorders/>
            <w:shd w:fill="CCEEFF" w:val="clear"/>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Repurchase of common stock</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58"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(12,538</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Cash withholding taxes paid when shares withheld for vested equity awards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58" w:type="dxa"/>
            <w:tcBorders/>
            <w:shd w:fill="CCEEFF" w:val="clear"/>
            <w:vAlign w:val="center"/>
          </w:tcPr>
          <w:p>
            <w:pPr>
              <w:pStyle w:val="TableContents"/>
              <w:bidi w:val="0"/>
              <w:spacing w:before="0" w:after="283"/>
              <w:jc w:val="right"/>
              <w:rPr/>
            </w:pPr>
            <w:r>
              <w:rPr/>
              <w:t>(4,013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44" w:type="dxa"/>
            <w:tcBorders/>
            <w:shd w:fill="CCEEFF" w:val="clear"/>
            <w:vAlign w:val="center"/>
          </w:tcPr>
          <w:p>
            <w:pPr>
              <w:pStyle w:val="TableContents"/>
              <w:bidi w:val="0"/>
              <w:spacing w:before="0" w:after="283"/>
              <w:jc w:val="right"/>
              <w:rPr/>
            </w:pPr>
            <w:r>
              <w:rPr/>
              <w:t>(3,957</w:t>
            </w:r>
          </w:p>
        </w:tc>
        <w:tc>
          <w:tcPr>
            <w:tcW w:w="231" w:type="dxa"/>
            <w:tcBorders/>
            <w:shd w:fill="CCEEFF" w:val="clear"/>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Other financing activities</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58" w:type="dxa"/>
            <w:tcBorders>
              <w:bottom w:val="single" w:sz="6" w:space="0" w:color="000000"/>
            </w:tcBorders>
            <w:tcMar>
              <w:bottom w:w="28" w:type="dxa"/>
            </w:tcMar>
            <w:vAlign w:val="center"/>
          </w:tcPr>
          <w:p>
            <w:pPr>
              <w:pStyle w:val="TableContents"/>
              <w:bidi w:val="0"/>
              <w:spacing w:before="0" w:after="283"/>
              <w:jc w:val="right"/>
              <w:rPr/>
            </w:pPr>
            <w:r>
              <w:rPr/>
              <w:t>10,000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244" w:type="dxa"/>
            <w:tcBorders>
              <w:bottom w:val="single" w:sz="6" w:space="0" w:color="000000"/>
            </w:tcBorders>
            <w:tcMar>
              <w:bottom w:w="28" w:type="dxa"/>
            </w:tcMar>
            <w:vAlign w:val="center"/>
          </w:tcPr>
          <w:p>
            <w:pPr>
              <w:pStyle w:val="TableContents"/>
              <w:bidi w:val="0"/>
              <w:spacing w:before="0" w:after="283"/>
              <w:jc w:val="right"/>
              <w:rPr/>
            </w:pPr>
            <w:r>
              <w:rPr/>
              <w:t>10,078</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Net cash provided by (used in)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58" w:type="dxa"/>
            <w:tcBorders/>
            <w:shd w:fill="CCEEFF" w:val="clear"/>
            <w:vAlign w:val="center"/>
          </w:tcPr>
          <w:p>
            <w:pPr>
              <w:pStyle w:val="TableContents"/>
              <w:bidi w:val="0"/>
              <w:spacing w:before="0" w:after="283"/>
              <w:jc w:val="right"/>
              <w:rPr/>
            </w:pPr>
            <w:r>
              <w:rPr/>
              <w:t>828,013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44" w:type="dxa"/>
            <w:tcBorders/>
            <w:shd w:fill="CCEEFF" w:val="clear"/>
            <w:vAlign w:val="center"/>
          </w:tcPr>
          <w:p>
            <w:pPr>
              <w:pStyle w:val="TableContents"/>
              <w:bidi w:val="0"/>
              <w:spacing w:before="0" w:after="283"/>
              <w:jc w:val="right"/>
              <w:rPr/>
            </w:pPr>
            <w:r>
              <w:rPr/>
              <w:t>(26,447</w:t>
            </w:r>
          </w:p>
        </w:tc>
        <w:tc>
          <w:tcPr>
            <w:tcW w:w="231" w:type="dxa"/>
            <w:tcBorders/>
            <w:shd w:fill="CCEEFF" w:val="clear"/>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Effect of exchange rate changes on cash and cash equivalents</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58" w:type="dxa"/>
            <w:tcBorders>
              <w:bottom w:val="single" w:sz="6" w:space="0" w:color="000000"/>
            </w:tcBorders>
            <w:tcMar>
              <w:bottom w:w="28" w:type="dxa"/>
            </w:tcMar>
            <w:vAlign w:val="center"/>
          </w:tcPr>
          <w:p>
            <w:pPr>
              <w:pStyle w:val="TableContents"/>
              <w:bidi w:val="0"/>
              <w:spacing w:before="0" w:after="283"/>
              <w:jc w:val="right"/>
              <w:rPr/>
            </w:pPr>
            <w:r>
              <w:rPr/>
              <w:t>(3,678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244" w:type="dxa"/>
            <w:tcBorders>
              <w:bottom w:val="single" w:sz="6" w:space="0" w:color="000000"/>
            </w:tcBorders>
            <w:tcMar>
              <w:bottom w:w="28" w:type="dxa"/>
            </w:tcMar>
            <w:vAlign w:val="center"/>
          </w:tcPr>
          <w:p>
            <w:pPr>
              <w:pStyle w:val="TableContents"/>
              <w:bidi w:val="0"/>
              <w:spacing w:before="0" w:after="283"/>
              <w:jc w:val="right"/>
              <w:rPr/>
            </w:pPr>
            <w:r>
              <w:rPr/>
              <w:t>18,129</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Net increase (decrease) in cash and cash equivalents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58" w:type="dxa"/>
            <w:tcBorders/>
            <w:vAlign w:val="center"/>
          </w:tcPr>
          <w:p>
            <w:pPr>
              <w:pStyle w:val="TableContents"/>
              <w:bidi w:val="0"/>
              <w:spacing w:before="0" w:after="283"/>
              <w:jc w:val="right"/>
              <w:rPr/>
            </w:pPr>
            <w:r>
              <w:rPr/>
              <w:t>782,343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44" w:type="dxa"/>
            <w:tcBorders/>
            <w:vAlign w:val="center"/>
          </w:tcPr>
          <w:p>
            <w:pPr>
              <w:pStyle w:val="TableContents"/>
              <w:bidi w:val="0"/>
              <w:spacing w:before="0" w:after="283"/>
              <w:jc w:val="right"/>
              <w:rPr/>
            </w:pPr>
            <w:r>
              <w:rPr/>
              <w:t>(116,426</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6777" w:type="dxa"/>
            <w:tcBorders/>
            <w:vAlign w:val="center"/>
          </w:tcPr>
          <w:p>
            <w:pPr>
              <w:pStyle w:val="TableContents"/>
              <w:bidi w:val="0"/>
              <w:spacing w:before="0" w:after="283"/>
              <w:jc w:val="left"/>
              <w:rPr/>
            </w:pPr>
            <w:r>
              <w:rPr/>
              <w:t>Cash and cash equivalents at beginning of period</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58" w:type="dxa"/>
            <w:tcBorders>
              <w:bottom w:val="single" w:sz="6" w:space="0" w:color="000000"/>
            </w:tcBorders>
            <w:tcMar>
              <w:bottom w:w="28" w:type="dxa"/>
            </w:tcMar>
            <w:vAlign w:val="center"/>
          </w:tcPr>
          <w:p>
            <w:pPr>
              <w:pStyle w:val="TableContents"/>
              <w:bidi w:val="0"/>
              <w:spacing w:before="0" w:after="283"/>
              <w:jc w:val="right"/>
              <w:rPr/>
            </w:pPr>
            <w:r>
              <w:rPr/>
              <w:t>514,966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244" w:type="dxa"/>
            <w:tcBorders>
              <w:bottom w:val="single" w:sz="6" w:space="0" w:color="000000"/>
            </w:tcBorders>
            <w:tcMar>
              <w:bottom w:w="28" w:type="dxa"/>
            </w:tcMar>
            <w:vAlign w:val="center"/>
          </w:tcPr>
          <w:p>
            <w:pPr>
              <w:pStyle w:val="TableContents"/>
              <w:bidi w:val="0"/>
              <w:spacing w:before="0" w:after="283"/>
              <w:jc w:val="right"/>
              <w:rPr/>
            </w:pPr>
            <w:r>
              <w:rPr/>
              <w:t>590,286</w:t>
            </w:r>
          </w:p>
        </w:tc>
        <w:tc>
          <w:tcPr>
            <w:tcW w:w="231" w:type="dxa"/>
            <w:tcBorders/>
            <w:vAlign w:val="center"/>
          </w:tcPr>
          <w:p>
            <w:pPr>
              <w:pStyle w:val="TableContents"/>
              <w:bidi w:val="0"/>
              <w:spacing w:before="0" w:after="283"/>
              <w:jc w:val="left"/>
              <w:rPr/>
            </w:pPr>
            <w:r>
              <w:rPr/>
              <w:t> </w:t>
            </w:r>
          </w:p>
        </w:tc>
      </w:tr>
      <w:tr>
        <w:trPr/>
        <w:tc>
          <w:tcPr>
            <w:tcW w:w="6777" w:type="dxa"/>
            <w:tcBorders/>
            <w:shd w:fill="CCEEFF" w:val="clear"/>
            <w:vAlign w:val="center"/>
          </w:tcPr>
          <w:p>
            <w:pPr>
              <w:pStyle w:val="TableContents"/>
              <w:bidi w:val="0"/>
              <w:spacing w:before="0" w:after="283"/>
              <w:jc w:val="left"/>
              <w:rPr/>
            </w:pPr>
            <w:r>
              <w:rPr/>
              <w:t>Cash and cash equivalents at end of period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8" w:type="dxa"/>
            <w:tcBorders>
              <w:bottom w:val="double" w:sz="6" w:space="0" w:color="000000"/>
            </w:tcBorders>
            <w:shd w:fill="CCEEFF" w:val="clear"/>
            <w:tcMar>
              <w:bottom w:w="28" w:type="dxa"/>
            </w:tcMar>
            <w:vAlign w:val="center"/>
          </w:tcPr>
          <w:p>
            <w:pPr>
              <w:pStyle w:val="TableContents"/>
              <w:bidi w:val="0"/>
              <w:spacing w:before="0" w:after="283"/>
              <w:jc w:val="right"/>
              <w:rPr/>
            </w:pPr>
            <w:r>
              <w:rPr/>
              <w:t>1,297,309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6" w:space="0" w:color="000000"/>
            </w:tcBorders>
            <w:shd w:fill="CCEEFF" w:val="clear"/>
            <w:tcMar>
              <w:bottom w:w="28" w:type="dxa"/>
            </w:tcMar>
            <w:vAlign w:val="center"/>
          </w:tcPr>
          <w:p>
            <w:pPr>
              <w:pStyle w:val="TableContents"/>
              <w:bidi w:val="0"/>
              <w:spacing w:before="0" w:after="283"/>
              <w:jc w:val="right"/>
              <w:rPr/>
            </w:pPr>
            <w:r>
              <w:rPr/>
              <w:t>473,860</w:t>
            </w:r>
          </w:p>
        </w:tc>
        <w:tc>
          <w:tcPr>
            <w:tcW w:w="231"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7</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362"/>
        <w:gridCol w:w="99"/>
        <w:gridCol w:w="187"/>
        <w:gridCol w:w="913"/>
        <w:gridCol w:w="269"/>
        <w:gridCol w:w="99"/>
        <w:gridCol w:w="99"/>
        <w:gridCol w:w="187"/>
        <w:gridCol w:w="1109"/>
        <w:gridCol w:w="269"/>
        <w:gridCol w:w="99"/>
        <w:gridCol w:w="99"/>
        <w:gridCol w:w="187"/>
        <w:gridCol w:w="1111"/>
        <w:gridCol w:w="269"/>
        <w:gridCol w:w="99"/>
        <w:gridCol w:w="99"/>
        <w:gridCol w:w="187"/>
        <w:gridCol w:w="1137"/>
        <w:gridCol w:w="325"/>
      </w:tblGrid>
      <w:tr>
        <w:trPr/>
        <w:tc>
          <w:tcPr>
            <w:tcW w:w="3362" w:type="dxa"/>
            <w:tcBorders/>
            <w:vAlign w:val="center"/>
          </w:tcPr>
          <w:p>
            <w:pPr>
              <w:pStyle w:val="TableContents"/>
              <w:bidi w:val="0"/>
              <w:spacing w:before="0" w:after="283"/>
              <w:jc w:val="left"/>
              <w:rPr/>
            </w:pPr>
            <w:r>
              <w:rPr/>
              <w:t xml:space="preserve">VISHAY INTERTECHNOLOGY, INC.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r>
      <w:tr>
        <w:trPr/>
        <w:tc>
          <w:tcPr>
            <w:tcW w:w="3362" w:type="dxa"/>
            <w:tcBorders/>
            <w:vAlign w:val="center"/>
          </w:tcPr>
          <w:p>
            <w:pPr>
              <w:pStyle w:val="TableContents"/>
              <w:bidi w:val="0"/>
              <w:spacing w:before="0" w:after="283"/>
              <w:jc w:val="left"/>
              <w:rPr/>
            </w:pPr>
            <w:r>
              <w:rPr/>
              <w:t>Schedule of Adjusted Revenue, Gross Profit, and Gross Margin</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r>
      <w:tr>
        <w:trPr/>
        <w:tc>
          <w:tcPr>
            <w:tcW w:w="3362" w:type="dxa"/>
            <w:tcBorders/>
            <w:vAlign w:val="center"/>
          </w:tcPr>
          <w:p>
            <w:pPr>
              <w:pStyle w:val="TableContents"/>
              <w:bidi w:val="0"/>
              <w:spacing w:before="0" w:after="283"/>
              <w:jc w:val="left"/>
              <w:rPr/>
            </w:pPr>
            <w:r>
              <w:rPr/>
              <w:t>(Unaudited - In thousands)</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r>
      <w:tr>
        <w:trPr/>
        <w:tc>
          <w:tcPr>
            <w:tcW w:w="3362" w:type="dxa"/>
            <w:tcBorders/>
            <w:vAlign w:val="center"/>
          </w:tcPr>
          <w:p>
            <w:pPr>
              <w:pStyle w:val="TableContents"/>
              <w:bidi w:val="0"/>
              <w:spacing w:before="0" w:after="283"/>
              <w:jc w:val="left"/>
              <w:rPr/>
            </w:pPr>
            <w:r>
              <w:rPr/>
              <w:t> </w:t>
            </w:r>
          </w:p>
        </w:tc>
        <w:tc>
          <w:tcPr>
            <w:tcW w:w="3231" w:type="dxa"/>
            <w:gridSpan w:val="9"/>
            <w:tcBorders/>
            <w:vAlign w:val="center"/>
          </w:tcPr>
          <w:p>
            <w:pPr>
              <w:pStyle w:val="TableContents"/>
              <w:bidi w:val="0"/>
              <w:spacing w:before="0" w:after="283"/>
              <w:jc w:val="center"/>
              <w:rPr/>
            </w:pPr>
            <w:r>
              <w:rPr/>
              <w:t>Fiscal quarter ended</w:t>
            </w:r>
          </w:p>
        </w:tc>
        <w:tc>
          <w:tcPr>
            <w:tcW w:w="99" w:type="dxa"/>
            <w:tcBorders/>
            <w:vAlign w:val="center"/>
          </w:tcPr>
          <w:p>
            <w:pPr>
              <w:pStyle w:val="TableContents"/>
              <w:bidi w:val="0"/>
              <w:spacing w:before="0" w:after="283"/>
              <w:jc w:val="left"/>
              <w:rPr/>
            </w:pPr>
            <w:r>
              <w:rPr/>
              <w:t> </w:t>
            </w:r>
          </w:p>
        </w:tc>
        <w:tc>
          <w:tcPr>
            <w:tcW w:w="3513" w:type="dxa"/>
            <w:gridSpan w:val="9"/>
            <w:tcBorders/>
            <w:vAlign w:val="center"/>
          </w:tcPr>
          <w:p>
            <w:pPr>
              <w:pStyle w:val="TableContents"/>
              <w:bidi w:val="0"/>
              <w:spacing w:before="0" w:after="283"/>
              <w:jc w:val="center"/>
              <w:rPr/>
            </w:pPr>
            <w:r>
              <w:rPr/>
              <w:t>Six fiscal months ended</w:t>
            </w:r>
          </w:p>
        </w:tc>
      </w:tr>
      <w:tr>
        <w:trPr/>
        <w:tc>
          <w:tcPr>
            <w:tcW w:w="3362" w:type="dxa"/>
            <w:tcBorders/>
            <w:vAlign w:val="center"/>
          </w:tcPr>
          <w:p>
            <w:pPr>
              <w:pStyle w:val="TableContents"/>
              <w:bidi w:val="0"/>
              <w:spacing w:before="0" w:after="283"/>
              <w:jc w:val="left"/>
              <w:rPr/>
            </w:pPr>
            <w:r>
              <w:rPr/>
              <w:t> </w:t>
            </w:r>
          </w:p>
        </w:tc>
        <w:tc>
          <w:tcPr>
            <w:tcW w:w="3231" w:type="dxa"/>
            <w:gridSpan w:val="9"/>
            <w:tcBorders/>
            <w:vAlign w:val="center"/>
          </w:tcPr>
          <w:p>
            <w:pPr>
              <w:pStyle w:val="TableContents"/>
              <w:bidi w:val="0"/>
              <w:spacing w:before="0" w:after="283"/>
              <w:jc w:val="center"/>
              <w:rPr/>
            </w:pPr>
            <w:r>
              <w:rPr/>
              <w:t>July 4, 2026</w:t>
            </w:r>
          </w:p>
        </w:tc>
        <w:tc>
          <w:tcPr>
            <w:tcW w:w="99" w:type="dxa"/>
            <w:tcBorders/>
            <w:vAlign w:val="center"/>
          </w:tcPr>
          <w:p>
            <w:pPr>
              <w:pStyle w:val="TableContents"/>
              <w:bidi w:val="0"/>
              <w:spacing w:before="0" w:after="283"/>
              <w:jc w:val="left"/>
              <w:rPr/>
            </w:pPr>
            <w:r>
              <w:rPr/>
              <w:t> </w:t>
            </w:r>
          </w:p>
        </w:tc>
        <w:tc>
          <w:tcPr>
            <w:tcW w:w="3513" w:type="dxa"/>
            <w:gridSpan w:val="9"/>
            <w:tcBorders/>
            <w:vAlign w:val="center"/>
          </w:tcPr>
          <w:p>
            <w:pPr>
              <w:pStyle w:val="TableContents"/>
              <w:bidi w:val="0"/>
              <w:spacing w:before="0" w:after="283"/>
              <w:jc w:val="center"/>
              <w:rPr/>
            </w:pPr>
            <w:r>
              <w:rPr/>
              <w:t>July 4, 2026</w:t>
            </w:r>
          </w:p>
        </w:tc>
      </w:tr>
      <w:tr>
        <w:trPr/>
        <w:tc>
          <w:tcPr>
            <w:tcW w:w="3362"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bottom w:val="single" w:sz="6" w:space="0" w:color="000000"/>
            </w:tcBorders>
            <w:tcMar>
              <w:bottom w:w="28" w:type="dxa"/>
            </w:tcMar>
            <w:vAlign w:val="center"/>
          </w:tcPr>
          <w:p>
            <w:pPr>
              <w:pStyle w:val="TableContents"/>
              <w:bidi w:val="0"/>
              <w:spacing w:before="0" w:after="283"/>
              <w:jc w:val="left"/>
              <w:rPr/>
            </w:pPr>
            <w:r>
              <w:rPr/>
              <w:t> </w:t>
            </w:r>
          </w:p>
        </w:tc>
        <w:tc>
          <w:tcPr>
            <w:tcW w:w="913" w:type="dxa"/>
            <w:tcBorders>
              <w:bottom w:val="single" w:sz="6" w:space="0" w:color="000000"/>
            </w:tcBorders>
            <w:tcMar>
              <w:bottom w:w="28" w:type="dxa"/>
            </w:tcMar>
            <w:vAlign w:val="center"/>
          </w:tcPr>
          <w:p>
            <w:pPr>
              <w:pStyle w:val="TableContents"/>
              <w:bidi w:val="0"/>
              <w:spacing w:before="0" w:after="283"/>
              <w:jc w:val="center"/>
              <w:rPr/>
            </w:pPr>
            <w:r>
              <w:rPr/>
              <w:t>GAAP</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bottom w:val="single" w:sz="6" w:space="0" w:color="000000"/>
            </w:tcBorders>
            <w:tcMar>
              <w:bottom w:w="28" w:type="dxa"/>
            </w:tcMar>
            <w:vAlign w:val="center"/>
          </w:tcPr>
          <w:p>
            <w:pPr>
              <w:pStyle w:val="TableContents"/>
              <w:bidi w:val="0"/>
              <w:spacing w:before="0" w:after="283"/>
              <w:jc w:val="left"/>
              <w:rPr/>
            </w:pPr>
            <w:r>
              <w:rPr/>
              <w:t> </w:t>
            </w:r>
          </w:p>
        </w:tc>
        <w:tc>
          <w:tcPr>
            <w:tcW w:w="1109" w:type="dxa"/>
            <w:tcBorders>
              <w:bottom w:val="single" w:sz="6" w:space="0" w:color="000000"/>
            </w:tcBorders>
            <w:tcMar>
              <w:bottom w:w="28" w:type="dxa"/>
            </w:tcMar>
            <w:vAlign w:val="center"/>
          </w:tcPr>
          <w:p>
            <w:pPr>
              <w:pStyle w:val="TableContents"/>
              <w:bidi w:val="0"/>
              <w:spacing w:before="0" w:after="283"/>
              <w:jc w:val="center"/>
              <w:rPr/>
            </w:pPr>
            <w:r>
              <w:rPr/>
              <w:t>Adjusted(g)</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bottom w:val="single" w:sz="6" w:space="0" w:color="000000"/>
            </w:tcBorders>
            <w:tcMar>
              <w:bottom w:w="28" w:type="dxa"/>
            </w:tcMar>
            <w:vAlign w:val="center"/>
          </w:tcPr>
          <w:p>
            <w:pPr>
              <w:pStyle w:val="TableContents"/>
              <w:bidi w:val="0"/>
              <w:spacing w:before="0" w:after="283"/>
              <w:jc w:val="left"/>
              <w:rPr/>
            </w:pPr>
            <w:r>
              <w:rPr/>
              <w:t> </w:t>
            </w:r>
          </w:p>
        </w:tc>
        <w:tc>
          <w:tcPr>
            <w:tcW w:w="1111" w:type="dxa"/>
            <w:tcBorders>
              <w:bottom w:val="single" w:sz="6" w:space="0" w:color="000000"/>
            </w:tcBorders>
            <w:tcMar>
              <w:bottom w:w="28" w:type="dxa"/>
            </w:tcMar>
            <w:vAlign w:val="center"/>
          </w:tcPr>
          <w:p>
            <w:pPr>
              <w:pStyle w:val="TableContents"/>
              <w:bidi w:val="0"/>
              <w:spacing w:before="0" w:after="283"/>
              <w:jc w:val="center"/>
              <w:rPr/>
            </w:pPr>
            <w:r>
              <w:rPr/>
              <w:t>GAAP</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bottom w:val="single" w:sz="6" w:space="0" w:color="000000"/>
            </w:tcBorders>
            <w:tcMar>
              <w:bottom w:w="28" w:type="dxa"/>
            </w:tcMar>
            <w:vAlign w:val="center"/>
          </w:tcPr>
          <w:p>
            <w:pPr>
              <w:pStyle w:val="TableContents"/>
              <w:bidi w:val="0"/>
              <w:spacing w:before="0" w:after="283"/>
              <w:jc w:val="left"/>
              <w:rPr/>
            </w:pPr>
            <w:r>
              <w:rPr/>
              <w:t> </w:t>
            </w:r>
          </w:p>
        </w:tc>
        <w:tc>
          <w:tcPr>
            <w:tcW w:w="1137" w:type="dxa"/>
            <w:tcBorders>
              <w:bottom w:val="single" w:sz="6" w:space="0" w:color="000000"/>
            </w:tcBorders>
            <w:tcMar>
              <w:bottom w:w="28" w:type="dxa"/>
            </w:tcMar>
            <w:vAlign w:val="center"/>
          </w:tcPr>
          <w:p>
            <w:pPr>
              <w:pStyle w:val="TableContents"/>
              <w:bidi w:val="0"/>
              <w:spacing w:before="0" w:after="283"/>
              <w:jc w:val="center"/>
              <w:rPr/>
            </w:pPr>
            <w:r>
              <w:rPr/>
              <w:t>Adjusted(g)</w:t>
            </w:r>
          </w:p>
        </w:tc>
        <w:tc>
          <w:tcPr>
            <w:tcW w:w="325" w:type="dxa"/>
            <w:tcBorders/>
            <w:vAlign w:val="center"/>
          </w:tcPr>
          <w:p>
            <w:pPr>
              <w:pStyle w:val="TableContents"/>
              <w:bidi w:val="0"/>
              <w:spacing w:before="0" w:after="283"/>
              <w:jc w:val="left"/>
              <w:rPr/>
            </w:pPr>
            <w:r>
              <w:rPr/>
              <w:t> </w:t>
            </w:r>
          </w:p>
        </w:tc>
      </w:tr>
      <w:tr>
        <w:trPr/>
        <w:tc>
          <w:tcPr>
            <w:tcW w:w="3362"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r>
      <w:tr>
        <w:trPr/>
        <w:tc>
          <w:tcPr>
            <w:tcW w:w="3362" w:type="dxa"/>
            <w:tcBorders/>
            <w:shd w:fill="CCEEFF" w:val="clear"/>
            <w:vAlign w:val="center"/>
          </w:tcPr>
          <w:p>
            <w:pPr>
              <w:pStyle w:val="TableContents"/>
              <w:bidi w:val="0"/>
              <w:spacing w:before="0" w:after="283"/>
              <w:jc w:val="left"/>
              <w:rPr/>
            </w:pPr>
            <w:r>
              <w:rPr/>
              <w:t>Net revenues</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888,575</w:t>
            </w:r>
          </w:p>
        </w:tc>
        <w:tc>
          <w:tcPr>
            <w:tcW w:w="26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87"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918,583</w:t>
            </w:r>
          </w:p>
        </w:tc>
        <w:tc>
          <w:tcPr>
            <w:tcW w:w="26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87"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1,727,817</w:t>
            </w:r>
          </w:p>
        </w:tc>
        <w:tc>
          <w:tcPr>
            <w:tcW w:w="26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87"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1,757,825</w:t>
            </w:r>
          </w:p>
        </w:tc>
        <w:tc>
          <w:tcPr>
            <w:tcW w:w="325" w:type="dxa"/>
            <w:tcBorders/>
            <w:shd w:fill="CCEEFF" w:val="clear"/>
            <w:vAlign w:val="center"/>
          </w:tcPr>
          <w:p>
            <w:pPr>
              <w:pStyle w:val="TableContents"/>
              <w:bidi w:val="0"/>
              <w:spacing w:before="0" w:after="283"/>
              <w:jc w:val="left"/>
              <w:rPr/>
            </w:pPr>
            <w:r>
              <w:rPr/>
              <w:t> </w:t>
            </w:r>
          </w:p>
        </w:tc>
      </w:tr>
      <w:tr>
        <w:trPr/>
        <w:tc>
          <w:tcPr>
            <w:tcW w:w="3362" w:type="dxa"/>
            <w:tcBorders/>
            <w:vAlign w:val="center"/>
          </w:tcPr>
          <w:p>
            <w:pPr>
              <w:pStyle w:val="TableContents"/>
              <w:bidi w:val="0"/>
              <w:spacing w:before="0" w:after="283"/>
              <w:jc w:val="left"/>
              <w:rPr/>
            </w:pPr>
            <w:r>
              <w:rPr/>
              <w:t>Gross profit</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right"/>
              <w:rPr/>
            </w:pPr>
            <w:r>
              <w:rPr/>
              <w:t> </w:t>
            </w:r>
          </w:p>
        </w:tc>
        <w:tc>
          <w:tcPr>
            <w:tcW w:w="913" w:type="dxa"/>
            <w:tcBorders/>
            <w:vAlign w:val="center"/>
          </w:tcPr>
          <w:p>
            <w:pPr>
              <w:pStyle w:val="TableContents"/>
              <w:bidi w:val="0"/>
              <w:spacing w:before="0" w:after="283"/>
              <w:jc w:val="right"/>
              <w:rPr/>
            </w:pPr>
            <w:r>
              <w:rPr/>
              <w:t>207,382</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right"/>
              <w:rPr/>
            </w:pPr>
            <w:r>
              <w:rPr/>
              <w:t> </w:t>
            </w:r>
          </w:p>
        </w:tc>
        <w:tc>
          <w:tcPr>
            <w:tcW w:w="1109" w:type="dxa"/>
            <w:tcBorders/>
            <w:vAlign w:val="center"/>
          </w:tcPr>
          <w:p>
            <w:pPr>
              <w:pStyle w:val="TableContents"/>
              <w:bidi w:val="0"/>
              <w:spacing w:before="0" w:after="283"/>
              <w:jc w:val="right"/>
              <w:rPr/>
            </w:pPr>
            <w:r>
              <w:rPr/>
              <w:t>207,382</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right"/>
              <w:rPr/>
            </w:pPr>
            <w:r>
              <w:rPr/>
              <w:t> </w:t>
            </w:r>
          </w:p>
        </w:tc>
        <w:tc>
          <w:tcPr>
            <w:tcW w:w="1111" w:type="dxa"/>
            <w:tcBorders/>
            <w:vAlign w:val="center"/>
          </w:tcPr>
          <w:p>
            <w:pPr>
              <w:pStyle w:val="TableContents"/>
              <w:bidi w:val="0"/>
              <w:spacing w:before="0" w:after="283"/>
              <w:jc w:val="right"/>
              <w:rPr/>
            </w:pPr>
            <w:r>
              <w:rPr/>
              <w:t>383,994</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right"/>
              <w:rPr/>
            </w:pPr>
            <w:r>
              <w:rPr/>
              <w:t> </w:t>
            </w:r>
          </w:p>
        </w:tc>
        <w:tc>
          <w:tcPr>
            <w:tcW w:w="1137" w:type="dxa"/>
            <w:tcBorders/>
            <w:vAlign w:val="center"/>
          </w:tcPr>
          <w:p>
            <w:pPr>
              <w:pStyle w:val="TableContents"/>
              <w:bidi w:val="0"/>
              <w:spacing w:before="0" w:after="283"/>
              <w:jc w:val="right"/>
              <w:rPr/>
            </w:pPr>
            <w:r>
              <w:rPr/>
              <w:t>383,994</w:t>
            </w:r>
          </w:p>
        </w:tc>
        <w:tc>
          <w:tcPr>
            <w:tcW w:w="325" w:type="dxa"/>
            <w:tcBorders/>
            <w:vAlign w:val="center"/>
          </w:tcPr>
          <w:p>
            <w:pPr>
              <w:pStyle w:val="TableContents"/>
              <w:bidi w:val="0"/>
              <w:spacing w:before="0" w:after="283"/>
              <w:jc w:val="left"/>
              <w:rPr/>
            </w:pPr>
            <w:r>
              <w:rPr/>
              <w:t> </w:t>
            </w:r>
          </w:p>
        </w:tc>
      </w:tr>
      <w:tr>
        <w:trPr/>
        <w:tc>
          <w:tcPr>
            <w:tcW w:w="3362" w:type="dxa"/>
            <w:tcBorders/>
            <w:shd w:fill="CCEEFF" w:val="clear"/>
            <w:vAlign w:val="center"/>
          </w:tcPr>
          <w:p>
            <w:pPr>
              <w:pStyle w:val="TableContents"/>
              <w:bidi w:val="0"/>
              <w:spacing w:before="0" w:after="283"/>
              <w:jc w:val="left"/>
              <w:rPr/>
            </w:pPr>
            <w:r>
              <w:rPr/>
              <w:t>Gross margin</w:t>
            </w:r>
          </w:p>
        </w:tc>
        <w:tc>
          <w:tcPr>
            <w:tcW w:w="9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right"/>
              <w:rPr/>
            </w:pPr>
            <w:r>
              <w:rPr/>
              <w:t> </w:t>
            </w:r>
          </w:p>
        </w:tc>
        <w:tc>
          <w:tcPr>
            <w:tcW w:w="913" w:type="dxa"/>
            <w:tcBorders/>
            <w:shd w:fill="CCEEFF" w:val="clear"/>
            <w:vAlign w:val="center"/>
          </w:tcPr>
          <w:p>
            <w:pPr>
              <w:pStyle w:val="TableContents"/>
              <w:bidi w:val="0"/>
              <w:spacing w:before="0" w:after="283"/>
              <w:jc w:val="right"/>
              <w:rPr/>
            </w:pPr>
            <w:r>
              <w:rPr/>
              <w:t>23.3</w:t>
            </w:r>
          </w:p>
        </w:tc>
        <w:tc>
          <w:tcPr>
            <w:tcW w:w="269"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right"/>
              <w:rPr/>
            </w:pPr>
            <w:r>
              <w:rPr/>
              <w:t> </w:t>
            </w:r>
          </w:p>
        </w:tc>
        <w:tc>
          <w:tcPr>
            <w:tcW w:w="1109" w:type="dxa"/>
            <w:tcBorders/>
            <w:shd w:fill="CCEEFF" w:val="clear"/>
            <w:vAlign w:val="center"/>
          </w:tcPr>
          <w:p>
            <w:pPr>
              <w:pStyle w:val="TableContents"/>
              <w:bidi w:val="0"/>
              <w:spacing w:before="0" w:after="283"/>
              <w:jc w:val="right"/>
              <w:rPr/>
            </w:pPr>
            <w:r>
              <w:rPr/>
              <w:t>22.6</w:t>
            </w:r>
          </w:p>
        </w:tc>
        <w:tc>
          <w:tcPr>
            <w:tcW w:w="269"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right"/>
              <w:rPr/>
            </w:pPr>
            <w:r>
              <w:rPr/>
              <w:t> </w:t>
            </w:r>
          </w:p>
        </w:tc>
        <w:tc>
          <w:tcPr>
            <w:tcW w:w="1111" w:type="dxa"/>
            <w:tcBorders/>
            <w:shd w:fill="CCEEFF" w:val="clear"/>
            <w:vAlign w:val="center"/>
          </w:tcPr>
          <w:p>
            <w:pPr>
              <w:pStyle w:val="TableContents"/>
              <w:bidi w:val="0"/>
              <w:spacing w:before="0" w:after="283"/>
              <w:jc w:val="right"/>
              <w:rPr/>
            </w:pPr>
            <w:r>
              <w:rPr/>
              <w:t>22.2</w:t>
            </w:r>
          </w:p>
        </w:tc>
        <w:tc>
          <w:tcPr>
            <w:tcW w:w="269"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right"/>
              <w:rPr/>
            </w:pPr>
            <w:r>
              <w:rPr/>
              <w:t> </w:t>
            </w:r>
          </w:p>
        </w:tc>
        <w:tc>
          <w:tcPr>
            <w:tcW w:w="1137" w:type="dxa"/>
            <w:tcBorders/>
            <w:shd w:fill="CCEEFF" w:val="clear"/>
            <w:vAlign w:val="center"/>
          </w:tcPr>
          <w:p>
            <w:pPr>
              <w:pStyle w:val="TableContents"/>
              <w:bidi w:val="0"/>
              <w:spacing w:before="0" w:after="283"/>
              <w:jc w:val="right"/>
              <w:rPr/>
            </w:pPr>
            <w:r>
              <w:rPr/>
              <w:t>21.8</w:t>
            </w:r>
          </w:p>
        </w:tc>
        <w:tc>
          <w:tcPr>
            <w:tcW w:w="325" w:type="dxa"/>
            <w:tcBorders/>
            <w:shd w:fill="CCEEFF" w:val="clear"/>
            <w:vAlign w:val="center"/>
          </w:tcPr>
          <w:p>
            <w:pPr>
              <w:pStyle w:val="TableContents"/>
              <w:bidi w:val="0"/>
              <w:spacing w:before="0" w:after="283"/>
              <w:jc w:val="left"/>
              <w:rPr/>
            </w:pPr>
            <w:r>
              <w:rPr/>
              <w:t>%</w:t>
            </w:r>
          </w:p>
        </w:tc>
      </w:tr>
      <w:tr>
        <w:trPr/>
        <w:tc>
          <w:tcPr>
            <w:tcW w:w="3362"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r>
      <w:tr>
        <w:trPr/>
        <w:tc>
          <w:tcPr>
            <w:tcW w:w="10205" w:type="dxa"/>
            <w:gridSpan w:val="20"/>
            <w:tcBorders/>
            <w:vAlign w:val="center"/>
          </w:tcPr>
          <w:p>
            <w:pPr>
              <w:pStyle w:val="TableContents"/>
              <w:bidi w:val="0"/>
              <w:spacing w:before="0" w:after="283"/>
              <w:jc w:val="both"/>
              <w:rPr/>
            </w:pPr>
            <w:r>
              <w:rPr/>
              <w:t>(g) Adjusted net revenues for the fiscal quarter and six fiscal months ended July 4, 2026 exclude $30,008 for tariff refunds passed through to customers, with no impact on gross profit. The tariff refunds are recognized as a reduction of Net revenues and Costs of products sold in the GAAP results. Adjusted gross margin is calculated using adjusted net revenues.</w:t>
            </w:r>
          </w:p>
        </w:tc>
      </w:tr>
    </w:tbl>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8</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052"/>
        <w:gridCol w:w="90"/>
        <w:gridCol w:w="170"/>
        <w:gridCol w:w="906"/>
        <w:gridCol w:w="185"/>
        <w:gridCol w:w="90"/>
        <w:gridCol w:w="90"/>
        <w:gridCol w:w="170"/>
        <w:gridCol w:w="927"/>
        <w:gridCol w:w="90"/>
        <w:gridCol w:w="90"/>
        <w:gridCol w:w="90"/>
        <w:gridCol w:w="170"/>
        <w:gridCol w:w="938"/>
        <w:gridCol w:w="185"/>
        <w:gridCol w:w="90"/>
        <w:gridCol w:w="90"/>
        <w:gridCol w:w="170"/>
        <w:gridCol w:w="906"/>
        <w:gridCol w:w="185"/>
        <w:gridCol w:w="90"/>
        <w:gridCol w:w="90"/>
        <w:gridCol w:w="170"/>
        <w:gridCol w:w="938"/>
        <w:gridCol w:w="233"/>
      </w:tblGrid>
      <w:tr>
        <w:trPr/>
        <w:tc>
          <w:tcPr>
            <w:tcW w:w="3052" w:type="dxa"/>
            <w:tcBorders/>
            <w:vAlign w:val="center"/>
          </w:tcPr>
          <w:p>
            <w:pPr>
              <w:pStyle w:val="TableContents"/>
              <w:bidi w:val="0"/>
              <w:spacing w:before="0" w:after="283"/>
              <w:jc w:val="left"/>
              <w:rPr/>
            </w:pPr>
            <w:r>
              <w:rPr/>
              <w:t xml:space="preserve">VISHAY INTERTECHNOLOGY, INC.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052" w:type="dxa"/>
            <w:tcBorders/>
            <w:vAlign w:val="center"/>
          </w:tcPr>
          <w:p>
            <w:pPr>
              <w:pStyle w:val="TableContents"/>
              <w:bidi w:val="0"/>
              <w:spacing w:before="0" w:after="283"/>
              <w:jc w:val="left"/>
              <w:rPr/>
            </w:pPr>
            <w:r>
              <w:rPr/>
              <w:t>Reconciliation of Adjusted Earnings Per Share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052" w:type="dxa"/>
            <w:tcBorders/>
            <w:vAlign w:val="center"/>
          </w:tcPr>
          <w:p>
            <w:pPr>
              <w:pStyle w:val="TableContents"/>
              <w:bidi w:val="0"/>
              <w:spacing w:before="0" w:after="283"/>
              <w:jc w:val="left"/>
              <w:rPr/>
            </w:pPr>
            <w:r>
              <w:rPr/>
              <w:t>(Unaudited - In thousands, except per share amounts)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052" w:type="dxa"/>
            <w:tcBorders/>
            <w:vAlign w:val="center"/>
          </w:tcPr>
          <w:p>
            <w:pPr>
              <w:pStyle w:val="TableContents"/>
              <w:bidi w:val="0"/>
              <w:spacing w:before="0" w:after="283"/>
              <w:jc w:val="left"/>
              <w:rPr/>
            </w:pPr>
            <w:r>
              <w:rPr/>
              <w:t> </w:t>
            </w:r>
          </w:p>
        </w:tc>
        <w:tc>
          <w:tcPr>
            <w:tcW w:w="4191" w:type="dxa"/>
            <w:gridSpan w:val="14"/>
            <w:tcBorders/>
            <w:vAlign w:val="center"/>
          </w:tcPr>
          <w:p>
            <w:pPr>
              <w:pStyle w:val="TableContents"/>
              <w:bidi w:val="0"/>
              <w:spacing w:before="0" w:after="283"/>
              <w:jc w:val="center"/>
              <w:rPr/>
            </w:pPr>
            <w:r>
              <w:rPr/>
              <w:t>Fiscal quarters ended</w:t>
            </w:r>
          </w:p>
        </w:tc>
        <w:tc>
          <w:tcPr>
            <w:tcW w:w="90" w:type="dxa"/>
            <w:tcBorders/>
            <w:vAlign w:val="center"/>
          </w:tcPr>
          <w:p>
            <w:pPr>
              <w:pStyle w:val="TableContents"/>
              <w:bidi w:val="0"/>
              <w:spacing w:before="0" w:after="283"/>
              <w:jc w:val="left"/>
              <w:rPr/>
            </w:pPr>
            <w:r>
              <w:rPr/>
              <w:t> </w:t>
            </w:r>
          </w:p>
        </w:tc>
        <w:tc>
          <w:tcPr>
            <w:tcW w:w="2872" w:type="dxa"/>
            <w:gridSpan w:val="9"/>
            <w:tcBorders/>
            <w:vAlign w:val="center"/>
          </w:tcPr>
          <w:p>
            <w:pPr>
              <w:pStyle w:val="TableContents"/>
              <w:bidi w:val="0"/>
              <w:spacing w:before="0" w:after="283"/>
              <w:jc w:val="center"/>
              <w:rPr/>
            </w:pPr>
            <w:r>
              <w:rPr/>
              <w:t>Six fiscal months ended</w:t>
            </w:r>
          </w:p>
        </w:tc>
      </w:tr>
      <w:tr>
        <w:trPr/>
        <w:tc>
          <w:tcPr>
            <w:tcW w:w="30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06" w:type="dxa"/>
            <w:tcBorders>
              <w:bottom w:val="single" w:sz="6" w:space="0" w:color="000000"/>
            </w:tcBorders>
            <w:tcMar>
              <w:bottom w:w="28" w:type="dxa"/>
            </w:tcMar>
            <w:vAlign w:val="center"/>
          </w:tcPr>
          <w:p>
            <w:pPr>
              <w:pStyle w:val="TableContents"/>
              <w:bidi w:val="0"/>
              <w:spacing w:before="0" w:after="283"/>
              <w:jc w:val="center"/>
              <w:rPr/>
            </w:pPr>
            <w:r>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27" w:type="dxa"/>
            <w:tcBorders>
              <w:bottom w:val="single" w:sz="6" w:space="0" w:color="000000"/>
            </w:tcBorders>
            <w:tcMar>
              <w:bottom w:w="28" w:type="dxa"/>
            </w:tcMar>
            <w:vAlign w:val="center"/>
          </w:tcPr>
          <w:p>
            <w:pPr>
              <w:pStyle w:val="TableContents"/>
              <w:bidi w:val="0"/>
              <w:spacing w:before="0" w:after="283"/>
              <w:jc w:val="center"/>
              <w:rPr/>
            </w:pPr>
            <w:r>
              <w:rPr/>
              <w:t>April 4,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38" w:type="dxa"/>
            <w:tcBorders>
              <w:bottom w:val="single" w:sz="6" w:space="0" w:color="000000"/>
            </w:tcBorders>
            <w:tcMar>
              <w:bottom w:w="28" w:type="dxa"/>
            </w:tcMar>
            <w:vAlign w:val="center"/>
          </w:tcPr>
          <w:p>
            <w:pPr>
              <w:pStyle w:val="TableContents"/>
              <w:bidi w:val="0"/>
              <w:spacing w:before="0" w:after="283"/>
              <w:jc w:val="center"/>
              <w:rPr/>
            </w:pPr>
            <w:r>
              <w:rPr/>
              <w:t>June 28, 2025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06" w:type="dxa"/>
            <w:tcBorders>
              <w:bottom w:val="single" w:sz="6" w:space="0" w:color="000000"/>
            </w:tcBorders>
            <w:tcMar>
              <w:bottom w:w="28" w:type="dxa"/>
            </w:tcMar>
            <w:vAlign w:val="center"/>
          </w:tcPr>
          <w:p>
            <w:pPr>
              <w:pStyle w:val="TableContents"/>
              <w:bidi w:val="0"/>
              <w:spacing w:before="0" w:after="283"/>
              <w:jc w:val="center"/>
              <w:rPr/>
            </w:pPr>
            <w:r>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38" w:type="dxa"/>
            <w:tcBorders>
              <w:bottom w:val="single" w:sz="6" w:space="0" w:color="000000"/>
            </w:tcBorders>
            <w:tcMar>
              <w:bottom w:w="28" w:type="dxa"/>
            </w:tcMar>
            <w:vAlign w:val="center"/>
          </w:tcPr>
          <w:p>
            <w:pPr>
              <w:pStyle w:val="TableContents"/>
              <w:bidi w:val="0"/>
              <w:spacing w:before="0" w:after="283"/>
              <w:jc w:val="center"/>
              <w:rPr/>
            </w:pPr>
            <w:r>
              <w:rPr/>
              <w:t>June 28, 2025</w:t>
            </w:r>
          </w:p>
        </w:tc>
        <w:tc>
          <w:tcPr>
            <w:tcW w:w="233" w:type="dxa"/>
            <w:tcBorders/>
            <w:vAlign w:val="center"/>
          </w:tcPr>
          <w:p>
            <w:pPr>
              <w:pStyle w:val="TableContents"/>
              <w:bidi w:val="0"/>
              <w:spacing w:before="0" w:after="283"/>
              <w:jc w:val="left"/>
              <w:rPr/>
            </w:pPr>
            <w:r>
              <w:rPr/>
              <w:t> </w:t>
            </w:r>
          </w:p>
        </w:tc>
      </w:tr>
      <w:tr>
        <w:trPr/>
        <w:tc>
          <w:tcPr>
            <w:tcW w:w="30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052" w:type="dxa"/>
            <w:tcBorders/>
            <w:shd w:fill="CCEEFF" w:val="clear"/>
            <w:vAlign w:val="center"/>
          </w:tcPr>
          <w:p>
            <w:pPr>
              <w:pStyle w:val="TableContents"/>
              <w:bidi w:val="0"/>
              <w:spacing w:before="0" w:after="283"/>
              <w:jc w:val="left"/>
              <w:rPr/>
            </w:pPr>
            <w:r>
              <w:rPr/>
              <w:t>Net earnings (loss)</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906" w:type="dxa"/>
            <w:tcBorders/>
            <w:shd w:fill="CCEEFF" w:val="clear"/>
            <w:vAlign w:val="center"/>
          </w:tcPr>
          <w:p>
            <w:pPr>
              <w:pStyle w:val="TableContents"/>
              <w:bidi w:val="0"/>
              <w:spacing w:before="0" w:after="283"/>
              <w:jc w:val="right"/>
              <w:rPr/>
            </w:pPr>
            <w:r>
              <w:rPr/>
              <w:t>28,124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7,164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2,004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906" w:type="dxa"/>
            <w:tcBorders/>
            <w:shd w:fill="CCEEFF" w:val="clear"/>
            <w:vAlign w:val="center"/>
          </w:tcPr>
          <w:p>
            <w:pPr>
              <w:pStyle w:val="TableContents"/>
              <w:bidi w:val="0"/>
              <w:spacing w:before="0" w:after="283"/>
              <w:jc w:val="right"/>
              <w:rPr/>
            </w:pPr>
            <w:r>
              <w:rPr/>
              <w:t>35,288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(2,088</w:t>
            </w:r>
          </w:p>
        </w:tc>
        <w:tc>
          <w:tcPr>
            <w:tcW w:w="233" w:type="dxa"/>
            <w:tcBorders/>
            <w:shd w:fill="CCEEFF" w:val="clear"/>
            <w:vAlign w:val="center"/>
          </w:tcPr>
          <w:p>
            <w:pPr>
              <w:pStyle w:val="TableContents"/>
              <w:bidi w:val="0"/>
              <w:spacing w:before="0" w:after="283"/>
              <w:jc w:val="left"/>
              <w:rPr/>
            </w:pPr>
            <w:r>
              <w:rPr/>
              <w:t>) </w:t>
            </w:r>
          </w:p>
        </w:tc>
      </w:tr>
      <w:tr>
        <w:trPr/>
        <w:tc>
          <w:tcPr>
            <w:tcW w:w="30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052" w:type="dxa"/>
            <w:tcBorders/>
            <w:shd w:fill="CCEEFF" w:val="clear"/>
            <w:vAlign w:val="center"/>
          </w:tcPr>
          <w:p>
            <w:pPr>
              <w:pStyle w:val="TableContents"/>
              <w:bidi w:val="0"/>
              <w:spacing w:before="0" w:after="283"/>
              <w:jc w:val="left"/>
              <w:rPr>
                <w:u w:val="single"/>
              </w:rPr>
            </w:pPr>
            <w:r>
              <w:rPr>
                <w:u w:val="single"/>
              </w:rPr>
              <w:t>Reconciling items affecting net 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052" w:type="dxa"/>
            <w:tcBorders/>
            <w:vAlign w:val="center"/>
          </w:tcPr>
          <w:p>
            <w:pPr>
              <w:pStyle w:val="TableContents"/>
              <w:bidi w:val="0"/>
              <w:spacing w:before="0" w:after="283"/>
              <w:jc w:val="left"/>
              <w:rPr/>
            </w:pPr>
            <w:r>
              <w:rPr/>
              <w:t>Tariff refunds passed through to customers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30,008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2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38"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30,008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38" w:type="dxa"/>
            <w:tcBorders/>
            <w:vAlign w:val="center"/>
          </w:tcPr>
          <w:p>
            <w:pPr>
              <w:pStyle w:val="TableContents"/>
              <w:bidi w:val="0"/>
              <w:spacing w:before="0" w:after="283"/>
              <w:jc w:val="right"/>
              <w:rPr/>
            </w:pPr>
            <w:r>
              <w:rPr/>
              <w:t>-</w:t>
            </w:r>
          </w:p>
        </w:tc>
        <w:tc>
          <w:tcPr>
            <w:tcW w:w="233" w:type="dxa"/>
            <w:tcBorders/>
            <w:vAlign w:val="center"/>
          </w:tcPr>
          <w:p>
            <w:pPr>
              <w:pStyle w:val="TableContents"/>
              <w:bidi w:val="0"/>
              <w:spacing w:before="0" w:after="283"/>
              <w:jc w:val="left"/>
              <w:rPr/>
            </w:pPr>
            <w:r>
              <w:rPr/>
              <w:t> </w:t>
            </w:r>
          </w:p>
        </w:tc>
      </w:tr>
      <w:tr>
        <w:trPr/>
        <w:tc>
          <w:tcPr>
            <w:tcW w:w="305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052" w:type="dxa"/>
            <w:tcBorders/>
            <w:vAlign w:val="center"/>
          </w:tcPr>
          <w:p>
            <w:pPr>
              <w:pStyle w:val="TableContents"/>
              <w:bidi w:val="0"/>
              <w:spacing w:before="0" w:after="283"/>
              <w:jc w:val="left"/>
              <w:rPr>
                <w:u w:val="single"/>
              </w:rPr>
            </w:pPr>
            <w:r>
              <w:rPr>
                <w:u w:val="single"/>
              </w:rPr>
              <w:t>Other reconciling items affecting gross profit: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052" w:type="dxa"/>
            <w:tcBorders/>
            <w:shd w:fill="CCEEFF" w:val="clear"/>
            <w:vAlign w:val="center"/>
          </w:tcPr>
          <w:p>
            <w:pPr>
              <w:pStyle w:val="TableContents"/>
              <w:bidi w:val="0"/>
              <w:spacing w:before="0" w:after="283"/>
              <w:jc w:val="left"/>
              <w:rPr/>
            </w:pPr>
            <w:r>
              <w:rPr/>
              <w:t>Tariff refunds received from U.S. government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906" w:type="dxa"/>
            <w:tcBorders/>
            <w:shd w:fill="CCEEFF" w:val="clear"/>
            <w:vAlign w:val="center"/>
          </w:tcPr>
          <w:p>
            <w:pPr>
              <w:pStyle w:val="TableContents"/>
              <w:bidi w:val="0"/>
              <w:spacing w:before="0" w:after="283"/>
              <w:jc w:val="right"/>
              <w:rPr/>
            </w:pPr>
            <w:r>
              <w:rPr/>
              <w:t>(30,008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92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938"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906" w:type="dxa"/>
            <w:tcBorders/>
            <w:shd w:fill="CCEEFF" w:val="clear"/>
            <w:vAlign w:val="center"/>
          </w:tcPr>
          <w:p>
            <w:pPr>
              <w:pStyle w:val="TableContents"/>
              <w:bidi w:val="0"/>
              <w:spacing w:before="0" w:after="283"/>
              <w:jc w:val="right"/>
              <w:rPr/>
            </w:pPr>
            <w:r>
              <w:rPr/>
              <w:t>(30,008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938" w:type="dxa"/>
            <w:tcBorders/>
            <w:shd w:fill="CCEEFF" w:val="clear"/>
            <w:vAlign w:val="center"/>
          </w:tcPr>
          <w:p>
            <w:pPr>
              <w:pStyle w:val="TableContents"/>
              <w:bidi w:val="0"/>
              <w:spacing w:before="0" w:after="283"/>
              <w:jc w:val="right"/>
              <w:rPr/>
            </w:pPr>
            <w:r>
              <w:rPr/>
              <w:t>-</w:t>
            </w:r>
          </w:p>
        </w:tc>
        <w:tc>
          <w:tcPr>
            <w:tcW w:w="233" w:type="dxa"/>
            <w:tcBorders/>
            <w:shd w:fill="CCEEFF" w:val="clear"/>
            <w:vAlign w:val="center"/>
          </w:tcPr>
          <w:p>
            <w:pPr>
              <w:pStyle w:val="TableContents"/>
              <w:bidi w:val="0"/>
              <w:spacing w:before="0" w:after="283"/>
              <w:jc w:val="left"/>
              <w:rPr/>
            </w:pPr>
            <w:r>
              <w:rPr/>
              <w:t> </w:t>
            </w:r>
          </w:p>
        </w:tc>
      </w:tr>
      <w:tr>
        <w:trPr/>
        <w:tc>
          <w:tcPr>
            <w:tcW w:w="30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052" w:type="dxa"/>
            <w:tcBorders/>
            <w:shd w:fill="CCEEFF" w:val="clear"/>
            <w:vAlign w:val="center"/>
          </w:tcPr>
          <w:p>
            <w:pPr>
              <w:pStyle w:val="TableContents"/>
              <w:bidi w:val="0"/>
              <w:spacing w:before="0" w:after="283"/>
              <w:jc w:val="left"/>
              <w:rPr>
                <w:u w:val="single"/>
              </w:rPr>
            </w:pPr>
            <w:r>
              <w:rPr>
                <w:u w:val="single"/>
              </w:rPr>
              <w:t>Other reconciling items affecting operating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052" w:type="dxa"/>
            <w:tcBorders/>
            <w:vAlign w:val="center"/>
          </w:tcPr>
          <w:p>
            <w:pPr>
              <w:pStyle w:val="TableContents"/>
              <w:bidi w:val="0"/>
              <w:spacing w:before="0" w:after="283"/>
              <w:jc w:val="left"/>
              <w:rPr/>
            </w:pPr>
            <w:r>
              <w:rPr/>
              <w:t>Favorable resolution of contingency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2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38" w:type="dxa"/>
            <w:tcBorders/>
            <w:vAlign w:val="center"/>
          </w:tcPr>
          <w:p>
            <w:pPr>
              <w:pStyle w:val="TableContents"/>
              <w:bidi w:val="0"/>
              <w:spacing w:before="0" w:after="283"/>
              <w:jc w:val="right"/>
              <w:rPr/>
            </w:pPr>
            <w:r>
              <w:rPr/>
              <w:t>(11,293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38" w:type="dxa"/>
            <w:tcBorders/>
            <w:vAlign w:val="center"/>
          </w:tcPr>
          <w:p>
            <w:pPr>
              <w:pStyle w:val="TableContents"/>
              <w:bidi w:val="0"/>
              <w:spacing w:before="0" w:after="283"/>
              <w:jc w:val="right"/>
              <w:rPr/>
            </w:pPr>
            <w:r>
              <w:rPr/>
              <w:t>(11,293</w:t>
            </w:r>
          </w:p>
        </w:tc>
        <w:tc>
          <w:tcPr>
            <w:tcW w:w="233" w:type="dxa"/>
            <w:tcBorders/>
            <w:vAlign w:val="center"/>
          </w:tcPr>
          <w:p>
            <w:pPr>
              <w:pStyle w:val="TableContents"/>
              <w:bidi w:val="0"/>
              <w:spacing w:before="0" w:after="283"/>
              <w:jc w:val="left"/>
              <w:rPr/>
            </w:pPr>
            <w:r>
              <w:rPr/>
              <w:t>) </w:t>
            </w:r>
          </w:p>
        </w:tc>
      </w:tr>
      <w:tr>
        <w:trPr/>
        <w:tc>
          <w:tcPr>
            <w:tcW w:w="305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052" w:type="dxa"/>
            <w:tcBorders/>
            <w:vAlign w:val="center"/>
          </w:tcPr>
          <w:p>
            <w:pPr>
              <w:pStyle w:val="TableContents"/>
              <w:bidi w:val="0"/>
              <w:spacing w:before="0" w:after="283"/>
              <w:jc w:val="left"/>
              <w:rPr/>
            </w:pPr>
            <w:r>
              <w:rPr/>
              <w:t>Adjusted net earnings (loss)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6" w:type="dxa"/>
            <w:tcBorders>
              <w:bottom w:val="double" w:sz="6" w:space="0" w:color="000000"/>
            </w:tcBorders>
            <w:tcMar>
              <w:bottom w:w="28" w:type="dxa"/>
            </w:tcMar>
            <w:vAlign w:val="center"/>
          </w:tcPr>
          <w:p>
            <w:pPr>
              <w:pStyle w:val="TableContents"/>
              <w:bidi w:val="0"/>
              <w:spacing w:before="0" w:after="283"/>
              <w:jc w:val="right"/>
              <w:rPr/>
            </w:pPr>
            <w:r>
              <w:rPr/>
              <w:t>28,124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27" w:type="dxa"/>
            <w:tcBorders>
              <w:bottom w:val="double" w:sz="6" w:space="0" w:color="000000"/>
            </w:tcBorders>
            <w:tcMar>
              <w:bottom w:w="28" w:type="dxa"/>
            </w:tcMar>
            <w:vAlign w:val="center"/>
          </w:tcPr>
          <w:p>
            <w:pPr>
              <w:pStyle w:val="TableContents"/>
              <w:bidi w:val="0"/>
              <w:spacing w:before="0" w:after="283"/>
              <w:jc w:val="right"/>
              <w:rPr/>
            </w:pPr>
            <w:r>
              <w:rPr/>
              <w:t>7,164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38" w:type="dxa"/>
            <w:tcBorders>
              <w:bottom w:val="double" w:sz="6" w:space="0" w:color="000000"/>
            </w:tcBorders>
            <w:tcMar>
              <w:bottom w:w="28" w:type="dxa"/>
            </w:tcMar>
            <w:vAlign w:val="center"/>
          </w:tcPr>
          <w:p>
            <w:pPr>
              <w:pStyle w:val="TableContents"/>
              <w:bidi w:val="0"/>
              <w:spacing w:before="0" w:after="283"/>
              <w:jc w:val="right"/>
              <w:rPr/>
            </w:pPr>
            <w:r>
              <w:rPr/>
              <w:t>(9,289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6" w:type="dxa"/>
            <w:tcBorders>
              <w:bottom w:val="double" w:sz="6" w:space="0" w:color="000000"/>
            </w:tcBorders>
            <w:tcMar>
              <w:bottom w:w="28" w:type="dxa"/>
            </w:tcMar>
            <w:vAlign w:val="center"/>
          </w:tcPr>
          <w:p>
            <w:pPr>
              <w:pStyle w:val="TableContents"/>
              <w:bidi w:val="0"/>
              <w:spacing w:before="0" w:after="283"/>
              <w:jc w:val="right"/>
              <w:rPr/>
            </w:pPr>
            <w:r>
              <w:rPr/>
              <w:t>35,288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38" w:type="dxa"/>
            <w:tcBorders>
              <w:bottom w:val="double" w:sz="6" w:space="0" w:color="000000"/>
            </w:tcBorders>
            <w:tcMar>
              <w:bottom w:w="28" w:type="dxa"/>
            </w:tcMar>
            <w:vAlign w:val="center"/>
          </w:tcPr>
          <w:p>
            <w:pPr>
              <w:pStyle w:val="TableContents"/>
              <w:bidi w:val="0"/>
              <w:spacing w:before="0" w:after="283"/>
              <w:jc w:val="right"/>
              <w:rPr/>
            </w:pPr>
            <w:r>
              <w:rPr/>
              <w:t>(13,381</w:t>
            </w:r>
          </w:p>
        </w:tc>
        <w:tc>
          <w:tcPr>
            <w:tcW w:w="233" w:type="dxa"/>
            <w:tcBorders/>
            <w:vAlign w:val="center"/>
          </w:tcPr>
          <w:p>
            <w:pPr>
              <w:pStyle w:val="TableContents"/>
              <w:bidi w:val="0"/>
              <w:spacing w:before="0" w:after="283"/>
              <w:jc w:val="left"/>
              <w:rPr/>
            </w:pPr>
            <w:r>
              <w:rPr/>
              <w:t>) </w:t>
            </w:r>
          </w:p>
        </w:tc>
      </w:tr>
      <w:tr>
        <w:trPr/>
        <w:tc>
          <w:tcPr>
            <w:tcW w:w="305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052" w:type="dxa"/>
            <w:tcBorders/>
            <w:vAlign w:val="center"/>
          </w:tcPr>
          <w:p>
            <w:pPr>
              <w:pStyle w:val="TableContents"/>
              <w:bidi w:val="0"/>
              <w:spacing w:before="0" w:after="283"/>
              <w:jc w:val="left"/>
              <w:rPr/>
            </w:pPr>
            <w:r>
              <w:rPr/>
              <w:t>Adjusted weighted average diluted shares outstanding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147,901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27" w:type="dxa"/>
            <w:tcBorders/>
            <w:vAlign w:val="center"/>
          </w:tcPr>
          <w:p>
            <w:pPr>
              <w:pStyle w:val="TableContents"/>
              <w:bidi w:val="0"/>
              <w:spacing w:before="0" w:after="283"/>
              <w:jc w:val="right"/>
              <w:rPr/>
            </w:pPr>
            <w:r>
              <w:rPr/>
              <w:t>137,471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38" w:type="dxa"/>
            <w:tcBorders/>
            <w:vAlign w:val="center"/>
          </w:tcPr>
          <w:p>
            <w:pPr>
              <w:pStyle w:val="TableContents"/>
              <w:bidi w:val="0"/>
              <w:spacing w:before="0" w:after="283"/>
              <w:jc w:val="right"/>
              <w:rPr/>
            </w:pPr>
            <w:r>
              <w:rPr/>
              <w:t>135,702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142,680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38" w:type="dxa"/>
            <w:tcBorders/>
            <w:vAlign w:val="center"/>
          </w:tcPr>
          <w:p>
            <w:pPr>
              <w:pStyle w:val="TableContents"/>
              <w:bidi w:val="0"/>
              <w:spacing w:before="0" w:after="283"/>
              <w:jc w:val="right"/>
              <w:rPr/>
            </w:pPr>
            <w:r>
              <w:rPr/>
              <w:t>135,750</w:t>
            </w:r>
          </w:p>
        </w:tc>
        <w:tc>
          <w:tcPr>
            <w:tcW w:w="233" w:type="dxa"/>
            <w:tcBorders/>
            <w:vAlign w:val="center"/>
          </w:tcPr>
          <w:p>
            <w:pPr>
              <w:pStyle w:val="TableContents"/>
              <w:bidi w:val="0"/>
              <w:spacing w:before="0" w:after="283"/>
              <w:jc w:val="left"/>
              <w:rPr/>
            </w:pPr>
            <w:r>
              <w:rPr/>
              <w:t> </w:t>
            </w:r>
          </w:p>
        </w:tc>
      </w:tr>
      <w:tr>
        <w:trPr/>
        <w:tc>
          <w:tcPr>
            <w:tcW w:w="305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052" w:type="dxa"/>
            <w:tcBorders/>
            <w:vAlign w:val="center"/>
          </w:tcPr>
          <w:p>
            <w:pPr>
              <w:pStyle w:val="TableContents"/>
              <w:bidi w:val="0"/>
              <w:spacing w:before="0" w:after="283"/>
              <w:jc w:val="left"/>
              <w:rPr/>
            </w:pPr>
            <w:r>
              <w:rPr/>
              <w:t>Adjusted earnings (loss) per diluted share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6" w:type="dxa"/>
            <w:tcBorders/>
            <w:vAlign w:val="center"/>
          </w:tcPr>
          <w:p>
            <w:pPr>
              <w:pStyle w:val="TableContents"/>
              <w:bidi w:val="0"/>
              <w:spacing w:before="0" w:after="283"/>
              <w:jc w:val="right"/>
              <w:rPr/>
            </w:pPr>
            <w:r>
              <w:rPr/>
              <w:t>0.19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7" w:type="dxa"/>
            <w:tcBorders/>
            <w:vAlign w:val="center"/>
          </w:tcPr>
          <w:p>
            <w:pPr>
              <w:pStyle w:val="TableContents"/>
              <w:bidi w:val="0"/>
              <w:spacing w:before="0" w:after="283"/>
              <w:jc w:val="right"/>
              <w:rPr/>
            </w:pPr>
            <w:r>
              <w:rPr/>
              <w:t>0.05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(0.07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6" w:type="dxa"/>
            <w:tcBorders/>
            <w:vAlign w:val="center"/>
          </w:tcPr>
          <w:p>
            <w:pPr>
              <w:pStyle w:val="TableContents"/>
              <w:bidi w:val="0"/>
              <w:spacing w:before="0" w:after="283"/>
              <w:jc w:val="right"/>
              <w:rPr/>
            </w:pPr>
            <w:r>
              <w:rPr/>
              <w:t>0.25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(0.10</w:t>
            </w:r>
          </w:p>
        </w:tc>
        <w:tc>
          <w:tcPr>
            <w:tcW w:w="233" w:type="dxa"/>
            <w:tcBorders/>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9</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897"/>
        <w:gridCol w:w="90"/>
        <w:gridCol w:w="170"/>
        <w:gridCol w:w="891"/>
        <w:gridCol w:w="185"/>
        <w:gridCol w:w="90"/>
        <w:gridCol w:w="90"/>
        <w:gridCol w:w="170"/>
        <w:gridCol w:w="971"/>
        <w:gridCol w:w="185"/>
        <w:gridCol w:w="90"/>
        <w:gridCol w:w="90"/>
        <w:gridCol w:w="170"/>
        <w:gridCol w:w="879"/>
        <w:gridCol w:w="185"/>
        <w:gridCol w:w="90"/>
        <w:gridCol w:w="90"/>
        <w:gridCol w:w="170"/>
        <w:gridCol w:w="954"/>
        <w:gridCol w:w="185"/>
        <w:gridCol w:w="90"/>
        <w:gridCol w:w="90"/>
        <w:gridCol w:w="170"/>
        <w:gridCol w:w="980"/>
        <w:gridCol w:w="233"/>
      </w:tblGrid>
      <w:tr>
        <w:trPr/>
        <w:tc>
          <w:tcPr>
            <w:tcW w:w="2897" w:type="dxa"/>
            <w:tcBorders/>
            <w:vAlign w:val="center"/>
          </w:tcPr>
          <w:p>
            <w:pPr>
              <w:pStyle w:val="TableContents"/>
              <w:bidi w:val="0"/>
              <w:spacing w:before="0" w:after="283"/>
              <w:jc w:val="left"/>
              <w:rPr/>
            </w:pPr>
            <w:r>
              <w:rPr/>
              <w:t xml:space="preserve">VISHAY INTERTECHNOLOGY, INC.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2897" w:type="dxa"/>
            <w:tcBorders/>
            <w:vAlign w:val="center"/>
          </w:tcPr>
          <w:p>
            <w:pPr>
              <w:pStyle w:val="TableContents"/>
              <w:bidi w:val="0"/>
              <w:spacing w:before="0" w:after="283"/>
              <w:jc w:val="left"/>
              <w:rPr/>
            </w:pPr>
            <w:r>
              <w:rPr/>
              <w:t>Reconciliation of Free Cash</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2897" w:type="dxa"/>
            <w:tcBorders/>
            <w:vAlign w:val="center"/>
          </w:tcPr>
          <w:p>
            <w:pPr>
              <w:pStyle w:val="TableContents"/>
              <w:bidi w:val="0"/>
              <w:spacing w:before="0" w:after="283"/>
              <w:jc w:val="left"/>
              <w:rPr/>
            </w:pPr>
            <w:r>
              <w:rPr/>
              <w:t>(Unaudited - In thousands)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2897" w:type="dxa"/>
            <w:tcBorders/>
            <w:vAlign w:val="center"/>
          </w:tcPr>
          <w:p>
            <w:pPr>
              <w:pStyle w:val="TableContents"/>
              <w:bidi w:val="0"/>
              <w:spacing w:before="0" w:after="283"/>
              <w:jc w:val="left"/>
              <w:rPr/>
            </w:pPr>
            <w:r>
              <w:rPr/>
              <w:t> </w:t>
            </w:r>
          </w:p>
        </w:tc>
        <w:tc>
          <w:tcPr>
            <w:tcW w:w="4256" w:type="dxa"/>
            <w:gridSpan w:val="14"/>
            <w:tcBorders/>
            <w:vAlign w:val="center"/>
          </w:tcPr>
          <w:p>
            <w:pPr>
              <w:pStyle w:val="TableContents"/>
              <w:bidi w:val="0"/>
              <w:spacing w:before="0" w:after="283"/>
              <w:jc w:val="center"/>
              <w:rPr/>
            </w:pPr>
            <w:r>
              <w:rPr/>
              <w:t>Fiscal quarters ended</w:t>
            </w:r>
          </w:p>
        </w:tc>
        <w:tc>
          <w:tcPr>
            <w:tcW w:w="90" w:type="dxa"/>
            <w:tcBorders/>
            <w:vAlign w:val="center"/>
          </w:tcPr>
          <w:p>
            <w:pPr>
              <w:pStyle w:val="TableContents"/>
              <w:bidi w:val="0"/>
              <w:spacing w:before="0" w:after="283"/>
              <w:jc w:val="left"/>
              <w:rPr/>
            </w:pPr>
            <w:r>
              <w:rPr/>
              <w:t> </w:t>
            </w:r>
          </w:p>
        </w:tc>
        <w:tc>
          <w:tcPr>
            <w:tcW w:w="2962" w:type="dxa"/>
            <w:gridSpan w:val="9"/>
            <w:tcBorders/>
            <w:vAlign w:val="center"/>
          </w:tcPr>
          <w:p>
            <w:pPr>
              <w:pStyle w:val="TableContents"/>
              <w:bidi w:val="0"/>
              <w:spacing w:before="0" w:after="283"/>
              <w:jc w:val="center"/>
              <w:rPr/>
            </w:pPr>
            <w:r>
              <w:rPr/>
              <w:t>Six fiscal months ended</w:t>
            </w:r>
          </w:p>
        </w:tc>
      </w:tr>
      <w:tr>
        <w:trPr/>
        <w:tc>
          <w:tcPr>
            <w:tcW w:w="28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91" w:type="dxa"/>
            <w:tcBorders>
              <w:bottom w:val="single" w:sz="6" w:space="0" w:color="000000"/>
            </w:tcBorders>
            <w:tcMar>
              <w:bottom w:w="28" w:type="dxa"/>
            </w:tcMar>
            <w:vAlign w:val="center"/>
          </w:tcPr>
          <w:p>
            <w:pPr>
              <w:pStyle w:val="TableContents"/>
              <w:bidi w:val="0"/>
              <w:spacing w:before="0" w:after="283"/>
              <w:jc w:val="center"/>
              <w:rPr/>
            </w:pPr>
            <w:r>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71" w:type="dxa"/>
            <w:tcBorders>
              <w:bottom w:val="single" w:sz="6" w:space="0" w:color="000000"/>
            </w:tcBorders>
            <w:tcMar>
              <w:bottom w:w="28" w:type="dxa"/>
            </w:tcMar>
            <w:vAlign w:val="center"/>
          </w:tcPr>
          <w:p>
            <w:pPr>
              <w:pStyle w:val="TableContents"/>
              <w:bidi w:val="0"/>
              <w:spacing w:before="0" w:after="283"/>
              <w:jc w:val="center"/>
              <w:rPr/>
            </w:pPr>
            <w:r>
              <w:rPr/>
              <w:t>April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79" w:type="dxa"/>
            <w:tcBorders>
              <w:bottom w:val="single" w:sz="6" w:space="0" w:color="000000"/>
            </w:tcBorders>
            <w:tcMar>
              <w:bottom w:w="28" w:type="dxa"/>
            </w:tcMar>
            <w:vAlign w:val="center"/>
          </w:tcPr>
          <w:p>
            <w:pPr>
              <w:pStyle w:val="TableContents"/>
              <w:bidi w:val="0"/>
              <w:spacing w:before="0" w:after="283"/>
              <w:jc w:val="center"/>
              <w:rPr/>
            </w:pPr>
            <w:r>
              <w:rPr/>
              <w:t>June 28, 2025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54" w:type="dxa"/>
            <w:tcBorders>
              <w:bottom w:val="single" w:sz="6" w:space="0" w:color="000000"/>
            </w:tcBorders>
            <w:tcMar>
              <w:bottom w:w="28" w:type="dxa"/>
            </w:tcMar>
            <w:vAlign w:val="center"/>
          </w:tcPr>
          <w:p>
            <w:pPr>
              <w:pStyle w:val="TableContents"/>
              <w:bidi w:val="0"/>
              <w:spacing w:before="0" w:after="283"/>
              <w:jc w:val="center"/>
              <w:rPr/>
            </w:pPr>
            <w:r>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center"/>
              <w:rPr/>
            </w:pPr>
            <w:r>
              <w:rPr/>
              <w:t>June 28, 2025</w:t>
            </w:r>
          </w:p>
        </w:tc>
        <w:tc>
          <w:tcPr>
            <w:tcW w:w="233" w:type="dxa"/>
            <w:tcBorders/>
            <w:vAlign w:val="center"/>
          </w:tcPr>
          <w:p>
            <w:pPr>
              <w:pStyle w:val="TableContents"/>
              <w:bidi w:val="0"/>
              <w:spacing w:before="0" w:after="283"/>
              <w:jc w:val="left"/>
              <w:rPr/>
            </w:pPr>
            <w:r>
              <w:rPr/>
              <w:t> </w:t>
            </w:r>
          </w:p>
        </w:tc>
      </w:tr>
      <w:tr>
        <w:trPr/>
        <w:tc>
          <w:tcPr>
            <w:tcW w:w="2897" w:type="dxa"/>
            <w:tcBorders/>
            <w:shd w:fill="CCEEFF" w:val="clear"/>
            <w:vAlign w:val="center"/>
          </w:tcPr>
          <w:p>
            <w:pPr>
              <w:pStyle w:val="TableContents"/>
              <w:bidi w:val="0"/>
              <w:spacing w:before="0" w:after="283"/>
              <w:jc w:val="left"/>
              <w:rPr/>
            </w:pPr>
            <w:r>
              <w:rPr/>
              <w:t>Net cash provided by (used in) operating activities</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891" w:type="dxa"/>
            <w:tcBorders/>
            <w:shd w:fill="CCEEFF" w:val="clear"/>
            <w:vAlign w:val="center"/>
          </w:tcPr>
          <w:p>
            <w:pPr>
              <w:pStyle w:val="TableContents"/>
              <w:bidi w:val="0"/>
              <w:spacing w:before="0" w:after="283"/>
              <w:jc w:val="right"/>
              <w:rPr/>
            </w:pPr>
            <w:r>
              <w:rPr/>
              <w:t>105,359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971" w:type="dxa"/>
            <w:tcBorders/>
            <w:shd w:fill="CCEEFF" w:val="clear"/>
            <w:vAlign w:val="center"/>
          </w:tcPr>
          <w:p>
            <w:pPr>
              <w:pStyle w:val="TableContents"/>
              <w:bidi w:val="0"/>
              <w:spacing w:before="0" w:after="283"/>
              <w:jc w:val="right"/>
              <w:rPr/>
            </w:pPr>
            <w:r>
              <w:rPr/>
              <w:t>63,669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879" w:type="dxa"/>
            <w:tcBorders/>
            <w:shd w:fill="CCEEFF" w:val="clear"/>
            <w:vAlign w:val="center"/>
          </w:tcPr>
          <w:p>
            <w:pPr>
              <w:pStyle w:val="TableContents"/>
              <w:bidi w:val="0"/>
              <w:spacing w:before="0" w:after="283"/>
              <w:jc w:val="right"/>
              <w:rPr/>
            </w:pPr>
            <w:r>
              <w:rPr/>
              <w:t>(8,791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954" w:type="dxa"/>
            <w:tcBorders/>
            <w:shd w:fill="CCEEFF" w:val="clear"/>
            <w:vAlign w:val="center"/>
          </w:tcPr>
          <w:p>
            <w:pPr>
              <w:pStyle w:val="TableContents"/>
              <w:bidi w:val="0"/>
              <w:spacing w:before="0" w:after="283"/>
              <w:jc w:val="right"/>
              <w:rPr/>
            </w:pPr>
            <w:r>
              <w:rPr/>
              <w:t>169,028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980" w:type="dxa"/>
            <w:tcBorders/>
            <w:shd w:fill="CCEEFF" w:val="clear"/>
            <w:vAlign w:val="center"/>
          </w:tcPr>
          <w:p>
            <w:pPr>
              <w:pStyle w:val="TableContents"/>
              <w:bidi w:val="0"/>
              <w:spacing w:before="0" w:after="283"/>
              <w:jc w:val="right"/>
              <w:rPr/>
            </w:pPr>
            <w:r>
              <w:rPr/>
              <w:t>7,307</w:t>
            </w:r>
          </w:p>
        </w:tc>
        <w:tc>
          <w:tcPr>
            <w:tcW w:w="233" w:type="dxa"/>
            <w:tcBorders/>
            <w:shd w:fill="CCEEFF" w:val="clear"/>
            <w:vAlign w:val="center"/>
          </w:tcPr>
          <w:p>
            <w:pPr>
              <w:pStyle w:val="TableContents"/>
              <w:bidi w:val="0"/>
              <w:spacing w:before="0" w:after="283"/>
              <w:jc w:val="left"/>
              <w:rPr/>
            </w:pPr>
            <w:r>
              <w:rPr/>
              <w:t> </w:t>
            </w:r>
          </w:p>
        </w:tc>
      </w:tr>
      <w:tr>
        <w:trPr/>
        <w:tc>
          <w:tcPr>
            <w:tcW w:w="2897" w:type="dxa"/>
            <w:tcBorders/>
            <w:vAlign w:val="center"/>
          </w:tcPr>
          <w:p>
            <w:pPr>
              <w:pStyle w:val="TableContents"/>
              <w:bidi w:val="0"/>
              <w:spacing w:before="0" w:after="283"/>
              <w:jc w:val="left"/>
              <w:rPr/>
            </w:pPr>
            <w:r>
              <w:rPr/>
              <w:t>Proceeds from sale of property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91" w:type="dxa"/>
            <w:tcBorders/>
            <w:vAlign w:val="center"/>
          </w:tcPr>
          <w:p>
            <w:pPr>
              <w:pStyle w:val="TableContents"/>
              <w:bidi w:val="0"/>
              <w:spacing w:before="0" w:after="283"/>
              <w:jc w:val="right"/>
              <w:rPr/>
            </w:pPr>
            <w:r>
              <w:rPr/>
              <w:t>155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71" w:type="dxa"/>
            <w:tcBorders/>
            <w:vAlign w:val="center"/>
          </w:tcPr>
          <w:p>
            <w:pPr>
              <w:pStyle w:val="TableContents"/>
              <w:bidi w:val="0"/>
              <w:spacing w:before="0" w:after="283"/>
              <w:jc w:val="right"/>
              <w:rPr/>
            </w:pPr>
            <w:r>
              <w:rPr/>
              <w:t>66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79" w:type="dxa"/>
            <w:tcBorders/>
            <w:vAlign w:val="center"/>
          </w:tcPr>
          <w:p>
            <w:pPr>
              <w:pStyle w:val="TableContents"/>
              <w:bidi w:val="0"/>
              <w:spacing w:before="0" w:after="283"/>
              <w:jc w:val="right"/>
              <w:rPr/>
            </w:pPr>
            <w:r>
              <w:rPr/>
              <w:t>215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54" w:type="dxa"/>
            <w:tcBorders/>
            <w:vAlign w:val="center"/>
          </w:tcPr>
          <w:p>
            <w:pPr>
              <w:pStyle w:val="TableContents"/>
              <w:bidi w:val="0"/>
              <w:spacing w:before="0" w:after="283"/>
              <w:jc w:val="right"/>
              <w:rPr/>
            </w:pPr>
            <w:r>
              <w:rPr/>
              <w:t>221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80" w:type="dxa"/>
            <w:tcBorders/>
            <w:vAlign w:val="center"/>
          </w:tcPr>
          <w:p>
            <w:pPr>
              <w:pStyle w:val="TableContents"/>
              <w:bidi w:val="0"/>
              <w:spacing w:before="0" w:after="283"/>
              <w:jc w:val="right"/>
              <w:rPr/>
            </w:pPr>
            <w:r>
              <w:rPr/>
              <w:t>494</w:t>
            </w:r>
          </w:p>
        </w:tc>
        <w:tc>
          <w:tcPr>
            <w:tcW w:w="233" w:type="dxa"/>
            <w:tcBorders/>
            <w:vAlign w:val="center"/>
          </w:tcPr>
          <w:p>
            <w:pPr>
              <w:pStyle w:val="TableContents"/>
              <w:bidi w:val="0"/>
              <w:spacing w:before="0" w:after="283"/>
              <w:jc w:val="left"/>
              <w:rPr/>
            </w:pPr>
            <w:r>
              <w:rPr/>
              <w:t> </w:t>
            </w:r>
          </w:p>
        </w:tc>
      </w:tr>
      <w:tr>
        <w:trPr/>
        <w:tc>
          <w:tcPr>
            <w:tcW w:w="2897" w:type="dxa"/>
            <w:tcBorders/>
            <w:shd w:fill="CCEEFF" w:val="clear"/>
            <w:vAlign w:val="center"/>
          </w:tcPr>
          <w:p>
            <w:pPr>
              <w:pStyle w:val="TableContents"/>
              <w:bidi w:val="0"/>
              <w:spacing w:before="0" w:after="283"/>
              <w:jc w:val="left"/>
              <w:rPr/>
            </w:pPr>
            <w:r>
              <w:rPr/>
              <w:t>Less: Capital expenditures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91" w:type="dxa"/>
            <w:tcBorders>
              <w:bottom w:val="single" w:sz="6" w:space="0" w:color="000000"/>
            </w:tcBorders>
            <w:shd w:fill="CCEEFF" w:val="clear"/>
            <w:tcMar>
              <w:bottom w:w="28" w:type="dxa"/>
            </w:tcMar>
            <w:vAlign w:val="center"/>
          </w:tcPr>
          <w:p>
            <w:pPr>
              <w:pStyle w:val="TableContents"/>
              <w:bidi w:val="0"/>
              <w:spacing w:before="0" w:after="283"/>
              <w:jc w:val="right"/>
              <w:rPr/>
            </w:pPr>
            <w:r>
              <w:rPr/>
              <w:t>(95,201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971" w:type="dxa"/>
            <w:tcBorders>
              <w:bottom w:val="single" w:sz="6" w:space="0" w:color="000000"/>
            </w:tcBorders>
            <w:shd w:fill="CCEEFF" w:val="clear"/>
            <w:tcMar>
              <w:bottom w:w="28" w:type="dxa"/>
            </w:tcMar>
            <w:vAlign w:val="center"/>
          </w:tcPr>
          <w:p>
            <w:pPr>
              <w:pStyle w:val="TableContents"/>
              <w:bidi w:val="0"/>
              <w:spacing w:before="0" w:after="283"/>
              <w:jc w:val="right"/>
              <w:rPr/>
            </w:pPr>
            <w:r>
              <w:rPr/>
              <w:t>(110,661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79" w:type="dxa"/>
            <w:tcBorders>
              <w:bottom w:val="single" w:sz="6" w:space="0" w:color="000000"/>
            </w:tcBorders>
            <w:shd w:fill="CCEEFF" w:val="clear"/>
            <w:tcMar>
              <w:bottom w:w="28" w:type="dxa"/>
            </w:tcMar>
            <w:vAlign w:val="center"/>
          </w:tcPr>
          <w:p>
            <w:pPr>
              <w:pStyle w:val="TableContents"/>
              <w:bidi w:val="0"/>
              <w:spacing w:before="0" w:after="283"/>
              <w:jc w:val="right"/>
              <w:rPr/>
            </w:pPr>
            <w:r>
              <w:rPr/>
              <w:t>(64,598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954" w:type="dxa"/>
            <w:tcBorders>
              <w:bottom w:val="single" w:sz="6" w:space="0" w:color="000000"/>
            </w:tcBorders>
            <w:shd w:fill="CCEEFF" w:val="clear"/>
            <w:tcMar>
              <w:bottom w:w="28" w:type="dxa"/>
            </w:tcMar>
            <w:vAlign w:val="center"/>
          </w:tcPr>
          <w:p>
            <w:pPr>
              <w:pStyle w:val="TableContents"/>
              <w:bidi w:val="0"/>
              <w:spacing w:before="0" w:after="283"/>
              <w:jc w:val="right"/>
              <w:rPr/>
            </w:pPr>
            <w:r>
              <w:rPr/>
              <w:t>(205,862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980" w:type="dxa"/>
            <w:tcBorders>
              <w:bottom w:val="single" w:sz="6" w:space="0" w:color="000000"/>
            </w:tcBorders>
            <w:shd w:fill="CCEEFF" w:val="clear"/>
            <w:tcMar>
              <w:bottom w:w="28" w:type="dxa"/>
            </w:tcMar>
            <w:vAlign w:val="center"/>
          </w:tcPr>
          <w:p>
            <w:pPr>
              <w:pStyle w:val="TableContents"/>
              <w:bidi w:val="0"/>
              <w:spacing w:before="0" w:after="283"/>
              <w:jc w:val="right"/>
              <w:rPr/>
            </w:pPr>
            <w:r>
              <w:rPr/>
              <w:t>(126,167</w:t>
            </w:r>
          </w:p>
        </w:tc>
        <w:tc>
          <w:tcPr>
            <w:tcW w:w="233" w:type="dxa"/>
            <w:tcBorders/>
            <w:shd w:fill="CCEEFF" w:val="clear"/>
            <w:vAlign w:val="center"/>
          </w:tcPr>
          <w:p>
            <w:pPr>
              <w:pStyle w:val="TableContents"/>
              <w:bidi w:val="0"/>
              <w:spacing w:before="0" w:after="283"/>
              <w:jc w:val="left"/>
              <w:rPr/>
            </w:pPr>
            <w:r>
              <w:rPr/>
              <w:t>) </w:t>
            </w:r>
          </w:p>
        </w:tc>
      </w:tr>
      <w:tr>
        <w:trPr/>
        <w:tc>
          <w:tcPr>
            <w:tcW w:w="2897" w:type="dxa"/>
            <w:tcBorders/>
            <w:vAlign w:val="center"/>
          </w:tcPr>
          <w:p>
            <w:pPr>
              <w:pStyle w:val="TableContents"/>
              <w:bidi w:val="0"/>
              <w:spacing w:before="0" w:after="283"/>
              <w:jc w:val="left"/>
              <w:rPr/>
            </w:pPr>
            <w:r>
              <w:rPr/>
              <w:t>Free cash</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891" w:type="dxa"/>
            <w:tcBorders>
              <w:bottom w:val="double" w:sz="6" w:space="0" w:color="000000"/>
            </w:tcBorders>
            <w:tcMar>
              <w:bottom w:w="28" w:type="dxa"/>
            </w:tcMar>
            <w:vAlign w:val="center"/>
          </w:tcPr>
          <w:p>
            <w:pPr>
              <w:pStyle w:val="TableContents"/>
              <w:bidi w:val="0"/>
              <w:spacing w:before="0" w:after="283"/>
              <w:jc w:val="right"/>
              <w:rPr/>
            </w:pPr>
            <w:r>
              <w:rPr/>
              <w:t>10,313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971" w:type="dxa"/>
            <w:tcBorders>
              <w:bottom w:val="double" w:sz="6" w:space="0" w:color="000000"/>
            </w:tcBorders>
            <w:tcMar>
              <w:bottom w:w="28" w:type="dxa"/>
            </w:tcMar>
            <w:vAlign w:val="center"/>
          </w:tcPr>
          <w:p>
            <w:pPr>
              <w:pStyle w:val="TableContents"/>
              <w:bidi w:val="0"/>
              <w:spacing w:before="0" w:after="283"/>
              <w:jc w:val="right"/>
              <w:rPr/>
            </w:pPr>
            <w:r>
              <w:rPr/>
              <w:t>(46,926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879" w:type="dxa"/>
            <w:tcBorders>
              <w:bottom w:val="double" w:sz="6" w:space="0" w:color="000000"/>
            </w:tcBorders>
            <w:tcMar>
              <w:bottom w:w="28" w:type="dxa"/>
            </w:tcMar>
            <w:vAlign w:val="center"/>
          </w:tcPr>
          <w:p>
            <w:pPr>
              <w:pStyle w:val="TableContents"/>
              <w:bidi w:val="0"/>
              <w:spacing w:before="0" w:after="283"/>
              <w:jc w:val="right"/>
              <w:rPr/>
            </w:pPr>
            <w:r>
              <w:rPr/>
              <w:t>(73,174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954" w:type="dxa"/>
            <w:tcBorders>
              <w:bottom w:val="double" w:sz="6" w:space="0" w:color="000000"/>
            </w:tcBorders>
            <w:tcMar>
              <w:bottom w:w="28" w:type="dxa"/>
            </w:tcMar>
            <w:vAlign w:val="center"/>
          </w:tcPr>
          <w:p>
            <w:pPr>
              <w:pStyle w:val="TableContents"/>
              <w:bidi w:val="0"/>
              <w:spacing w:before="0" w:after="283"/>
              <w:jc w:val="right"/>
              <w:rPr/>
            </w:pPr>
            <w:r>
              <w:rPr/>
              <w:t>(36,613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980" w:type="dxa"/>
            <w:tcBorders>
              <w:bottom w:val="double" w:sz="6" w:space="0" w:color="000000"/>
            </w:tcBorders>
            <w:tcMar>
              <w:bottom w:w="28" w:type="dxa"/>
            </w:tcMar>
            <w:vAlign w:val="center"/>
          </w:tcPr>
          <w:p>
            <w:pPr>
              <w:pStyle w:val="TableContents"/>
              <w:bidi w:val="0"/>
              <w:spacing w:before="0" w:after="283"/>
              <w:jc w:val="right"/>
              <w:rPr/>
            </w:pPr>
            <w:r>
              <w:rPr/>
              <w:t>(118,366</w:t>
            </w:r>
          </w:p>
        </w:tc>
        <w:tc>
          <w:tcPr>
            <w:tcW w:w="233" w:type="dxa"/>
            <w:tcBorders/>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10</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902"/>
        <w:gridCol w:w="90"/>
        <w:gridCol w:w="170"/>
        <w:gridCol w:w="889"/>
        <w:gridCol w:w="245"/>
        <w:gridCol w:w="90"/>
        <w:gridCol w:w="90"/>
        <w:gridCol w:w="170"/>
        <w:gridCol w:w="803"/>
        <w:gridCol w:w="245"/>
        <w:gridCol w:w="90"/>
        <w:gridCol w:w="90"/>
        <w:gridCol w:w="170"/>
        <w:gridCol w:w="876"/>
        <w:gridCol w:w="245"/>
        <w:gridCol w:w="90"/>
        <w:gridCol w:w="90"/>
        <w:gridCol w:w="170"/>
        <w:gridCol w:w="889"/>
        <w:gridCol w:w="245"/>
        <w:gridCol w:w="90"/>
        <w:gridCol w:w="90"/>
        <w:gridCol w:w="170"/>
        <w:gridCol w:w="914"/>
        <w:gridCol w:w="292"/>
      </w:tblGrid>
      <w:tr>
        <w:trPr/>
        <w:tc>
          <w:tcPr>
            <w:tcW w:w="2902" w:type="dxa"/>
            <w:tcBorders/>
            <w:vAlign w:val="center"/>
          </w:tcPr>
          <w:p>
            <w:pPr>
              <w:pStyle w:val="TableContents"/>
              <w:bidi w:val="0"/>
              <w:spacing w:before="0" w:after="283"/>
              <w:jc w:val="left"/>
              <w:rPr/>
            </w:pPr>
            <w:r>
              <w:rPr/>
              <w:t xml:space="preserve">VISHAY INTERTECHNOLOGY, INC.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2902" w:type="dxa"/>
            <w:tcBorders/>
            <w:vAlign w:val="center"/>
          </w:tcPr>
          <w:p>
            <w:pPr>
              <w:pStyle w:val="TableContents"/>
              <w:bidi w:val="0"/>
              <w:spacing w:before="0" w:after="283"/>
              <w:jc w:val="left"/>
              <w:rPr/>
            </w:pPr>
            <w:r>
              <w:rPr/>
              <w:t>Reconciliation of EBITDA and Adjusted EBITDA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2902" w:type="dxa"/>
            <w:tcBorders/>
            <w:vAlign w:val="center"/>
          </w:tcPr>
          <w:p>
            <w:pPr>
              <w:pStyle w:val="TableContents"/>
              <w:bidi w:val="0"/>
              <w:spacing w:before="0" w:after="283"/>
              <w:jc w:val="left"/>
              <w:rPr/>
            </w:pPr>
            <w:r>
              <w:rPr/>
              <w:t>(Unaudited - In thousands)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2902" w:type="dxa"/>
            <w:tcBorders/>
            <w:vAlign w:val="center"/>
          </w:tcPr>
          <w:p>
            <w:pPr>
              <w:pStyle w:val="TableContents"/>
              <w:bidi w:val="0"/>
              <w:spacing w:before="0" w:after="283"/>
              <w:jc w:val="left"/>
              <w:rPr/>
            </w:pPr>
            <w:r>
              <w:rPr/>
              <w:t> </w:t>
            </w:r>
          </w:p>
        </w:tc>
        <w:tc>
          <w:tcPr>
            <w:tcW w:w="4263" w:type="dxa"/>
            <w:gridSpan w:val="14"/>
            <w:tcBorders/>
            <w:vAlign w:val="center"/>
          </w:tcPr>
          <w:p>
            <w:pPr>
              <w:pStyle w:val="TableContents"/>
              <w:bidi w:val="0"/>
              <w:spacing w:before="0" w:after="283"/>
              <w:jc w:val="center"/>
              <w:rPr/>
            </w:pPr>
            <w:r>
              <w:rPr/>
              <w:t>Fiscal quarters ended</w:t>
            </w:r>
          </w:p>
        </w:tc>
        <w:tc>
          <w:tcPr>
            <w:tcW w:w="90" w:type="dxa"/>
            <w:tcBorders/>
            <w:vAlign w:val="center"/>
          </w:tcPr>
          <w:p>
            <w:pPr>
              <w:pStyle w:val="TableContents"/>
              <w:bidi w:val="0"/>
              <w:spacing w:before="0" w:after="283"/>
              <w:jc w:val="left"/>
              <w:rPr/>
            </w:pPr>
            <w:r>
              <w:rPr/>
              <w:t> </w:t>
            </w:r>
          </w:p>
        </w:tc>
        <w:tc>
          <w:tcPr>
            <w:tcW w:w="2950" w:type="dxa"/>
            <w:gridSpan w:val="9"/>
            <w:tcBorders/>
            <w:vAlign w:val="center"/>
          </w:tcPr>
          <w:p>
            <w:pPr>
              <w:pStyle w:val="TableContents"/>
              <w:bidi w:val="0"/>
              <w:spacing w:before="0" w:after="283"/>
              <w:jc w:val="center"/>
              <w:rPr/>
            </w:pPr>
            <w:r>
              <w:rPr/>
              <w:t>Six fiscal months ended</w:t>
            </w:r>
          </w:p>
        </w:tc>
      </w:tr>
      <w:tr>
        <w:trPr/>
        <w:tc>
          <w:tcPr>
            <w:tcW w:w="29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89" w:type="dxa"/>
            <w:tcBorders>
              <w:bottom w:val="single" w:sz="6" w:space="0" w:color="000000"/>
            </w:tcBorders>
            <w:tcMar>
              <w:bottom w:w="28" w:type="dxa"/>
            </w:tcMar>
            <w:vAlign w:val="center"/>
          </w:tcPr>
          <w:p>
            <w:pPr>
              <w:pStyle w:val="TableContents"/>
              <w:bidi w:val="0"/>
              <w:spacing w:before="0" w:after="283"/>
              <w:jc w:val="center"/>
              <w:rPr/>
            </w:pPr>
            <w:r>
              <w:rPr/>
              <w:t>July 4, 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03" w:type="dxa"/>
            <w:tcBorders>
              <w:bottom w:val="single" w:sz="6" w:space="0" w:color="000000"/>
            </w:tcBorders>
            <w:tcMar>
              <w:bottom w:w="28" w:type="dxa"/>
            </w:tcMar>
            <w:vAlign w:val="center"/>
          </w:tcPr>
          <w:p>
            <w:pPr>
              <w:pStyle w:val="TableContents"/>
              <w:bidi w:val="0"/>
              <w:spacing w:before="0" w:after="283"/>
              <w:jc w:val="center"/>
              <w:rPr/>
            </w:pPr>
            <w:r>
              <w:rPr/>
              <w:t>April 4, 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76" w:type="dxa"/>
            <w:tcBorders>
              <w:bottom w:val="single" w:sz="6" w:space="0" w:color="000000"/>
            </w:tcBorders>
            <w:tcMar>
              <w:bottom w:w="28" w:type="dxa"/>
            </w:tcMar>
            <w:vAlign w:val="center"/>
          </w:tcPr>
          <w:p>
            <w:pPr>
              <w:pStyle w:val="TableContents"/>
              <w:bidi w:val="0"/>
              <w:spacing w:before="0" w:after="283"/>
              <w:jc w:val="center"/>
              <w:rPr/>
            </w:pPr>
            <w:r>
              <w:rPr/>
              <w:t>June 28, 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89" w:type="dxa"/>
            <w:tcBorders>
              <w:bottom w:val="single" w:sz="6" w:space="0" w:color="000000"/>
            </w:tcBorders>
            <w:tcMar>
              <w:bottom w:w="28" w:type="dxa"/>
            </w:tcMar>
            <w:vAlign w:val="center"/>
          </w:tcPr>
          <w:p>
            <w:pPr>
              <w:pStyle w:val="TableContents"/>
              <w:bidi w:val="0"/>
              <w:spacing w:before="0" w:after="283"/>
              <w:jc w:val="center"/>
              <w:rPr/>
            </w:pPr>
            <w:r>
              <w:rPr/>
              <w:t>July 4, 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14" w:type="dxa"/>
            <w:tcBorders>
              <w:bottom w:val="single" w:sz="6" w:space="0" w:color="000000"/>
            </w:tcBorders>
            <w:tcMar>
              <w:bottom w:w="28" w:type="dxa"/>
            </w:tcMar>
            <w:vAlign w:val="center"/>
          </w:tcPr>
          <w:p>
            <w:pPr>
              <w:pStyle w:val="TableContents"/>
              <w:bidi w:val="0"/>
              <w:spacing w:before="0" w:after="283"/>
              <w:jc w:val="center"/>
              <w:rPr/>
            </w:pPr>
            <w:r>
              <w:rPr/>
              <w:t>June 28, 2025</w:t>
            </w:r>
          </w:p>
        </w:tc>
        <w:tc>
          <w:tcPr>
            <w:tcW w:w="292" w:type="dxa"/>
            <w:tcBorders/>
            <w:vAlign w:val="center"/>
          </w:tcPr>
          <w:p>
            <w:pPr>
              <w:pStyle w:val="TableContents"/>
              <w:bidi w:val="0"/>
              <w:spacing w:before="0" w:after="283"/>
              <w:jc w:val="left"/>
              <w:rPr/>
            </w:pPr>
            <w:r>
              <w:rPr/>
              <w:t> </w:t>
            </w:r>
          </w:p>
        </w:tc>
      </w:tr>
      <w:tr>
        <w:trPr/>
        <w:tc>
          <w:tcPr>
            <w:tcW w:w="290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2902" w:type="dxa"/>
            <w:tcBorders/>
            <w:vAlign w:val="center"/>
          </w:tcPr>
          <w:p>
            <w:pPr>
              <w:pStyle w:val="TableContents"/>
              <w:bidi w:val="0"/>
              <w:spacing w:before="0" w:after="283"/>
              <w:jc w:val="left"/>
              <w:rPr/>
            </w:pPr>
            <w:r>
              <w:rPr/>
              <w:t>Net earnings (loss)</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9" w:type="dxa"/>
            <w:tcBorders/>
            <w:vAlign w:val="center"/>
          </w:tcPr>
          <w:p>
            <w:pPr>
              <w:pStyle w:val="TableContents"/>
              <w:bidi w:val="0"/>
              <w:spacing w:before="0" w:after="283"/>
              <w:jc w:val="right"/>
              <w:rPr/>
            </w:pPr>
            <w:r>
              <w:rPr/>
              <w:t>28,124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right"/>
              <w:rPr/>
            </w:pPr>
            <w:r>
              <w:rPr/>
              <w:t>7,164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6" w:type="dxa"/>
            <w:tcBorders/>
            <w:vAlign w:val="center"/>
          </w:tcPr>
          <w:p>
            <w:pPr>
              <w:pStyle w:val="TableContents"/>
              <w:bidi w:val="0"/>
              <w:spacing w:before="0" w:after="283"/>
              <w:jc w:val="right"/>
              <w:rPr/>
            </w:pPr>
            <w:r>
              <w:rPr/>
              <w:t>2,004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9" w:type="dxa"/>
            <w:tcBorders/>
            <w:vAlign w:val="center"/>
          </w:tcPr>
          <w:p>
            <w:pPr>
              <w:pStyle w:val="TableContents"/>
              <w:bidi w:val="0"/>
              <w:spacing w:before="0" w:after="283"/>
              <w:jc w:val="right"/>
              <w:rPr/>
            </w:pPr>
            <w:r>
              <w:rPr/>
              <w:t>35,288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 w:type="dxa"/>
            <w:tcBorders/>
            <w:vAlign w:val="center"/>
          </w:tcPr>
          <w:p>
            <w:pPr>
              <w:pStyle w:val="TableContents"/>
              <w:bidi w:val="0"/>
              <w:spacing w:before="0" w:after="283"/>
              <w:jc w:val="right"/>
              <w:rPr/>
            </w:pPr>
            <w:r>
              <w:rPr/>
              <w:t>(2,088</w:t>
            </w:r>
          </w:p>
        </w:tc>
        <w:tc>
          <w:tcPr>
            <w:tcW w:w="292" w:type="dxa"/>
            <w:tcBorders/>
            <w:vAlign w:val="center"/>
          </w:tcPr>
          <w:p>
            <w:pPr>
              <w:pStyle w:val="TableContents"/>
              <w:bidi w:val="0"/>
              <w:spacing w:before="0" w:after="283"/>
              <w:jc w:val="left"/>
              <w:rPr/>
            </w:pPr>
            <w:r>
              <w:rPr/>
              <w:t>) </w:t>
            </w:r>
          </w:p>
        </w:tc>
      </w:tr>
      <w:tr>
        <w:trPr/>
        <w:tc>
          <w:tcPr>
            <w:tcW w:w="29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r>
      <w:tr>
        <w:trPr/>
        <w:tc>
          <w:tcPr>
            <w:tcW w:w="2902"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89" w:type="dxa"/>
            <w:tcBorders/>
            <w:vAlign w:val="center"/>
          </w:tcPr>
          <w:p>
            <w:pPr>
              <w:pStyle w:val="TableContents"/>
              <w:bidi w:val="0"/>
              <w:spacing w:before="0" w:after="283"/>
              <w:jc w:val="right"/>
              <w:rPr/>
            </w:pPr>
            <w:r>
              <w:rPr/>
              <w:t>10,333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03" w:type="dxa"/>
            <w:tcBorders/>
            <w:vAlign w:val="center"/>
          </w:tcPr>
          <w:p>
            <w:pPr>
              <w:pStyle w:val="TableContents"/>
              <w:bidi w:val="0"/>
              <w:spacing w:before="0" w:after="283"/>
              <w:jc w:val="right"/>
              <w:rPr/>
            </w:pPr>
            <w:r>
              <w:rPr/>
              <w:t>9,973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76" w:type="dxa"/>
            <w:tcBorders/>
            <w:vAlign w:val="center"/>
          </w:tcPr>
          <w:p>
            <w:pPr>
              <w:pStyle w:val="TableContents"/>
              <w:bidi w:val="0"/>
              <w:spacing w:before="0" w:after="283"/>
              <w:jc w:val="right"/>
              <w:rPr/>
            </w:pPr>
            <w:r>
              <w:rPr/>
              <w:t>10,588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89" w:type="dxa"/>
            <w:tcBorders/>
            <w:vAlign w:val="center"/>
          </w:tcPr>
          <w:p>
            <w:pPr>
              <w:pStyle w:val="TableContents"/>
              <w:bidi w:val="0"/>
              <w:spacing w:before="0" w:after="283"/>
              <w:jc w:val="right"/>
              <w:rPr/>
            </w:pPr>
            <w:r>
              <w:rPr/>
              <w:t>20,306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19,378</w:t>
            </w:r>
          </w:p>
        </w:tc>
        <w:tc>
          <w:tcPr>
            <w:tcW w:w="292" w:type="dxa"/>
            <w:tcBorders/>
            <w:vAlign w:val="center"/>
          </w:tcPr>
          <w:p>
            <w:pPr>
              <w:pStyle w:val="TableContents"/>
              <w:bidi w:val="0"/>
              <w:spacing w:before="0" w:after="283"/>
              <w:jc w:val="left"/>
              <w:rPr/>
            </w:pPr>
            <w:r>
              <w:rPr/>
              <w:t> </w:t>
            </w:r>
          </w:p>
        </w:tc>
      </w:tr>
      <w:tr>
        <w:trPr/>
        <w:tc>
          <w:tcPr>
            <w:tcW w:w="2902"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89" w:type="dxa"/>
            <w:tcBorders/>
            <w:shd w:fill="CCEEFF" w:val="clear"/>
            <w:vAlign w:val="center"/>
          </w:tcPr>
          <w:p>
            <w:pPr>
              <w:pStyle w:val="TableContents"/>
              <w:bidi w:val="0"/>
              <w:spacing w:before="0" w:after="283"/>
              <w:jc w:val="right"/>
              <w:rPr/>
            </w:pPr>
            <w:r>
              <w:rPr/>
              <w:t>(4,088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03" w:type="dxa"/>
            <w:tcBorders/>
            <w:shd w:fill="CCEEFF" w:val="clear"/>
            <w:vAlign w:val="center"/>
          </w:tcPr>
          <w:p>
            <w:pPr>
              <w:pStyle w:val="TableContents"/>
              <w:bidi w:val="0"/>
              <w:spacing w:before="0" w:after="283"/>
              <w:jc w:val="right"/>
              <w:rPr/>
            </w:pPr>
            <w:r>
              <w:rPr/>
              <w:t>(3,038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76" w:type="dxa"/>
            <w:tcBorders/>
            <w:shd w:fill="CCEEFF" w:val="clear"/>
            <w:vAlign w:val="center"/>
          </w:tcPr>
          <w:p>
            <w:pPr>
              <w:pStyle w:val="TableContents"/>
              <w:bidi w:val="0"/>
              <w:spacing w:before="0" w:after="283"/>
              <w:jc w:val="right"/>
              <w:rPr/>
            </w:pPr>
            <w:r>
              <w:rPr/>
              <w:t>(4,023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89" w:type="dxa"/>
            <w:tcBorders/>
            <w:shd w:fill="CCEEFF" w:val="clear"/>
            <w:vAlign w:val="center"/>
          </w:tcPr>
          <w:p>
            <w:pPr>
              <w:pStyle w:val="TableContents"/>
              <w:bidi w:val="0"/>
              <w:spacing w:before="0" w:after="283"/>
              <w:jc w:val="right"/>
              <w:rPr/>
            </w:pPr>
            <w:r>
              <w:rPr/>
              <w:t>(7,126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914" w:type="dxa"/>
            <w:tcBorders/>
            <w:shd w:fill="CCEEFF" w:val="clear"/>
            <w:vAlign w:val="center"/>
          </w:tcPr>
          <w:p>
            <w:pPr>
              <w:pStyle w:val="TableContents"/>
              <w:bidi w:val="0"/>
              <w:spacing w:before="0" w:after="283"/>
              <w:jc w:val="right"/>
              <w:rPr/>
            </w:pPr>
            <w:r>
              <w:rPr/>
              <w:t>(7,900</w:t>
            </w:r>
          </w:p>
        </w:tc>
        <w:tc>
          <w:tcPr>
            <w:tcW w:w="292" w:type="dxa"/>
            <w:tcBorders/>
            <w:shd w:fill="CCEEFF" w:val="clear"/>
            <w:vAlign w:val="center"/>
          </w:tcPr>
          <w:p>
            <w:pPr>
              <w:pStyle w:val="TableContents"/>
              <w:bidi w:val="0"/>
              <w:spacing w:before="0" w:after="283"/>
              <w:jc w:val="left"/>
              <w:rPr/>
            </w:pPr>
            <w:r>
              <w:rPr/>
              <w:t>) </w:t>
            </w:r>
          </w:p>
        </w:tc>
      </w:tr>
      <w:tr>
        <w:trPr/>
        <w:tc>
          <w:tcPr>
            <w:tcW w:w="2902" w:type="dxa"/>
            <w:tcBorders/>
            <w:vAlign w:val="center"/>
          </w:tcPr>
          <w:p>
            <w:pPr>
              <w:pStyle w:val="TableContents"/>
              <w:bidi w:val="0"/>
              <w:spacing w:before="0" w:after="283"/>
              <w:jc w:val="left"/>
              <w:rPr/>
            </w:pPr>
            <w:r>
              <w:rPr/>
              <w:t>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89" w:type="dxa"/>
            <w:tcBorders/>
            <w:vAlign w:val="center"/>
          </w:tcPr>
          <w:p>
            <w:pPr>
              <w:pStyle w:val="TableContents"/>
              <w:bidi w:val="0"/>
              <w:spacing w:before="0" w:after="283"/>
              <w:jc w:val="right"/>
              <w:rPr/>
            </w:pPr>
            <w:r>
              <w:rPr/>
              <w:t>14,275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03" w:type="dxa"/>
            <w:tcBorders/>
            <w:vAlign w:val="center"/>
          </w:tcPr>
          <w:p>
            <w:pPr>
              <w:pStyle w:val="TableContents"/>
              <w:bidi w:val="0"/>
              <w:spacing w:before="0" w:after="283"/>
              <w:jc w:val="right"/>
              <w:rPr/>
            </w:pPr>
            <w:r>
              <w:rPr/>
              <w:t>5,688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76" w:type="dxa"/>
            <w:tcBorders/>
            <w:vAlign w:val="center"/>
          </w:tcPr>
          <w:p>
            <w:pPr>
              <w:pStyle w:val="TableContents"/>
              <w:bidi w:val="0"/>
              <w:spacing w:before="0" w:after="283"/>
              <w:jc w:val="right"/>
              <w:rPr/>
            </w:pPr>
            <w:r>
              <w:rPr/>
              <w:t>10,273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89" w:type="dxa"/>
            <w:tcBorders/>
            <w:vAlign w:val="center"/>
          </w:tcPr>
          <w:p>
            <w:pPr>
              <w:pStyle w:val="TableContents"/>
              <w:bidi w:val="0"/>
              <w:spacing w:before="0" w:after="283"/>
              <w:jc w:val="right"/>
              <w:rPr/>
            </w:pPr>
            <w:r>
              <w:rPr/>
              <w:t>19,963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10,137</w:t>
            </w:r>
          </w:p>
        </w:tc>
        <w:tc>
          <w:tcPr>
            <w:tcW w:w="292" w:type="dxa"/>
            <w:tcBorders/>
            <w:vAlign w:val="center"/>
          </w:tcPr>
          <w:p>
            <w:pPr>
              <w:pStyle w:val="TableContents"/>
              <w:bidi w:val="0"/>
              <w:spacing w:before="0" w:after="283"/>
              <w:jc w:val="left"/>
              <w:rPr/>
            </w:pPr>
            <w:r>
              <w:rPr/>
              <w:t> </w:t>
            </w:r>
          </w:p>
        </w:tc>
      </w:tr>
      <w:tr>
        <w:trPr/>
        <w:tc>
          <w:tcPr>
            <w:tcW w:w="2902"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89" w:type="dxa"/>
            <w:tcBorders>
              <w:bottom w:val="single" w:sz="6" w:space="0" w:color="000000"/>
            </w:tcBorders>
            <w:shd w:fill="CCEEFF" w:val="clear"/>
            <w:tcMar>
              <w:bottom w:w="28" w:type="dxa"/>
            </w:tcMar>
            <w:vAlign w:val="center"/>
          </w:tcPr>
          <w:p>
            <w:pPr>
              <w:pStyle w:val="TableContents"/>
              <w:bidi w:val="0"/>
              <w:spacing w:before="0" w:after="283"/>
              <w:jc w:val="right"/>
              <w:rPr/>
            </w:pPr>
            <w:r>
              <w:rPr/>
              <w:t>56,117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03" w:type="dxa"/>
            <w:tcBorders>
              <w:bottom w:val="single" w:sz="6" w:space="0" w:color="000000"/>
            </w:tcBorders>
            <w:shd w:fill="CCEEFF" w:val="clear"/>
            <w:tcMar>
              <w:bottom w:w="28" w:type="dxa"/>
            </w:tcMar>
            <w:vAlign w:val="center"/>
          </w:tcPr>
          <w:p>
            <w:pPr>
              <w:pStyle w:val="TableContents"/>
              <w:bidi w:val="0"/>
              <w:spacing w:before="0" w:after="283"/>
              <w:jc w:val="right"/>
              <w:rPr/>
            </w:pPr>
            <w:r>
              <w:rPr/>
              <w:t>58,211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76" w:type="dxa"/>
            <w:tcBorders>
              <w:bottom w:val="single" w:sz="6" w:space="0" w:color="000000"/>
            </w:tcBorders>
            <w:shd w:fill="CCEEFF" w:val="clear"/>
            <w:tcMar>
              <w:bottom w:w="28" w:type="dxa"/>
            </w:tcMar>
            <w:vAlign w:val="center"/>
          </w:tcPr>
          <w:p>
            <w:pPr>
              <w:pStyle w:val="TableContents"/>
              <w:bidi w:val="0"/>
              <w:spacing w:before="0" w:after="283"/>
              <w:jc w:val="right"/>
              <w:rPr/>
            </w:pPr>
            <w:r>
              <w:rPr/>
              <w:t>55,970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89" w:type="dxa"/>
            <w:tcBorders>
              <w:bottom w:val="single" w:sz="6" w:space="0" w:color="000000"/>
            </w:tcBorders>
            <w:shd w:fill="CCEEFF" w:val="clear"/>
            <w:tcMar>
              <w:bottom w:w="28" w:type="dxa"/>
            </w:tcMar>
            <w:vAlign w:val="center"/>
          </w:tcPr>
          <w:p>
            <w:pPr>
              <w:pStyle w:val="TableContents"/>
              <w:bidi w:val="0"/>
              <w:spacing w:before="0" w:after="283"/>
              <w:jc w:val="right"/>
              <w:rPr/>
            </w:pPr>
            <w:r>
              <w:rPr/>
              <w:t>114,328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914" w:type="dxa"/>
            <w:tcBorders>
              <w:bottom w:val="single" w:sz="6" w:space="0" w:color="000000"/>
            </w:tcBorders>
            <w:shd w:fill="CCEEFF" w:val="clear"/>
            <w:tcMar>
              <w:bottom w:w="28" w:type="dxa"/>
            </w:tcMar>
            <w:vAlign w:val="center"/>
          </w:tcPr>
          <w:p>
            <w:pPr>
              <w:pStyle w:val="TableContents"/>
              <w:bidi w:val="0"/>
              <w:spacing w:before="0" w:after="283"/>
              <w:jc w:val="right"/>
              <w:rPr/>
            </w:pPr>
            <w:r>
              <w:rPr/>
              <w:t>109,743</w:t>
            </w:r>
          </w:p>
        </w:tc>
        <w:tc>
          <w:tcPr>
            <w:tcW w:w="292" w:type="dxa"/>
            <w:tcBorders/>
            <w:shd w:fill="CCEEFF" w:val="clear"/>
            <w:vAlign w:val="center"/>
          </w:tcPr>
          <w:p>
            <w:pPr>
              <w:pStyle w:val="TableContents"/>
              <w:bidi w:val="0"/>
              <w:spacing w:before="0" w:after="283"/>
              <w:jc w:val="left"/>
              <w:rPr/>
            </w:pPr>
            <w:r>
              <w:rPr/>
              <w:t> </w:t>
            </w:r>
          </w:p>
        </w:tc>
      </w:tr>
      <w:tr>
        <w:trPr/>
        <w:tc>
          <w:tcPr>
            <w:tcW w:w="2902" w:type="dxa"/>
            <w:tcBorders/>
            <w:vAlign w:val="center"/>
          </w:tcPr>
          <w:p>
            <w:pPr>
              <w:pStyle w:val="TableContents"/>
              <w:bidi w:val="0"/>
              <w:spacing w:before="0" w:after="283"/>
              <w:jc w:val="left"/>
              <w:rPr/>
            </w:pPr>
            <w:r>
              <w:rPr/>
              <w:t>EBITDA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9" w:type="dxa"/>
            <w:tcBorders/>
            <w:vAlign w:val="center"/>
          </w:tcPr>
          <w:p>
            <w:pPr>
              <w:pStyle w:val="TableContents"/>
              <w:bidi w:val="0"/>
              <w:spacing w:before="0" w:after="283"/>
              <w:jc w:val="right"/>
              <w:rPr/>
            </w:pPr>
            <w:r>
              <w:rPr/>
              <w:t>104,761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right"/>
              <w:rPr/>
            </w:pPr>
            <w:r>
              <w:rPr/>
              <w:t>77,998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6" w:type="dxa"/>
            <w:tcBorders/>
            <w:vAlign w:val="center"/>
          </w:tcPr>
          <w:p>
            <w:pPr>
              <w:pStyle w:val="TableContents"/>
              <w:bidi w:val="0"/>
              <w:spacing w:before="0" w:after="283"/>
              <w:jc w:val="right"/>
              <w:rPr/>
            </w:pPr>
            <w:r>
              <w:rPr/>
              <w:t>74,812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9" w:type="dxa"/>
            <w:tcBorders/>
            <w:vAlign w:val="center"/>
          </w:tcPr>
          <w:p>
            <w:pPr>
              <w:pStyle w:val="TableContents"/>
              <w:bidi w:val="0"/>
              <w:spacing w:before="0" w:after="283"/>
              <w:jc w:val="right"/>
              <w:rPr/>
            </w:pPr>
            <w:r>
              <w:rPr/>
              <w:t>182,759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4" w:type="dxa"/>
            <w:tcBorders/>
            <w:vAlign w:val="center"/>
          </w:tcPr>
          <w:p>
            <w:pPr>
              <w:pStyle w:val="TableContents"/>
              <w:bidi w:val="0"/>
              <w:spacing w:before="0" w:after="283"/>
              <w:jc w:val="right"/>
              <w:rPr/>
            </w:pPr>
            <w:r>
              <w:rPr/>
              <w:t>129,270</w:t>
            </w:r>
          </w:p>
        </w:tc>
        <w:tc>
          <w:tcPr>
            <w:tcW w:w="292" w:type="dxa"/>
            <w:tcBorders/>
            <w:vAlign w:val="center"/>
          </w:tcPr>
          <w:p>
            <w:pPr>
              <w:pStyle w:val="TableContents"/>
              <w:bidi w:val="0"/>
              <w:spacing w:before="0" w:after="283"/>
              <w:jc w:val="left"/>
              <w:rPr/>
            </w:pPr>
            <w:r>
              <w:rPr/>
              <w:t> </w:t>
            </w:r>
          </w:p>
        </w:tc>
      </w:tr>
      <w:tr>
        <w:trPr/>
        <w:tc>
          <w:tcPr>
            <w:tcW w:w="29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r>
      <w:tr>
        <w:trPr/>
        <w:tc>
          <w:tcPr>
            <w:tcW w:w="2902" w:type="dxa"/>
            <w:tcBorders/>
            <w:vAlign w:val="center"/>
          </w:tcPr>
          <w:p>
            <w:pPr>
              <w:pStyle w:val="TableContents"/>
              <w:bidi w:val="0"/>
              <w:spacing w:before="0" w:after="283"/>
              <w:jc w:val="left"/>
              <w:rPr>
                <w:u w:val="single"/>
              </w:rPr>
            </w:pPr>
            <w:r>
              <w:rPr>
                <w:u w:val="single"/>
              </w:rPr>
              <w:t>Reconciling items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2902" w:type="dxa"/>
            <w:tcBorders/>
            <w:shd w:fill="CCEEFF" w:val="clear"/>
            <w:vAlign w:val="center"/>
          </w:tcPr>
          <w:p>
            <w:pPr>
              <w:pStyle w:val="TableContents"/>
              <w:bidi w:val="0"/>
              <w:spacing w:before="0" w:after="283"/>
              <w:jc w:val="left"/>
              <w:rPr/>
            </w:pPr>
            <w:r>
              <w:rPr/>
              <w:t>Tariff refunds passed through to customers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89" w:type="dxa"/>
            <w:tcBorders/>
            <w:shd w:fill="CCEEFF" w:val="clear"/>
            <w:vAlign w:val="center"/>
          </w:tcPr>
          <w:p>
            <w:pPr>
              <w:pStyle w:val="TableContents"/>
              <w:bidi w:val="0"/>
              <w:spacing w:before="0" w:after="283"/>
              <w:jc w:val="right"/>
              <w:rPr/>
            </w:pPr>
            <w:r>
              <w:rPr/>
              <w:t>30,008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03"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76"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89" w:type="dxa"/>
            <w:tcBorders/>
            <w:shd w:fill="CCEEFF" w:val="clear"/>
            <w:vAlign w:val="center"/>
          </w:tcPr>
          <w:p>
            <w:pPr>
              <w:pStyle w:val="TableContents"/>
              <w:bidi w:val="0"/>
              <w:spacing w:before="0" w:after="283"/>
              <w:jc w:val="right"/>
              <w:rPr/>
            </w:pPr>
            <w:r>
              <w:rPr/>
              <w:t>30,008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914" w:type="dxa"/>
            <w:tcBorders/>
            <w:shd w:fill="CCEEFF" w:val="clear"/>
            <w:vAlign w:val="center"/>
          </w:tcPr>
          <w:p>
            <w:pPr>
              <w:pStyle w:val="TableContents"/>
              <w:bidi w:val="0"/>
              <w:spacing w:before="0" w:after="283"/>
              <w:jc w:val="right"/>
              <w:rPr/>
            </w:pPr>
            <w:r>
              <w:rPr/>
              <w:t>-</w:t>
            </w:r>
          </w:p>
        </w:tc>
        <w:tc>
          <w:tcPr>
            <w:tcW w:w="292" w:type="dxa"/>
            <w:tcBorders/>
            <w:shd w:fill="CCEEFF" w:val="clear"/>
            <w:vAlign w:val="center"/>
          </w:tcPr>
          <w:p>
            <w:pPr>
              <w:pStyle w:val="TableContents"/>
              <w:bidi w:val="0"/>
              <w:spacing w:before="0" w:after="283"/>
              <w:jc w:val="left"/>
              <w:rPr/>
            </w:pPr>
            <w:r>
              <w:rPr/>
              <w:t> </w:t>
            </w:r>
          </w:p>
        </w:tc>
      </w:tr>
      <w:tr>
        <w:trPr/>
        <w:tc>
          <w:tcPr>
            <w:tcW w:w="2902" w:type="dxa"/>
            <w:tcBorders/>
            <w:vAlign w:val="center"/>
          </w:tcPr>
          <w:p>
            <w:pPr>
              <w:pStyle w:val="TableContents"/>
              <w:bidi w:val="0"/>
              <w:spacing w:before="0" w:after="283"/>
              <w:jc w:val="left"/>
              <w:rPr/>
            </w:pPr>
            <w:r>
              <w:rPr/>
              <w:t>Tariff refunds received from U.S. government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89" w:type="dxa"/>
            <w:tcBorders/>
            <w:vAlign w:val="center"/>
          </w:tcPr>
          <w:p>
            <w:pPr>
              <w:pStyle w:val="TableContents"/>
              <w:bidi w:val="0"/>
              <w:spacing w:before="0" w:after="283"/>
              <w:jc w:val="right"/>
              <w:rPr/>
            </w:pPr>
            <w:r>
              <w:rPr/>
              <w:t>(30,008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03"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76"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89" w:type="dxa"/>
            <w:tcBorders/>
            <w:vAlign w:val="center"/>
          </w:tcPr>
          <w:p>
            <w:pPr>
              <w:pStyle w:val="TableContents"/>
              <w:bidi w:val="0"/>
              <w:spacing w:before="0" w:after="283"/>
              <w:jc w:val="right"/>
              <w:rPr/>
            </w:pPr>
            <w:r>
              <w:rPr/>
              <w:t>(30,008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w:t>
            </w:r>
          </w:p>
        </w:tc>
        <w:tc>
          <w:tcPr>
            <w:tcW w:w="292" w:type="dxa"/>
            <w:tcBorders/>
            <w:vAlign w:val="center"/>
          </w:tcPr>
          <w:p>
            <w:pPr>
              <w:pStyle w:val="TableContents"/>
              <w:bidi w:val="0"/>
              <w:spacing w:before="0" w:after="283"/>
              <w:jc w:val="left"/>
              <w:rPr/>
            </w:pPr>
            <w:r>
              <w:rPr/>
              <w:t> </w:t>
            </w:r>
          </w:p>
        </w:tc>
      </w:tr>
      <w:tr>
        <w:trPr/>
        <w:tc>
          <w:tcPr>
            <w:tcW w:w="2902" w:type="dxa"/>
            <w:tcBorders/>
            <w:shd w:fill="CCEEFF" w:val="clear"/>
            <w:vAlign w:val="center"/>
          </w:tcPr>
          <w:p>
            <w:pPr>
              <w:pStyle w:val="TableContents"/>
              <w:bidi w:val="0"/>
              <w:spacing w:before="0" w:after="283"/>
              <w:jc w:val="left"/>
              <w:rPr/>
            </w:pPr>
            <w:r>
              <w:rPr/>
              <w:t>Favorable resolution of contingency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89"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03"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76" w:type="dxa"/>
            <w:tcBorders/>
            <w:shd w:fill="CCEEFF" w:val="clear"/>
            <w:vAlign w:val="center"/>
          </w:tcPr>
          <w:p>
            <w:pPr>
              <w:pStyle w:val="TableContents"/>
              <w:bidi w:val="0"/>
              <w:spacing w:before="0" w:after="283"/>
              <w:jc w:val="right"/>
              <w:rPr/>
            </w:pPr>
            <w:r>
              <w:rPr/>
              <w:t>(11,293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89"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914" w:type="dxa"/>
            <w:tcBorders/>
            <w:shd w:fill="CCEEFF" w:val="clear"/>
            <w:vAlign w:val="center"/>
          </w:tcPr>
          <w:p>
            <w:pPr>
              <w:pStyle w:val="TableContents"/>
              <w:bidi w:val="0"/>
              <w:spacing w:before="0" w:after="283"/>
              <w:jc w:val="right"/>
              <w:rPr/>
            </w:pPr>
            <w:r>
              <w:rPr/>
              <w:t>(11,293</w:t>
            </w:r>
          </w:p>
        </w:tc>
        <w:tc>
          <w:tcPr>
            <w:tcW w:w="292" w:type="dxa"/>
            <w:tcBorders/>
            <w:shd w:fill="CCEEFF" w:val="clear"/>
            <w:vAlign w:val="center"/>
          </w:tcPr>
          <w:p>
            <w:pPr>
              <w:pStyle w:val="TableContents"/>
              <w:bidi w:val="0"/>
              <w:spacing w:before="0" w:after="283"/>
              <w:jc w:val="left"/>
              <w:rPr/>
            </w:pPr>
            <w:r>
              <w:rPr/>
              <w:t>) </w:t>
            </w:r>
          </w:p>
        </w:tc>
      </w:tr>
      <w:tr>
        <w:trPr/>
        <w:tc>
          <w:tcPr>
            <w:tcW w:w="29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89" w:type="dxa"/>
            <w:tcBorders>
              <w:bottom w:val="single" w:sz="6" w:space="0" w:color="000000"/>
            </w:tcBorders>
            <w:tcMar>
              <w:bottom w:w="28" w:type="dxa"/>
            </w:tcMar>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03" w:type="dxa"/>
            <w:tcBorders>
              <w:bottom w:val="single" w:sz="6" w:space="0" w:color="000000"/>
            </w:tcBorders>
            <w:tcMar>
              <w:bottom w:w="28" w:type="dxa"/>
            </w:tcMar>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76" w:type="dxa"/>
            <w:tcBorders>
              <w:bottom w:val="single" w:sz="6" w:space="0" w:color="000000"/>
            </w:tcBorders>
            <w:tcMar>
              <w:bottom w:w="28" w:type="dxa"/>
            </w:tcMar>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89" w:type="dxa"/>
            <w:tcBorders>
              <w:bottom w:val="single" w:sz="6" w:space="0" w:color="000000"/>
            </w:tcBorders>
            <w:tcMar>
              <w:bottom w:w="28" w:type="dxa"/>
            </w:tcMar>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14" w:type="dxa"/>
            <w:tcBorders>
              <w:bottom w:val="single" w:sz="6" w:space="0" w:color="000000"/>
            </w:tcBorders>
            <w:tcMar>
              <w:bottom w:w="28" w:type="dxa"/>
            </w:tcMar>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2902" w:type="dxa"/>
            <w:tcBorders/>
            <w:shd w:fill="CCEEFF" w:val="clear"/>
            <w:vAlign w:val="center"/>
          </w:tcPr>
          <w:p>
            <w:pPr>
              <w:pStyle w:val="TableContents"/>
              <w:bidi w:val="0"/>
              <w:spacing w:before="0" w:after="283"/>
              <w:jc w:val="left"/>
              <w:rPr/>
            </w:pPr>
            <w:r>
              <w:rPr/>
              <w:t>Adjusted EBITDA</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9" w:type="dxa"/>
            <w:tcBorders>
              <w:bottom w:val="double" w:sz="6" w:space="0" w:color="000000"/>
            </w:tcBorders>
            <w:shd w:fill="CCEEFF" w:val="clear"/>
            <w:tcMar>
              <w:bottom w:w="28" w:type="dxa"/>
            </w:tcMar>
            <w:vAlign w:val="center"/>
          </w:tcPr>
          <w:p>
            <w:pPr>
              <w:pStyle w:val="TableContents"/>
              <w:bidi w:val="0"/>
              <w:spacing w:before="0" w:after="283"/>
              <w:jc w:val="right"/>
              <w:rPr/>
            </w:pPr>
            <w:r>
              <w:rPr/>
              <w:t>104,761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jc w:val="right"/>
              <w:rPr/>
            </w:pPr>
            <w:r>
              <w:rPr/>
              <w:t>77,998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pPr>
            <w:r>
              <w:rPr/>
              <w:t>63,519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9" w:type="dxa"/>
            <w:tcBorders>
              <w:bottom w:val="double" w:sz="6" w:space="0" w:color="000000"/>
            </w:tcBorders>
            <w:shd w:fill="CCEEFF" w:val="clear"/>
            <w:tcMar>
              <w:bottom w:w="28" w:type="dxa"/>
            </w:tcMar>
            <w:vAlign w:val="center"/>
          </w:tcPr>
          <w:p>
            <w:pPr>
              <w:pStyle w:val="TableContents"/>
              <w:bidi w:val="0"/>
              <w:spacing w:before="0" w:after="283"/>
              <w:jc w:val="right"/>
              <w:rPr/>
            </w:pPr>
            <w:r>
              <w:rPr/>
              <w:t>182,759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jc w:val="right"/>
              <w:rPr/>
            </w:pPr>
            <w:r>
              <w:rPr/>
              <w:t>117,977</w:t>
            </w:r>
          </w:p>
        </w:tc>
        <w:tc>
          <w:tcPr>
            <w:tcW w:w="292" w:type="dxa"/>
            <w:tcBorders/>
            <w:shd w:fill="CCEEFF" w:val="clear"/>
            <w:vAlign w:val="center"/>
          </w:tcPr>
          <w:p>
            <w:pPr>
              <w:pStyle w:val="TableContents"/>
              <w:bidi w:val="0"/>
              <w:spacing w:before="0" w:after="283"/>
              <w:jc w:val="left"/>
              <w:rPr/>
            </w:pPr>
            <w:r>
              <w:rPr/>
              <w:t> </w:t>
            </w:r>
          </w:p>
        </w:tc>
      </w:tr>
      <w:tr>
        <w:trPr/>
        <w:tc>
          <w:tcPr>
            <w:tcW w:w="29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2902" w:type="dxa"/>
            <w:tcBorders/>
            <w:shd w:fill="CCEEFF" w:val="clear"/>
            <w:vAlign w:val="center"/>
          </w:tcPr>
          <w:p>
            <w:pPr>
              <w:pStyle w:val="TableContents"/>
              <w:bidi w:val="0"/>
              <w:spacing w:before="0" w:after="283"/>
              <w:jc w:val="left"/>
              <w:rPr/>
            </w:pPr>
            <w:r>
              <w:rPr/>
              <w:t>Adjusted EBITDA margin(h)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89" w:type="dxa"/>
            <w:tcBorders/>
            <w:shd w:fill="CCEEFF" w:val="clear"/>
            <w:vAlign w:val="center"/>
          </w:tcPr>
          <w:p>
            <w:pPr>
              <w:pStyle w:val="TableContents"/>
              <w:bidi w:val="0"/>
              <w:spacing w:before="0" w:after="283"/>
              <w:jc w:val="right"/>
              <w:rPr/>
            </w:pPr>
            <w:r>
              <w:rPr/>
              <w:t>11.4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03" w:type="dxa"/>
            <w:tcBorders/>
            <w:shd w:fill="CCEEFF" w:val="clear"/>
            <w:vAlign w:val="center"/>
          </w:tcPr>
          <w:p>
            <w:pPr>
              <w:pStyle w:val="TableContents"/>
              <w:bidi w:val="0"/>
              <w:spacing w:before="0" w:after="283"/>
              <w:jc w:val="right"/>
              <w:rPr/>
            </w:pPr>
            <w:r>
              <w:rPr/>
              <w:t>9.3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76" w:type="dxa"/>
            <w:tcBorders/>
            <w:shd w:fill="CCEEFF" w:val="clear"/>
            <w:vAlign w:val="center"/>
          </w:tcPr>
          <w:p>
            <w:pPr>
              <w:pStyle w:val="TableContents"/>
              <w:bidi w:val="0"/>
              <w:spacing w:before="0" w:after="283"/>
              <w:jc w:val="right"/>
              <w:rPr/>
            </w:pPr>
            <w:r>
              <w:rPr/>
              <w:t>8.3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89" w:type="dxa"/>
            <w:tcBorders/>
            <w:shd w:fill="CCEEFF" w:val="clear"/>
            <w:vAlign w:val="center"/>
          </w:tcPr>
          <w:p>
            <w:pPr>
              <w:pStyle w:val="TableContents"/>
              <w:bidi w:val="0"/>
              <w:spacing w:before="0" w:after="283"/>
              <w:jc w:val="right"/>
              <w:rPr/>
            </w:pPr>
            <w:r>
              <w:rPr/>
              <w:t>10.4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914" w:type="dxa"/>
            <w:tcBorders/>
            <w:shd w:fill="CCEEFF" w:val="clear"/>
            <w:vAlign w:val="center"/>
          </w:tcPr>
          <w:p>
            <w:pPr>
              <w:pStyle w:val="TableContents"/>
              <w:bidi w:val="0"/>
              <w:spacing w:before="0" w:after="283"/>
              <w:jc w:val="right"/>
              <w:rPr/>
            </w:pPr>
            <w:r>
              <w:rPr/>
              <w:t>8.0</w:t>
            </w:r>
          </w:p>
        </w:tc>
        <w:tc>
          <w:tcPr>
            <w:tcW w:w="292" w:type="dxa"/>
            <w:tcBorders/>
            <w:shd w:fill="CCEEFF" w:val="clear"/>
            <w:vAlign w:val="center"/>
          </w:tcPr>
          <w:p>
            <w:pPr>
              <w:pStyle w:val="TableContents"/>
              <w:bidi w:val="0"/>
              <w:spacing w:before="0" w:after="283"/>
              <w:jc w:val="left"/>
              <w:rPr/>
            </w:pPr>
            <w:r>
              <w:rPr/>
              <w:t>%</w:t>
            </w:r>
          </w:p>
        </w:tc>
      </w:tr>
      <w:tr>
        <w:trPr/>
        <w:tc>
          <w:tcPr>
            <w:tcW w:w="29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10205" w:type="dxa"/>
            <w:gridSpan w:val="25"/>
            <w:tcBorders/>
            <w:vAlign w:val="center"/>
          </w:tcPr>
          <w:p>
            <w:pPr>
              <w:pStyle w:val="TableContents"/>
              <w:bidi w:val="0"/>
              <w:spacing w:before="0" w:after="283"/>
              <w:jc w:val="left"/>
              <w:rPr/>
            </w:pPr>
            <w:r>
              <w:rPr/>
              <w:t>(h) Adjusted EBITDA as a percentage of adjusted net revenues</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283"/>
        <w:jc w:val="both"/>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Segoe UI Symbol">
    <w:altName w:val="sans-serif"/>
    <w:charset w:val="01"/>
    <w:family w:val="auto"/>
    <w:pitch w:val="default"/>
  </w:font>
  <w:font w:name="TimesNewRoman">
    <w:altName w:val="Times New Roman"/>
    <w:charset w:val="01"/>
    <w:family w:val="auto"/>
    <w:pitch w:val="default"/>
  </w:font>
  <w:font w:name="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3944</Words>
  <Characters>21736</Characters>
  <CharactersWithSpaces>27813</CharactersWithSpaces>
  <Paragraphs>3778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