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2026</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Vishay Intertechnology,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516"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1-7416</w:t>
      </w:r>
    </w:p>
    <w:p>
      <w:pPr>
        <w:spacing w:after="0" w:line="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38-1686453</w:t>
      </w:r>
    </w:p>
    <w:p>
      <w:pPr>
        <w:spacing w:after="0" w:line="2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63 Lancaster Avenue</w:t>
      </w:r>
    </w:p>
    <w:p>
      <w:pPr>
        <w:spacing w:after="0" w:line="2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Malvern, PA</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19355-2143</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240" w:space="720"/>
            <w:col w:w="2280"/>
          </w:cols>
          <w:pgMar w:left="320" w:top="51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610-644-1300</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39"/>
        </w:trPr>
        <w:tc>
          <w:tcPr>
            <w:tcW w:w="4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4"/>
        </w:trPr>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$0.10 per share</w:t>
            </w:r>
          </w:p>
        </w:tc>
        <w:tc>
          <w:tcPr>
            <w:tcW w:w="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VSH</w:t>
            </w:r>
          </w:p>
        </w:tc>
        <w:tc>
          <w:tcPr>
            <w:tcW w:w="6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9"/>
        </w:trPr>
        <w:tc>
          <w:tcPr>
            <w:tcW w:w="4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163"/>
        </w:trPr>
        <w:tc>
          <w:tcPr>
            <w:tcW w:w="4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tcPr>
          <w:p>
            <w:pPr>
              <w:spacing w:after="0"/>
              <w:rPr>
                <w:sz w:val="14"/>
                <w:szCs w:val="14"/>
                <w:color w:val="auto"/>
              </w:rPr>
            </w:pPr>
          </w:p>
        </w:tc>
      </w:tr>
      <w:tr>
        <w:trPr>
          <w:trHeight w:val="196"/>
        </w:trPr>
        <w:tc>
          <w:tcPr>
            <w:tcW w:w="4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2026, Vishay Intertechnology, Inc. (the “Company”) entered into an underwriting agreement (the “Underwriting Agreement”) with J.P. Morgan Securities LLC, as representative of the several underwriters named therein (collectively, the “Underwriters”), to offer and sell 15,000,000 shares of the Company’s common stock, par value $0.10 per share (the “Common Stock”), at a public offering price of $50.00 per share, less underwriting discounts and commissions (the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granted the Underwriters a 30-day option to purchase up to an additional 2,250,000 shares of its Common Stock, at the same price and on the same terms and conditions (the “Underwriters’ Option”), which the Underwriters exercised in full on June 30, 2026. The net proceeds from the Offering are expected to be approximately $830.3 million, after deducting underwriting discounts and commissions and estimated offering expenses payable by the Company. The Company intends to use the net proceeds from the Offering to accelerate its growth initiatives and for general corporate purposes, including to reduce current borrowings under its senior secured credit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Common Stock described above are being offered and sold pursuant to an automatic shelf registration statement (File No. 333-297116) filed with the U.S. Securities and Exchange Commission (the “SEC”) on June 29, 2026 that became automatically effective upon filing, including the prospectus forming a part of the registration statement, and a preliminary prospectus supplement, which was filed with the SEC on June 29, 2026. A final prospectus supplement dated June 29, 2026 relating to and describing the terms of the Offering was filed with the SEC on June 30,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July 1, 2026, subject to the satisfaction of customary closing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including for liabilities arising under the Securities Act of 1933, as amended, other obligations of the parties and termination provisions. The representations and warranties contained in the Underwriting Agreement were made only for the purposes of the Underwriting Agreement and as of specific dates, were solely for the benefit of the parties to such agreements and may be subject to limitations agreed upon by the contracting parties.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Underwriting Agreement is filed as Exhibit 1.1 and is incorporated herein by reference. The foregoing description of the Underwriting Agreement does not purport to be complete and is qualified in its entirety by reference to such exhibit.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opinion of Troutman Pepper Locke LLP relating to the validity of the issuance and sale of the shares of Common Stock in the Offering is filed herewith as Exhibit 5.1.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the launch of the Offering, and on June 29, 2026, the Company issued a press release announcing the pricing of the Offering. A copy of each such press release is attached as Exhibit 99.1 and 99.2, respectively, to this Current Report on Form 8-K and each is hereby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Note Regarding Forward-looking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that are subject to known and unknown risks and uncertainties that could cause actual results to differ materially from those expressed or implied by such statements. Such risks and uncertainties include, but are not limited to, the closing date of the Offering, the anticipated use of the proceeds from the Offering, and the risks set forth under the heading “Risk Factors” in the final prospectus supplement for the Offering and risks set forth in the Company’s Annual Report on Form 10-K for the year ended December 31, 2025, and other reports filed from time to time with the SEC. The Company does not undertake any obligation to publicly update any forward-looking statements to reflect events or circumstances occurring after the date of this Current Report on Form 8-K,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340" w:type="dxa"/>
            <w:vAlign w:val="bottom"/>
          </w:tcPr>
          <w:p>
            <w:pPr>
              <w:spacing w:after="0"/>
              <w:rPr>
                <w:sz w:val="24"/>
                <w:szCs w:val="24"/>
                <w:color w:val="auto"/>
              </w:rPr>
            </w:pPr>
          </w:p>
        </w:tc>
      </w:tr>
      <w:tr>
        <w:trPr>
          <w:trHeight w:val="41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340" w:type="dxa"/>
            <w:vAlign w:val="bottom"/>
          </w:tcPr>
          <w:p>
            <w:pPr>
              <w:spacing w:after="0"/>
              <w:rPr>
                <w:sz w:val="24"/>
                <w:szCs w:val="24"/>
                <w:color w:val="auto"/>
              </w:rPr>
            </w:pPr>
          </w:p>
        </w:tc>
      </w:tr>
      <w:tr>
        <w:trPr>
          <w:trHeight w:val="241"/>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w:t>
            </w: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3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3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Underwriting Agreement, dated June 29, 2026, between Vishay Intertechnology, Inc. and J.P. Morgan Securities LLC, as representative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several underwriters named therein.</w:t>
            </w:r>
          </w:p>
        </w:tc>
      </w:tr>
      <w:tr>
        <w:trPr>
          <w:trHeight w:val="391"/>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Opinion of Troutman Pepper Locke LLP.</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Consent of Troutman Pepper Locke LLP (included as part of Exhibit 5.1 hereto).</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June 29, 2026, announcing the launch of the Offering.</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June 29, 2026, announcing the pricing of the Offering.</w:t>
            </w: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Vishay Intertechnology,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L. Tomlinson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29,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Vishay Intertechnology, Inc., a Delaware corporation (the “Company”), proposes to issue and sell to the several underwriters listed in Schedule 1 hereto (the “Underwriters”), for whom you are acting as representative (the “Representative”), an aggregate of 15,000,000 shares of common stock, par value $0.10 per share (the “Common Stock”), of the Company (the “Underwritten Shares”) and, at the option of the Underwriters, up to an additional 2,250,000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225" w:lineRule="exact"/>
        <w:rPr>
          <w:sz w:val="20"/>
          <w:szCs w:val="20"/>
          <w:color w:val="auto"/>
        </w:rPr>
      </w:pPr>
    </w:p>
    <w:p>
      <w:pPr>
        <w:ind w:firstLine="656"/>
        <w:spacing w:after="0" w:line="252" w:lineRule="auto"/>
        <w:tabs>
          <w:tab w:leader="none" w:pos="12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 No. 333-297116),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June 29, 2026 and each “free-writing prospectus” (as defined pursuant to Rule 405 under the Securities Act) listed on Annex A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Time” means 7:30 P.M., New York City time, on June 29, 2026.</w:t>
      </w:r>
    </w:p>
    <w:p>
      <w:pPr>
        <w:spacing w:after="0" w:line="225" w:lineRule="exact"/>
        <w:rPr>
          <w:sz w:val="20"/>
          <w:szCs w:val="20"/>
          <w:color w:val="auto"/>
        </w:rPr>
      </w:pPr>
    </w:p>
    <w:p>
      <w:pPr>
        <w:ind w:left="1280" w:hanging="62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61" w:lineRule="auto"/>
        <w:tabs>
          <w:tab w:leader="none" w:pos="12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$48.25 (the “Purchase Price”) from the Company the respective number of Underwritten Shares set forth opposite such Underwriter’s name in Schedule 1 hereto.</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 in its sole discretion shall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thirtieth day following the date of the Prospectus, by written notice from the Representative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one business day prior to the date and time of delivery specified therein.</w:t>
      </w:r>
    </w:p>
    <w:p>
      <w:pPr>
        <w:spacing w:after="0" w:line="187" w:lineRule="exact"/>
        <w:rPr>
          <w:sz w:val="20"/>
          <w:szCs w:val="20"/>
          <w:color w:val="auto"/>
        </w:rPr>
      </w:pPr>
    </w:p>
    <w:p>
      <w:pPr>
        <w:jc w:val="both"/>
        <w:ind w:right="220" w:firstLine="656"/>
        <w:spacing w:after="0" w:line="266" w:lineRule="auto"/>
        <w:tabs>
          <w:tab w:leader="none" w:pos="13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firstLine="656"/>
        <w:spacing w:after="0" w:line="255" w:lineRule="auto"/>
        <w:tabs>
          <w:tab w:leader="none" w:pos="12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the Company to the Representative in the case of the Underwritten Shares, at the offices of Davis Polk &amp; Wardwell LLP, 450 Lexington Avenue, New York City, New York 10017 at 10:00 A.M. New York City time on July 1, 2026, or at such other time or place on the same or such other date, not later than the fifth business day thereafter, as the Representative and the Company may agree upon in writing or, in the case of the Option Shares, on the date and at the time and place specified by the Representative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Payment for the Shares to be purchased on the Closing Date or the Additional Closing Date, as the case may be, shall be made against delivery to the Representative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(“DTC”) unless the Representative shall otherwise instruct.</w:t>
      </w:r>
    </w:p>
    <w:p>
      <w:pPr>
        <w:spacing w:after="0" w:line="180" w:lineRule="exact"/>
        <w:rPr>
          <w:sz w:val="20"/>
          <w:szCs w:val="20"/>
          <w:color w:val="auto"/>
        </w:rPr>
      </w:pPr>
    </w:p>
    <w:p>
      <w:pPr>
        <w:ind w:right="20" w:firstLine="656"/>
        <w:spacing w:after="0" w:line="254" w:lineRule="auto"/>
        <w:tabs>
          <w:tab w:leader="none" w:pos="13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Representative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 nor the other Underwriters shall have any responsibility or liability to the Company with respect thereto. Any review by the Representative and the other Underwriters of the Company, the transactions contemplated hereby or other matters relating to such transactions will be performed solely for the benefit of the Underwriters and shall not be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ind w:left="624" w:hanging="624"/>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223" w:lineRule="exact"/>
        <w:rPr>
          <w:rFonts w:ascii="Times New Roman" w:cs="Times New Roman" w:eastAsia="Times New Roman" w:hAnsi="Times New Roman"/>
          <w:sz w:val="18"/>
          <w:szCs w:val="18"/>
          <w:color w:val="auto"/>
        </w:rPr>
      </w:pPr>
    </w:p>
    <w:p>
      <w:pPr>
        <w:ind w:left="4" w:right="140" w:firstLine="644"/>
        <w:spacing w:after="0" w:line="255" w:lineRule="auto"/>
        <w:tabs>
          <w:tab w:leader="none" w:pos="130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7(b) hereof.</w:t>
      </w:r>
    </w:p>
    <w:p>
      <w:pPr>
        <w:spacing w:after="0" w:line="184" w:lineRule="exact"/>
        <w:rPr>
          <w:rFonts w:ascii="Times New Roman" w:cs="Times New Roman" w:eastAsia="Times New Roman" w:hAnsi="Times New Roman"/>
          <w:sz w:val="18"/>
          <w:szCs w:val="18"/>
          <w:color w:val="auto"/>
        </w:rPr>
      </w:pPr>
    </w:p>
    <w:p>
      <w:pPr>
        <w:ind w:left="4" w:firstLine="644"/>
        <w:spacing w:after="0" w:line="254" w:lineRule="auto"/>
        <w:tabs>
          <w:tab w:leader="none" w:pos="12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243840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8" w:name="page9"/>
    <w:bookmarkEnd w:id="8"/>
    <w:p>
      <w:pPr>
        <w:ind w:left="-460" w:firstLine="644"/>
        <w:spacing w:after="0" w:line="252" w:lineRule="auto"/>
        <w:tabs>
          <w:tab w:leader="none" w:pos="8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191" w:lineRule="exact"/>
        <w:rPr>
          <w:rFonts w:ascii="Times New Roman" w:cs="Times New Roman" w:eastAsia="Times New Roman" w:hAnsi="Times New Roman"/>
          <w:sz w:val="18"/>
          <w:szCs w:val="18"/>
          <w:color w:val="auto"/>
        </w:rPr>
      </w:pPr>
    </w:p>
    <w:p>
      <w:pPr>
        <w:ind w:left="-460" w:firstLine="644"/>
        <w:spacing w:after="0" w:line="254" w:lineRule="auto"/>
        <w:tabs>
          <w:tab w:leader="none" w:pos="8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Testing-the-Waters Materials. </w:t>
      </w:r>
      <w:r>
        <w:rPr>
          <w:rFonts w:ascii="Times New Roman" w:cs="Times New Roman" w:eastAsia="Times New Roman" w:hAnsi="Times New Roman"/>
          <w:sz w:val="18"/>
          <w:szCs w:val="18"/>
          <w:color w:val="auto"/>
        </w:rPr>
        <w:t>The Company (i) has not alone engaged in any Testing-the-Waters Communications and (ii)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authorized anyone other than the Representative to engage in Testing-the-Waters Communications. The Company reconfirms that the Representative has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9" w:name="page10"/>
    <w:bookmarkEnd w:id="9"/>
    <w:p>
      <w:pPr>
        <w:ind w:left="-460" w:firstLine="644"/>
        <w:spacing w:after="0" w:line="252" w:lineRule="auto"/>
        <w:tabs>
          <w:tab w:leader="none" w:pos="7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94" w:lineRule="exact"/>
        <w:rPr>
          <w:rFonts w:ascii="Times New Roman" w:cs="Times New Roman" w:eastAsia="Times New Roman" w:hAnsi="Times New Roman"/>
          <w:sz w:val="18"/>
          <w:szCs w:val="18"/>
          <w:color w:val="auto"/>
        </w:rPr>
      </w:pPr>
    </w:p>
    <w:p>
      <w:pPr>
        <w:ind w:left="-460" w:firstLine="644"/>
        <w:spacing w:after="0" w:line="255" w:lineRule="auto"/>
        <w:tabs>
          <w:tab w:leader="none" w:pos="8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the Registration Statement, the 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84" w:lineRule="exact"/>
        <w:rPr>
          <w:rFonts w:ascii="Times New Roman" w:cs="Times New Roman" w:eastAsia="Times New Roman" w:hAnsi="Times New Roman"/>
          <w:sz w:val="18"/>
          <w:szCs w:val="18"/>
          <w:color w:val="auto"/>
        </w:rPr>
      </w:pPr>
    </w:p>
    <w:p>
      <w:pPr>
        <w:ind w:left="-460" w:firstLine="644"/>
        <w:spacing w:after="0" w:line="269" w:lineRule="auto"/>
        <w:tabs>
          <w:tab w:leader="none" w:pos="84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The financial statements and the related notes thereto of the Company and its consolidated subsidiaries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with Regulation G of the Exchange Act and Item 10 of Regulation S-K of the Securities Act, to the extent applicable; and there are no pro forma financial statements that are required to be included or incorporated by reference in the Registration Statement, the Pricing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238125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9" w:right="379" w:bottom="1440" w:gutter="0" w:footer="0" w:header="0"/>
        </w:sectPr>
      </w:pPr>
    </w:p>
    <w:bookmarkStart w:id="10" w:name="page11"/>
    <w:bookmarkEnd w:id="10"/>
    <w:p>
      <w:pPr>
        <w:ind w:left="-460" w:firstLine="644"/>
        <w:spacing w:after="0" w:line="253"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Pricing Disclosure Package and the Prospectus, (i) there has not been any material change in the capital stock, long-term debt, notes payable or current portion of long-term debt of the Company or any of its subsidiaries, or any dividend or distribution of any kind declared, set aside for payment, paid or made by the Company on any class of capital stock, or any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or from political, economic, or military instability, except in each case as otherwise disclosed in the Registration Statement,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460" w:right="100" w:firstLine="644"/>
        <w:spacing w:after="0" w:line="254" w:lineRule="auto"/>
        <w:tabs>
          <w:tab w:leader="none" w:pos="8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“significant subsidiaries” (as such term is defined in Rule 1-02(w) of Regulation S-X of the Securities Act; each such subsidiary, a “significant subsidiary”)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to have such power or authority would not, individually or in the aggregate, reasonably be expected to result in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Each of the significant subsidiaries of the Company is listed in Schedule 2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1" w:name="page12"/>
    <w:bookmarkEnd w:id="11"/>
    <w:p>
      <w:pPr>
        <w:ind w:left="-460" w:right="20" w:firstLine="644"/>
        <w:spacing w:after="0" w:line="253" w:lineRule="auto"/>
        <w:tabs>
          <w:tab w:leader="none" w:pos="8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Prospectus under the headings “Capitalization” and “Description of Our Common Stock,” as applicable, as of the dates set forth therein; all of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87" w:lineRule="exact"/>
        <w:rPr>
          <w:rFonts w:ascii="Times New Roman" w:cs="Times New Roman" w:eastAsia="Times New Roman" w:hAnsi="Times New Roman"/>
          <w:sz w:val="18"/>
          <w:szCs w:val="18"/>
          <w:color w:val="auto"/>
        </w:rPr>
      </w:pPr>
    </w:p>
    <w:p>
      <w:pPr>
        <w:ind w:left="-460" w:right="100" w:firstLine="644"/>
        <w:spacing w:after="0" w:line="267" w:lineRule="auto"/>
        <w:tabs>
          <w:tab w:leader="none" w:pos="8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to perform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73" w:lineRule="exact"/>
        <w:rPr>
          <w:rFonts w:ascii="Times New Roman" w:cs="Times New Roman" w:eastAsia="Times New Roman" w:hAnsi="Times New Roman"/>
          <w:sz w:val="18"/>
          <w:szCs w:val="18"/>
          <w:color w:val="auto"/>
        </w:rPr>
      </w:pPr>
    </w:p>
    <w:p>
      <w:pPr>
        <w:ind w:left="-460" w:right="300" w:firstLine="644"/>
        <w:spacing w:after="0" w:line="258" w:lineRule="auto"/>
        <w:tabs>
          <w:tab w:leader="none" w:pos="8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 and, when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in accordance with its terms by each of the parties hereto, will constitute a valid and legally binding agreement of the Company enforceable against the Company in accordance with its terms, except as enforceability may be limited by applicable bankruptcy, insolvency or similar laws affecting creditors’ rights generally or by equitable principles relating to enforceability, and except that rights to indemnity and contribution thereunder may be limited by applicable law and public policy.</w:t>
      </w:r>
    </w:p>
    <w:p>
      <w:pPr>
        <w:spacing w:after="0" w:line="183"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8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to be issued and sold by the Company hereunder have been duly authorized by the Company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179" w:lineRule="exact"/>
        <w:rPr>
          <w:rFonts w:ascii="Times New Roman" w:cs="Times New Roman" w:eastAsia="Times New Roman" w:hAnsi="Times New Roman"/>
          <w:sz w:val="18"/>
          <w:szCs w:val="18"/>
          <w:color w:val="auto"/>
        </w:rPr>
      </w:pPr>
    </w:p>
    <w:p>
      <w:pPr>
        <w:ind w:left="-460" w:right="560" w:firstLine="644"/>
        <w:spacing w:after="0" w:line="284" w:lineRule="auto"/>
        <w:tabs>
          <w:tab w:leader="none" w:pos="8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Descriptions of the Underwriting Agreement. </w:t>
      </w:r>
      <w:r>
        <w:rPr>
          <w:rFonts w:ascii="Times New Roman" w:cs="Times New Roman" w:eastAsia="Times New Roman" w:hAnsi="Times New Roman"/>
          <w:sz w:val="18"/>
          <w:szCs w:val="18"/>
          <w:color w:val="auto"/>
        </w:rPr>
        <w:t>This Agreement conforms in all material respects to the description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the Registration Statement, the Pricing Disclosure Package and the Prospectus.</w:t>
      </w:r>
    </w:p>
    <w:p>
      <w:pPr>
        <w:spacing w:after="0" w:line="158" w:lineRule="exact"/>
        <w:rPr>
          <w:rFonts w:ascii="Times New Roman" w:cs="Times New Roman" w:eastAsia="Times New Roman" w:hAnsi="Times New Roman"/>
          <w:sz w:val="18"/>
          <w:szCs w:val="18"/>
          <w:color w:val="auto"/>
        </w:rPr>
      </w:pPr>
    </w:p>
    <w:p>
      <w:pPr>
        <w:ind w:left="-460" w:firstLine="644"/>
        <w:spacing w:after="0" w:line="256" w:lineRule="auto"/>
        <w:tabs>
          <w:tab w:leader="none" w:pos="8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2" w:name="page13"/>
    <w:bookmarkEnd w:id="12"/>
    <w:p>
      <w:pPr>
        <w:ind w:left="-460" w:firstLine="644"/>
        <w:spacing w:after="0" w:line="253" w:lineRule="auto"/>
        <w:tabs>
          <w:tab w:leader="none" w:pos="8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consummation of the transactions contemplated by this Agreement or the Pricing Disclosure Package and the Prospectus will not (i) conflict with or result in a breach or violation of any of the terms or provisions of, or constitute a default under, or result in the creation or imposition of any lien, charge or encumbrance upon any property, right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rights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reasonably be expected to have, individually or in the aggregate, a Material Adverse Effect.</w:t>
      </w:r>
    </w:p>
    <w:p>
      <w:pPr>
        <w:spacing w:after="0" w:line="191" w:lineRule="exact"/>
        <w:rPr>
          <w:rFonts w:ascii="Times New Roman" w:cs="Times New Roman" w:eastAsia="Times New Roman" w:hAnsi="Times New Roman"/>
          <w:sz w:val="18"/>
          <w:szCs w:val="18"/>
          <w:color w:val="auto"/>
        </w:rPr>
      </w:pPr>
    </w:p>
    <w:p>
      <w:pPr>
        <w:ind w:left="-460" w:right="60" w:firstLine="644"/>
        <w:spacing w:after="0" w:line="257" w:lineRule="auto"/>
        <w:tabs>
          <w:tab w:leader="none" w:pos="8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registration or qualification of or with any court or arbitrator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governmental or regulatory authority is required for the execution, delivery and performance by the Company of this Agreement, the issuance and sale of the Shares and the consummation of the transactions contemplated by this Agreement or the Registration Statement, the Pricing Disclosure Package and the Prospectus, except for the registration of the Shares under the Securities Act and such consents, approvals, authorizations, orders and registrations or qualifications as may be required by the Financial Industry Regulatory Authority, Inc. (“FINRA”), the Exchange and under applicable state securities laws in connection with the purchase and distribution of the Shares by the Underwriters.</w:t>
      </w:r>
    </w:p>
    <w:p>
      <w:pPr>
        <w:spacing w:after="0" w:line="182" w:lineRule="exact"/>
        <w:rPr>
          <w:rFonts w:ascii="Times New Roman" w:cs="Times New Roman" w:eastAsia="Times New Roman" w:hAnsi="Times New Roman"/>
          <w:sz w:val="18"/>
          <w:szCs w:val="18"/>
          <w:color w:val="auto"/>
        </w:rPr>
      </w:pPr>
    </w:p>
    <w:p>
      <w:pPr>
        <w:ind w:left="-460" w:right="80" w:firstLine="644"/>
        <w:spacing w:after="0" w:line="253" w:lineRule="auto"/>
        <w:tabs>
          <w:tab w:leader="none" w:pos="8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governmental or regulatory investigations, actions, demands, claims, suits, arbitrations or 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and no such Actions are, to the best knowledge of the Company, threatened by any governmental or regulatory authority or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3" w:name="page14"/>
    <w:bookmarkEnd w:id="13"/>
    <w:p>
      <w:pPr>
        <w:ind w:left="-460" w:right="20" w:firstLine="644"/>
        <w:spacing w:after="0" w:line="261"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Deloitte &amp; Touche LLP, which has reviewed the Company’s financial statements for the fiscal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April 4, 2026, and Ernst &amp; Young LLP, which has certified certain financial statements of the Company and its subsidiaries, is each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9" w:lineRule="exact"/>
        <w:rPr>
          <w:rFonts w:ascii="Times New Roman" w:cs="Times New Roman" w:eastAsia="Times New Roman" w:hAnsi="Times New Roman"/>
          <w:sz w:val="18"/>
          <w:szCs w:val="18"/>
          <w:color w:val="auto"/>
        </w:rPr>
      </w:pPr>
    </w:p>
    <w:p>
      <w:pPr>
        <w:ind w:left="-460" w:right="120" w:firstLine="644"/>
        <w:spacing w:after="0" w:line="257" w:lineRule="auto"/>
        <w:tabs>
          <w:tab w:leader="none" w:pos="8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to, or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rights to lease or otherwise use, all items of real and personal property that are material to the respective businesses of the Company and its subsidiaries, in each case free and clear of all liens, charges,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 (provided that, for the avoidance of doubt, rights to Intellectual Property are addressed exclusively in Section 3(u) below).</w:t>
      </w:r>
    </w:p>
    <w:p>
      <w:pPr>
        <w:spacing w:after="0" w:line="182"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rFonts w:ascii="Times New Roman" w:cs="Times New Roman" w:eastAsia="Times New Roman" w:hAnsi="Times New Roman"/>
          <w:sz w:val="18"/>
          <w:szCs w:val="18"/>
          <w:color w:val="auto"/>
        </w:rPr>
      </w:pPr>
    </w:p>
    <w:p>
      <w:pPr>
        <w:ind w:left="180" w:firstLine="652"/>
        <w:spacing w:after="0" w:line="252" w:lineRule="auto"/>
        <w:tabs>
          <w:tab w:leader="none" w:pos="149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the right to use all patents, inventions, trademarks, service marks, trade names, domain names, copyrights and copyrightable works, licenses, know-how (including trade secrets and other unpatented and/or unpatentable proprietary or confidential information, systems or methods) and all other similar intellectual property, industrial property and proprietary rights (including all registrations and applications for registration of, and all goodwill associated with, the foregoing) used in or necessary for the conduct of their respective businesses, as presently conducted and as proposed to be conducted (“Intellectual Property”), except as would not reasonably be expected to have, singly or in the aggregate, a Material Adverse Effect. The conduct of the Company’s and its subsidiaries’ respective businesses as presently conducted has not infringed, misappropriated or otherwise violated, and to the knowledge of the Company, will not infringe, misappropriate or otherwise violate, any Intellectual Property of others, and the Company and its subsidiaries have not received any notice of any claim of infringement, misappropriation or other violation of any Intellectual Property of others, or challenging the validity, enforceability, scope or ownership of any Intellectual Property of the Company or its subsidiaries, except as would not reasonably be expected to have, singly or in the aggregate, a Material Adverse Effect. None of the Intellectual Property owned or, to the knowledge of the Company, licensed by the Company, that are material to the Company’s and its subsidiaries’ respective businesses, are invalid or unenforceable, except as would not reasonably be expected to have, singly or in the aggregate, a Material Adverse Effect. All Intellectual Property owned by the Company or its subsidiaries is free and clear of all liens, encumbrances, defects or other restrictions, except as would not reasonably be expected to have, singly or in the aggregate, a Material Adverse Effect, and except for such restrictions otherwise described in the Registration Statement, the Pricing Disclosure Package and the Prospectus. The Company and its subsidiaries have taken all actions reasonably necessary to maintain and protect all registered Intellectual Property owned by the Company or its subsidiaries, including payment of applicable maintenance fees, filing of applicable statements of use, timely response to office actions, and disclosure of any required information, except as would not reasonably be expected to have, singly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4" w:name="page15"/>
    <w:bookmarkEnd w:id="14"/>
    <w:p>
      <w:pPr>
        <w:ind w:left="180" w:right="220" w:firstLine="652"/>
        <w:spacing w:after="0" w:line="255" w:lineRule="auto"/>
        <w:tabs>
          <w:tab w:leader="none" w:pos="14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all necessary actions to protect their rights in confidential information and trade secrets, protect any confidential information provided to them by any other person, and obtain ownership of all Intellectual Property created or developed by its employees, consultants and contractors and which relate to the business of the Company and its subsidiaries, except as would not reasonably be expected to have, singly or in the aggregate, a Material Adverse Effect. All founders, employees, consultants and contractors involved in the development of Intellectual Property for the Company or any of its subsidiaries have signed confidentiality and invention assignment agreements with the Company or any of its subsidiaries, except as would not reasonably be expected to have, singly or in the aggregate, a Material Adverse Effect.</w:t>
      </w:r>
    </w:p>
    <w:p>
      <w:pPr>
        <w:spacing w:after="0" w:line="186" w:lineRule="exact"/>
        <w:rPr>
          <w:rFonts w:ascii="Times New Roman" w:cs="Times New Roman" w:eastAsia="Times New Roman" w:hAnsi="Times New Roman"/>
          <w:sz w:val="18"/>
          <w:szCs w:val="18"/>
          <w:color w:val="auto"/>
        </w:rPr>
      </w:pPr>
    </w:p>
    <w:p>
      <w:pPr>
        <w:ind w:left="-460" w:right="40" w:firstLine="644"/>
        <w:spacing w:after="0" w:line="261" w:lineRule="auto"/>
        <w:tabs>
          <w:tab w:leader="none" w:pos="8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79" w:lineRule="exact"/>
        <w:rPr>
          <w:rFonts w:ascii="Times New Roman" w:cs="Times New Roman" w:eastAsia="Times New Roman" w:hAnsi="Times New Roman"/>
          <w:sz w:val="18"/>
          <w:szCs w:val="18"/>
          <w:color w:val="auto"/>
        </w:rPr>
      </w:pPr>
    </w:p>
    <w:p>
      <w:pPr>
        <w:ind w:left="-460" w:firstLine="644"/>
        <w:spacing w:after="0" w:line="261" w:lineRule="auto"/>
        <w:tabs>
          <w:tab w:leader="none" w:pos="7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238125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5" w:name="page16"/>
    <w:bookmarkEnd w:id="15"/>
    <w:p>
      <w:pPr>
        <w:ind w:left="4" w:firstLine="644"/>
        <w:spacing w:after="0" w:line="257" w:lineRule="auto"/>
        <w:tabs>
          <w:tab w:leader="none" w:pos="1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and its subsidiaries have paid all federal, state, local and foreign taxes and filed all tax returns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or filed through the date hereof, except where the failure to file or pay would not reasonably be expected to, singly or in the aggregate, have a Material Adverse Effect on the Company and its subsidiaries, taken as a whole; there is no tax deficiency that has been, or could reasonably be expected to be, asserted against the Company or any of its subsidiaries or any of their respective properties or assets, except (x) as described in the Registration Statement, the Pricing Disclosure Package and the Prospectus or (y) for taxes, tax returns and tax deficiencies that are not material, individually or in the aggregate.</w:t>
      </w:r>
    </w:p>
    <w:p>
      <w:pPr>
        <w:spacing w:after="0" w:line="182" w:lineRule="exact"/>
        <w:rPr>
          <w:rFonts w:ascii="Times New Roman" w:cs="Times New Roman" w:eastAsia="Times New Roman" w:hAnsi="Times New Roman"/>
          <w:sz w:val="18"/>
          <w:szCs w:val="18"/>
          <w:color w:val="auto"/>
        </w:rPr>
      </w:pPr>
    </w:p>
    <w:p>
      <w:pPr>
        <w:ind w:left="4" w:right="20" w:firstLine="644"/>
        <w:spacing w:after="0" w:line="254"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subsidiaries possess all licenses, sub-licenses, certificates, permits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reasonably be expected to have, individually or in the aggregate,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as would not reasonably be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ind w:left="4" w:right="220" w:firstLine="644"/>
        <w:spacing w:after="0" w:line="267" w:lineRule="auto"/>
        <w:tabs>
          <w:tab w:leader="none" w:pos="13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Company or any of its subsidiaries exists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knowledge of the Company, is threatened, except as would not have a Material Adverse Effect. Neither the Company nor any of its subsidiaries has received any notice of cancellation or termination with respect to any collective bargaining agreement to which it is a party.</w:t>
      </w:r>
    </w:p>
    <w:p>
      <w:pPr>
        <w:spacing w:after="0" w:line="173" w:lineRule="exact"/>
        <w:rPr>
          <w:sz w:val="20"/>
          <w:szCs w:val="20"/>
          <w:color w:val="auto"/>
        </w:rPr>
      </w:pPr>
    </w:p>
    <w:p>
      <w:pPr>
        <w:ind w:left="4" w:right="20" w:firstLine="644"/>
        <w:spacing w:after="0" w:line="252"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Environmental Laws</w:t>
      </w:r>
      <w:r>
        <w:rPr>
          <w:rFonts w:ascii="Times New Roman" w:cs="Times New Roman" w:eastAsia="Times New Roman" w:hAnsi="Times New Roman"/>
          <w:sz w:val="18"/>
          <w:szCs w:val="18"/>
          <w:color w:val="auto"/>
        </w:rPr>
        <w:t>. (i) The Company and its subsidiaries (x) are, and have been, in compliance with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obligation or violation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such notice, and (ii) there are no costs (including, without limitation, capital expenditures), obligations or liabilities associated with Environmental Laws of or relating to the Company or its subsidiaries, (iii) there are no proceedings that are pending, or, to the knowledge of the Company, threatened, against the Company or any of its subsidiaries under any Environmental Laws in which a governmental entity is also a party, except in the case of each of (i),</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for any such failure to comply, or failure to receive required permits, licenses or approvals, or cost or liability, or proceedings as would not reasonably be expected to have, individually or in the aggregate, a Material Adverse Effect, or as described in the Registration Statement, the Pricing Disclosure Package and the Prospectus; and (iv)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$300,000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16" w:name="page17"/>
    <w:bookmarkEnd w:id="16"/>
    <w:p>
      <w:pPr>
        <w:ind w:left="-460" w:firstLine="644"/>
        <w:spacing w:after="0" w:line="254" w:lineRule="auto"/>
        <w:tabs>
          <w:tab w:leader="none" w:pos="8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There has been no storage, generation, transportation, handling, treatment, disposal, discharge, emission,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release of any kind of toxic wastes or hazardous substances, including, but not limited to, any naturally occurring radioactive materials, per- and polyfluoroalkyl substances, brine, drilling mud, crude oil, natural gas liquids and other petroleum materials, by, due to or caused by the Company or any of its subsidiaries (or, to the best of the Company’s knowledge, any other entity (including any predecessor) for whose acts or omissions the Company or any of its subsidiaries is or could reasonably be expected to be liable) upon any of the property now or previously owned or leased by the Company or any of its subsidiaries, or upon any other property, in violation of any Environmental Laws or in a manner or to a location that could reasonably be expected to give rise to any liability under the Environmental Laws, except for any violation or liability (i) which would not reasonably be expected to have, individually or in the aggregate, a Material Adverse Effect or (ii) described in the Registration Statement, the Pricing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243840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9" w:right="359" w:bottom="1440" w:gutter="0" w:footer="0" w:header="0"/>
        </w:sectPr>
      </w:pPr>
    </w:p>
    <w:bookmarkStart w:id="17" w:name="page18"/>
    <w:bookmarkEnd w:id="17"/>
    <w:p>
      <w:pPr>
        <w:ind w:left="-460" w:right="40" w:firstLine="644"/>
        <w:spacing w:after="0" w:line="252" w:lineRule="auto"/>
        <w:tabs>
          <w:tab w:leader="none" w:pos="8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Except as would not, singly or in the aggregate, have a Material Adverse Effect: (i) each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plan, within the meaning of Section 3(3) of the Employee Retirement Income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“accumulated funding deficiency” as defined in Section 412 of the Code, whether or not waived, has occurred or is reasonably expected to occur; (iv) the fair market value of the assets of each Plan exceeds the present value of all benefits accrued under such Plan (determined based on those assumptions used to fund such Plan); (v) no “reportable event” (within the meaning of Section 4043(c) of ERISA) has occurred or is reasonably expected to occur; and (vi) neither the Company nor any member of the Controlled Group has incurred, nor reasonably expects to incur, any liability under Title IV of ERISA (other than contributions to the Plan or premiums to the PBGC, in the ordinary course and without default) in respect of a Plan (including a “multiemployer plan”, within the meaning of Section 4001(a)(3) of ERISA).Disclosure Controls.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9" w:lineRule="exact"/>
        <w:rPr>
          <w:rFonts w:ascii="Times New Roman" w:cs="Times New Roman" w:eastAsia="Times New Roman" w:hAnsi="Times New Roman"/>
          <w:sz w:val="18"/>
          <w:szCs w:val="18"/>
          <w:color w:val="auto"/>
        </w:rPr>
      </w:pPr>
    </w:p>
    <w:p>
      <w:pPr>
        <w:ind w:left="-460" w:firstLine="644"/>
        <w:spacing w:after="0" w:line="252" w:lineRule="auto"/>
        <w:tabs>
          <w:tab w:leader="none" w:pos="8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248285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8" w:name="page19"/>
    <w:bookmarkEnd w:id="18"/>
    <w:p>
      <w:pPr>
        <w:ind w:left="-460" w:right="80" w:firstLine="644"/>
        <w:spacing w:after="0" w:line="267" w:lineRule="auto"/>
        <w:tabs>
          <w:tab w:leader="none" w:pos="8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eXtensible Business Reporting Language. </w:t>
      </w:r>
      <w:r>
        <w:rPr>
          <w:rFonts w:ascii="Times New Roman" w:cs="Times New Roman" w:eastAsia="Times New Roman" w:hAnsi="Times New Roman"/>
          <w:sz w:val="18"/>
          <w:szCs w:val="18"/>
          <w:color w:val="auto"/>
        </w:rPr>
        <w:t>The interactive data in eXtensible Business Reporting Language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73" w:lineRule="exact"/>
        <w:rPr>
          <w:rFonts w:ascii="Times New Roman" w:cs="Times New Roman" w:eastAsia="Times New Roman" w:hAnsi="Times New Roman"/>
          <w:sz w:val="18"/>
          <w:szCs w:val="18"/>
          <w:color w:val="auto"/>
        </w:rPr>
      </w:pPr>
    </w:p>
    <w:p>
      <w:pPr>
        <w:ind w:left="-460" w:right="120" w:firstLine="644"/>
        <w:spacing w:after="0" w:line="256" w:lineRule="auto"/>
        <w:tabs>
          <w:tab w:leader="none" w:pos="8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including business interruption insurance, which insurance is in amounts and insures against such losses and risks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as would not reasonably be expected to have, singly or in the aggregate, a Material Adverse Effect.</w:t>
      </w:r>
    </w:p>
    <w:p>
      <w:pPr>
        <w:spacing w:after="0" w:line="182" w:lineRule="exact"/>
        <w:rPr>
          <w:rFonts w:ascii="Times New Roman" w:cs="Times New Roman" w:eastAsia="Times New Roman" w:hAnsi="Times New Roman"/>
          <w:sz w:val="18"/>
          <w:szCs w:val="18"/>
          <w:color w:val="auto"/>
        </w:rPr>
      </w:pPr>
    </w:p>
    <w:p>
      <w:pPr>
        <w:ind w:left="-460" w:right="40" w:firstLine="644"/>
        <w:spacing w:after="0" w:line="253" w:lineRule="auto"/>
        <w:tabs>
          <w:tab w:leader="none" w:pos="80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to the best knowledge of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officer, agent, affiliate,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187" w:lineRule="exact"/>
        <w:rPr>
          <w:rFonts w:ascii="Times New Roman" w:cs="Times New Roman" w:eastAsia="Times New Roman" w:hAnsi="Times New Roman"/>
          <w:sz w:val="18"/>
          <w:szCs w:val="18"/>
          <w:color w:val="auto"/>
        </w:rPr>
      </w:pPr>
    </w:p>
    <w:p>
      <w:pPr>
        <w:ind w:left="-460" w:firstLine="644"/>
        <w:spacing w:after="0" w:line="256" w:lineRule="auto"/>
        <w:tabs>
          <w:tab w:leader="none" w:pos="80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119" w:right="419" w:bottom="1440" w:gutter="0" w:footer="0" w:header="0"/>
        </w:sectPr>
      </w:pPr>
    </w:p>
    <w:bookmarkStart w:id="19" w:name="page20"/>
    <w:bookmarkEnd w:id="19"/>
    <w:p>
      <w:pPr>
        <w:ind w:left="4" w:firstLine="644"/>
        <w:spacing w:after="0" w:line="252" w:lineRule="auto"/>
        <w:tabs>
          <w:tab w:leader="none" w:pos="12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to the knowledge of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officer, agent, employee or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w:t>
      </w:r>
    </w:p>
    <w:p>
      <w:pPr>
        <w:spacing w:after="0" w:line="5"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by any person (including any person participating in the transaction, whether as underwriter,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sz w:val="20"/>
          <w:szCs w:val="20"/>
          <w:color w:val="auto"/>
        </w:rPr>
      </w:pPr>
    </w:p>
    <w:p>
      <w:pPr>
        <w:ind w:left="4" w:right="200" w:firstLine="644"/>
        <w:spacing w:after="0" w:line="258" w:lineRule="auto"/>
        <w:tabs>
          <w:tab w:leader="none" w:pos="12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Except as described in the Registration Statement, the Pricing Disclosure Package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83" w:lineRule="exact"/>
        <w:rPr>
          <w:rFonts w:ascii="Times New Roman" w:cs="Times New Roman" w:eastAsia="Times New Roman" w:hAnsi="Times New Roman"/>
          <w:sz w:val="18"/>
          <w:szCs w:val="18"/>
          <w:color w:val="auto"/>
        </w:rPr>
      </w:pPr>
    </w:p>
    <w:p>
      <w:pPr>
        <w:ind w:left="4" w:right="60" w:firstLine="644"/>
        <w:spacing w:after="0" w:line="267" w:lineRule="auto"/>
        <w:tabs>
          <w:tab w:leader="none" w:pos="12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person (other than this Agreement) that would give rise to a valid claim against the Company or any of its subsidiaries or any Underwriter for a brokerage commission, finder’s fee or like payment in connection with the offering and sale of the Shares.</w:t>
      </w:r>
    </w:p>
    <w:p>
      <w:pPr>
        <w:spacing w:after="0" w:line="173" w:lineRule="exact"/>
        <w:rPr>
          <w:rFonts w:ascii="Times New Roman" w:cs="Times New Roman" w:eastAsia="Times New Roman" w:hAnsi="Times New Roman"/>
          <w:sz w:val="18"/>
          <w:szCs w:val="18"/>
          <w:color w:val="auto"/>
        </w:rPr>
      </w:pPr>
    </w:p>
    <w:p>
      <w:pPr>
        <w:ind w:left="4" w:right="220" w:firstLine="644"/>
        <w:spacing w:after="0" w:line="284" w:lineRule="auto"/>
        <w:tabs>
          <w:tab w:leader="none" w:pos="12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under the Securities Act by reason of the filing of the Registration Statement with the Commission or the issuance and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224790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9" w:right="359" w:bottom="1440" w:gutter="0" w:footer="0" w:header="0"/>
        </w:sectPr>
      </w:pPr>
    </w:p>
    <w:bookmarkStart w:id="20" w:name="page21"/>
    <w:bookmarkEnd w:id="20"/>
    <w:p>
      <w:pPr>
        <w:ind w:left="-460" w:firstLine="644"/>
        <w:spacing w:after="0" w:line="284" w:lineRule="auto"/>
        <w:tabs>
          <w:tab w:leader="none" w:pos="8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has not taken, directly or indirectly, any action designed to or that could reasonably be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cause or 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ind w:left="-460" w:right="380" w:firstLine="644"/>
        <w:spacing w:after="0" w:line="284" w:lineRule="auto"/>
        <w:tabs>
          <w:tab w:leader="none" w:pos="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With Cuba</w:t>
      </w:r>
      <w:r>
        <w:rPr>
          <w:rFonts w:ascii="Times New Roman" w:cs="Times New Roman" w:eastAsia="Times New Roman" w:hAnsi="Times New Roman"/>
          <w:sz w:val="18"/>
          <w:szCs w:val="18"/>
          <w:color w:val="auto"/>
        </w:rPr>
        <w:t>. The Company has complied with all provisions of Section 517.075, Florida Statutes (Chapter 92-198,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of Florida) relating to doing business with the Government of Cuba or with any person or affiliate located in Cuba.</w:t>
      </w:r>
    </w:p>
    <w:p>
      <w:pPr>
        <w:spacing w:after="0" w:line="158" w:lineRule="exact"/>
        <w:rPr>
          <w:rFonts w:ascii="Times New Roman" w:cs="Times New Roman" w:eastAsia="Times New Roman" w:hAnsi="Times New Roman"/>
          <w:sz w:val="18"/>
          <w:szCs w:val="18"/>
          <w:color w:val="auto"/>
        </w:rPr>
      </w:pPr>
    </w:p>
    <w:p>
      <w:pPr>
        <w:ind w:left="-460" w:right="80" w:firstLine="644"/>
        <w:spacing w:after="0" w:line="267" w:lineRule="auto"/>
        <w:tabs>
          <w:tab w:leader="none" w:pos="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ind w:left="-460" w:right="220" w:firstLine="644"/>
        <w:spacing w:after="0" w:line="267" w:lineRule="auto"/>
        <w:tabs>
          <w:tab w:leader="none" w:pos="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21E 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jc w:val="both"/>
        <w:ind w:left="-460" w:right="20" w:firstLine="644"/>
        <w:spacing w:after="0" w:line="267" w:lineRule="auto"/>
        <w:tabs>
          <w:tab w:leader="none" w:pos="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8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their capacities as such, to comply with any provision of the Sarbanes-Oxley Act of 2002, as amended and the rules and regulations promulgated in connection therewith (the “Sarbanes-Oxley Act”), including Section 402 related to loans, Section 404 related to internal control over financial reporting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57" w:lineRule="auto"/>
        <w:tabs>
          <w:tab w:leader="none" w:pos="8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earliest 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1" w:name="page22"/>
    <w:bookmarkEnd w:id="21"/>
    <w:p>
      <w:pPr>
        <w:ind w:left="-460" w:firstLine="644"/>
        <w:spacing w:after="0" w:line="284" w:lineRule="auto"/>
        <w:tabs>
          <w:tab w:leader="none" w:pos="8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Reports</w:t>
      </w:r>
      <w:r>
        <w:rPr>
          <w:rFonts w:ascii="Times New Roman" w:cs="Times New Roman" w:eastAsia="Times New Roman" w:hAnsi="Times New Roman"/>
          <w:sz w:val="18"/>
          <w:szCs w:val="18"/>
          <w:color w:val="auto"/>
        </w:rPr>
        <w:t>. The Company is subject to and in full compliance in all material respects with the reporting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Section 13 or Section 15(d) of the Exchange Act and the rules and regulations of the Commission thereunder.</w:t>
      </w:r>
    </w:p>
    <w:p>
      <w:pPr>
        <w:spacing w:after="0" w:line="158" w:lineRule="exact"/>
        <w:rPr>
          <w:rFonts w:ascii="Times New Roman" w:cs="Times New Roman" w:eastAsia="Times New Roman" w:hAnsi="Times New Roman"/>
          <w:sz w:val="18"/>
          <w:szCs w:val="18"/>
          <w:color w:val="auto"/>
        </w:rPr>
      </w:pPr>
    </w:p>
    <w:p>
      <w:pPr>
        <w:jc w:val="both"/>
        <w:ind w:left="-460" w:right="120" w:firstLine="644"/>
        <w:spacing w:after="0" w:line="267" w:lineRule="auto"/>
        <w:tabs>
          <w:tab w:leader="none" w:pos="8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Ratings</w:t>
      </w:r>
      <w:r>
        <w:rPr>
          <w:rFonts w:ascii="Times New Roman" w:cs="Times New Roman" w:eastAsia="Times New Roman" w:hAnsi="Times New Roman"/>
          <w:sz w:val="18"/>
          <w:szCs w:val="18"/>
          <w:color w:val="auto"/>
        </w:rPr>
        <w:t>. There are no securities or preferred stock of or guaranteed by the Company or any of its subsidiaries that are 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“nationally recognized statistical rating organization,” as such term is defined under Section 3(a)(62) under the Exchange Act, except for the Company’s 2.25% Convertible Senior Notes due 2030 (the “Outstanding Notes”).</w:t>
      </w:r>
    </w:p>
    <w:p>
      <w:pPr>
        <w:spacing w:after="0" w:line="173" w:lineRule="exact"/>
        <w:rPr>
          <w:rFonts w:ascii="Times New Roman" w:cs="Times New Roman" w:eastAsia="Times New Roman" w:hAnsi="Times New Roman"/>
          <w:sz w:val="18"/>
          <w:szCs w:val="18"/>
          <w:color w:val="auto"/>
        </w:rPr>
      </w:pPr>
    </w:p>
    <w:p>
      <w:pPr>
        <w:ind w:left="-460" w:right="20" w:firstLine="644"/>
        <w:spacing w:after="0" w:line="253" w:lineRule="auto"/>
        <w:tabs>
          <w:tab w:leader="none" w:pos="8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 and its subsidiaries’ information technology assets and equipment, computers,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networks, hardware, software, websites, applications, and databases (including the data of their respective customers, employees, suppliers, vendors and any third-party data maintained by or on behalf of the Company and its subsidiaries) (collectively, “IT Systems”) are reasonably adequate for, and operate and perform in all material respects as required in connection with the operation of the business of the Company and its subsidiaries as currently conducted and as proposed to be conducted, and to the knowledge of the Company, free and clear of all material bugs, errors, defects, Trojan horses, time bombs, malware and other corruptants. The Company and its subsidiaries have implemented and maintained commercially reasonable controls, policies, procedures, and safeguards necessary to maintain and protect the integrity, continuous operation, redundancy and security of all IT Systems and data (including all personal, personally identifiable, sensitive, confidential or regulated data (“Data”)) used in connection with their businesses. To the knowledge of the Company, there has been no material security breach, violation, outage, unauthorized use or other compromise of any such IT Systems or Data, except for those that have been remedied without material cost or liability. The Company and its subsidiaries have not been notified of and have no knowledge of any event or condition that would reasonably be expected to result in a material security breach, violation, outage, unauthorized use or other compromise of any IT Systems or Data.</w:t>
      </w:r>
    </w:p>
    <w:p>
      <w:pPr>
        <w:spacing w:after="0" w:line="189" w:lineRule="exact"/>
        <w:rPr>
          <w:rFonts w:ascii="Times New Roman" w:cs="Times New Roman" w:eastAsia="Times New Roman" w:hAnsi="Times New Roman"/>
          <w:sz w:val="18"/>
          <w:szCs w:val="18"/>
          <w:color w:val="auto"/>
        </w:rPr>
      </w:pPr>
    </w:p>
    <w:p>
      <w:pPr>
        <w:ind w:left="-460" w:right="40" w:firstLine="644"/>
        <w:spacing w:after="0" w:line="254" w:lineRule="auto"/>
        <w:tabs>
          <w:tab w:leader="none" w:pos="8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Privacy</w:t>
      </w:r>
      <w:r>
        <w:rPr>
          <w:rFonts w:ascii="Times New Roman" w:cs="Times New Roman" w:eastAsia="Times New Roman" w:hAnsi="Times New Roman"/>
          <w:sz w:val="18"/>
          <w:szCs w:val="18"/>
          <w:color w:val="auto"/>
        </w:rPr>
        <w:t>. Except as would not reasonably be expected to have, singly or in the aggregate, a Material Adverse Effect,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each of its subsidiaries have complied, and are presently in compliance, with all internal and external privacy and security policies and contractual obligations, and, to the Company’s knowledge, all applicable laws, regulations, judgments, orders and rules of any court or arbitrator or other governmental or regulatory authority, in connection with the Company’s and its subsidiaries’ collection, use, transfer, storage, protection, disposal, disclosure or other processing of Data or any other information collected from or provided by third parties (collectively, “Data Security Obligations”). The Company and its subsidiaries have not received any notification of or complaint regarding, or are otherwise unaware of any other facts that, individually or in the aggregate, would reasonably indicate material non-compliance by the Company or any of its subsidiaries with any Data Security Obligation. There is no pending, or to the knowledge of the Company, threatened action, suit or proceeding by or before any court or governmental agency, authority or body alleging material non-compliance with any Data Security Obligation by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2" w:name="page23"/>
    <w:bookmarkEnd w:id="22"/>
    <w:p>
      <w:pPr>
        <w:ind w:left="4" w:right="40" w:firstLine="644"/>
        <w:spacing w:after="0" w:line="273" w:lineRule="auto"/>
        <w:tabs>
          <w:tab w:leader="none" w:pos="126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Outbound Investments</w:t>
      </w:r>
      <w:r>
        <w:rPr>
          <w:rFonts w:ascii="Times New Roman" w:cs="Times New Roman" w:eastAsia="Times New Roman" w:hAnsi="Times New Roman"/>
          <w:sz w:val="17"/>
          <w:szCs w:val="17"/>
          <w:color w:val="auto"/>
        </w:rPr>
        <w:t>. Neither the Company nor any of its subsidiaries is a “covered foreign person” as that term is used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Outbound Investment Rules. Neither the company nor any of its subsidiaries </w:t>
      </w:r>
      <w:r>
        <w:rPr>
          <w:rFonts w:ascii="Times New Roman" w:cs="Times New Roman" w:eastAsia="Times New Roman" w:hAnsi="Times New Roman"/>
          <w:sz w:val="17"/>
          <w:szCs w:val="17"/>
          <w:i w:val="1"/>
          <w:iCs w:val="1"/>
          <w:color w:val="auto"/>
        </w:rPr>
        <w:t>currently</w:t>
      </w:r>
      <w:r>
        <w:rPr>
          <w:rFonts w:ascii="Times New Roman" w:cs="Times New Roman" w:eastAsia="Times New Roman" w:hAnsi="Times New Roman"/>
          <w:sz w:val="17"/>
          <w:szCs w:val="17"/>
          <w:color w:val="auto"/>
        </w:rPr>
        <w:t xml:space="preserve"> engages, or has any present intention to engage in the future, directly or indirectly, in (i) a “covered activity” or a “covered transaction”, as each such term is defined in the Outbound Investment Rules,</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or transaction that would constitute a “covered activity” or a “covered transaction”, as each such term is defined in the Outbound Investment Rules, if the Company were a U.S. Person or (iii) any other activity that would cause the Underwriters to be in violation of the Outbound Investment Rules or cause the Underwriters to be legally prohibited by the Outbound Investment Rules from performing under this Agreement. For the purpose of this Agreement,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§850.202 et seq.</w:t>
      </w:r>
    </w:p>
    <w:p>
      <w:pPr>
        <w:spacing w:after="0" w:line="190" w:lineRule="exact"/>
        <w:rPr>
          <w:sz w:val="20"/>
          <w:szCs w:val="20"/>
          <w:color w:val="auto"/>
        </w:rPr>
      </w:pPr>
    </w:p>
    <w:p>
      <w:pPr>
        <w:ind w:left="624" w:hanging="624"/>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223" w:lineRule="exact"/>
        <w:rPr>
          <w:rFonts w:ascii="Times New Roman" w:cs="Times New Roman" w:eastAsia="Times New Roman" w:hAnsi="Times New Roman"/>
          <w:sz w:val="18"/>
          <w:szCs w:val="18"/>
          <w:color w:val="auto"/>
        </w:rPr>
      </w:pPr>
    </w:p>
    <w:p>
      <w:pPr>
        <w:ind w:left="4" w:right="20" w:firstLine="644"/>
        <w:spacing w:after="0" w:line="254" w:lineRule="auto"/>
        <w:tabs>
          <w:tab w:leader="none" w:pos="13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188" w:lineRule="exact"/>
        <w:rPr>
          <w:rFonts w:ascii="Times New Roman" w:cs="Times New Roman" w:eastAsia="Times New Roman" w:hAnsi="Times New Roman"/>
          <w:sz w:val="18"/>
          <w:szCs w:val="18"/>
          <w:color w:val="auto"/>
        </w:rPr>
      </w:pPr>
    </w:p>
    <w:p>
      <w:pPr>
        <w:ind w:left="4" w:right="20" w:firstLine="644"/>
        <w:spacing w:after="0" w:line="254" w:lineRule="auto"/>
        <w:tabs>
          <w:tab w:leader="none" w:pos="13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Upon written request of the Representative, the Company will deliver, without charge, (i)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243840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9" w:right="359" w:bottom="1440" w:gutter="0" w:footer="0" w:header="0"/>
        </w:sectPr>
      </w:pPr>
    </w:p>
    <w:bookmarkStart w:id="23" w:name="page24"/>
    <w:bookmarkEnd w:id="23"/>
    <w:p>
      <w:pPr>
        <w:ind w:left="-460" w:firstLine="644"/>
        <w:spacing w:after="0" w:line="257" w:lineRule="auto"/>
        <w:tabs>
          <w:tab w:leader="none" w:pos="8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referring to or filing any Issuer Free Writing Prospectus, and before filing any amendment or supplement to the Registration Statement, the Pricing Disclosure Package or the Prospectus , whether before or after the time that the Registration Statement becomes effective, the Company will furnish to the Representative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 reasonably objects.</w:t>
      </w:r>
    </w:p>
    <w:p>
      <w:pPr>
        <w:spacing w:after="0" w:line="182" w:lineRule="exact"/>
        <w:rPr>
          <w:rFonts w:ascii="Times New Roman" w:cs="Times New Roman" w:eastAsia="Times New Roman" w:hAnsi="Times New Roman"/>
          <w:sz w:val="18"/>
          <w:szCs w:val="18"/>
          <w:color w:val="auto"/>
        </w:rPr>
      </w:pPr>
    </w:p>
    <w:p>
      <w:pPr>
        <w:ind w:left="-460" w:firstLine="644"/>
        <w:spacing w:after="0" w:line="252" w:lineRule="auto"/>
        <w:tabs>
          <w:tab w:leader="none" w:pos="8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Registration Statement has become effective; (ii) when any amendment to the Registration Statement has been filed or becomes effective; (iii) when any supplement to the Pricing Disclosure Package, the Prospectus, any Issuer Free Writing Prospectus, any Written Testing the 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 the 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any Written Testing the 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 the 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 the Waters Communication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commercially reasonable best efforts to prevent the issuance of any such order suspending the effectiveness of the Registration Statement, preventing or suspending the use of any Preliminary Prospectus, any of the Pricing Disclosure Package, the Prospectus or any Written Testing the Waters Communication or suspending any such qualification of the Shares and, if any such order is issued, will use commercially reasonable efforts to obtain as soon as possible the withdrawal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243840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9" w:right="359" w:bottom="1440" w:gutter="0" w:footer="0" w:header="0"/>
        </w:sectPr>
      </w:pPr>
    </w:p>
    <w:bookmarkStart w:id="24" w:name="page25"/>
    <w:bookmarkEnd w:id="24"/>
    <w:p>
      <w:pPr>
        <w:ind w:left="-460" w:firstLine="644"/>
        <w:spacing w:after="0" w:line="252" w:lineRule="auto"/>
        <w:tabs>
          <w:tab w:leader="none" w:pos="8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91" w:lineRule="exact"/>
        <w:rPr>
          <w:rFonts w:ascii="Times New Roman" w:cs="Times New Roman" w:eastAsia="Times New Roman" w:hAnsi="Times New Roman"/>
          <w:sz w:val="18"/>
          <w:szCs w:val="18"/>
          <w:color w:val="auto"/>
        </w:rPr>
      </w:pPr>
    </w:p>
    <w:p>
      <w:pPr>
        <w:ind w:left="-460" w:firstLine="644"/>
        <w:spacing w:after="0" w:line="257" w:lineRule="auto"/>
        <w:tabs>
          <w:tab w:leader="none" w:pos="8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If required by applicable law, the Company, with the Underwriters’ cooperation, will qualify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9" w:right="359" w:bottom="1440" w:gutter="0" w:footer="0" w:header="0"/>
        </w:sectPr>
      </w:pPr>
    </w:p>
    <w:bookmarkStart w:id="25" w:name="page26"/>
    <w:bookmarkEnd w:id="25"/>
    <w:p>
      <w:pPr>
        <w:ind w:right="60" w:firstLine="644"/>
        <w:spacing w:after="0" w:line="257" w:lineRule="auto"/>
        <w:tabs>
          <w:tab w:leader="none" w:pos="13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be deemed to have furnished such statement to its security holders and the Representative to the extent such statement is filed on the Commission’s Electronic Data Gathering, Analysis and Retrieval (EDGAR) system.</w:t>
      </w:r>
    </w:p>
    <w:p>
      <w:pPr>
        <w:spacing w:after="0" w:line="182" w:lineRule="exact"/>
        <w:rPr>
          <w:rFonts w:ascii="Times New Roman" w:cs="Times New Roman" w:eastAsia="Times New Roman" w:hAnsi="Times New Roman"/>
          <w:sz w:val="18"/>
          <w:szCs w:val="18"/>
          <w:color w:val="auto"/>
        </w:rPr>
      </w:pPr>
    </w:p>
    <w:p>
      <w:pPr>
        <w:ind w:firstLine="644"/>
        <w:spacing w:after="0" w:line="266" w:lineRule="auto"/>
        <w:tabs>
          <w:tab w:leader="none" w:pos="130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Clear Market. </w:t>
      </w:r>
      <w:r>
        <w:rPr>
          <w:rFonts w:ascii="Times New Roman" w:cs="Times New Roman" w:eastAsia="Times New Roman" w:hAnsi="Times New Roman"/>
          <w:sz w:val="17"/>
          <w:szCs w:val="17"/>
          <w:color w:val="auto"/>
        </w:rPr>
        <w:t>For a period of 60 days after the date of the Prospectus, the Company will not (i) offer, pledge, sell, contract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shares of the Class B common stock of the Company, par value $0.10 per share (together with the Stock, the “Common Equity”), or any securities convertible into or exercisable or exchangeable for Common Equity, or publicly disclose the intention to undertake any of the foregoing, or (ii) enter into any swap or other agreement that transfers, in whole or in part, any of the economic consequences of ownership of the Common Equity or any such other securities, whether any such transaction described in clause (i) or (ii) above is to be settled by delivery of Common Equity or such other securities, in cash or otherwise, without the prior written consent of J.P. Morgan Securities LLC, other than (A) the Shares to be sold hereunder; (B) any shares of Common Stock of the Company issued upon the exercise of options granted under existing employee stock plans described in the Registration Statement, the Pricing Disclosure Package and the Prospectus, and the grants of options, restricted stock, restricted stock units and phantom stock units under such existing employee stock plans described in the Registration Statement, the Pricing Disclosure Package and the Prospectus; (C) the issuance by the Company of any shares of Common Stock upon the exercise of an option or warrant or the conversion of a security outstanding on the date hereof, including any of the Outstanding Notes; (D) the filing of a registration statement with the SEC on Form S-8 in connection with the Company’s employee benefit plans and arrangements; and (E) the issuance of securities in full or partial consideration for any future acquisitions or strategic investments in an aggregate amount not to exceed</w:t>
      </w:r>
    </w:p>
    <w:p>
      <w:pPr>
        <w:spacing w:after="0" w:line="10" w:lineRule="exact"/>
        <w:rPr>
          <w:rFonts w:ascii="Times New Roman" w:cs="Times New Roman" w:eastAsia="Times New Roman" w:hAnsi="Times New Roman"/>
          <w:sz w:val="17"/>
          <w:szCs w:val="17"/>
          <w:color w:val="auto"/>
        </w:rPr>
      </w:pPr>
    </w:p>
    <w:p>
      <w:pPr>
        <w:ind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 of the Company’s outstanding shares of Common Stock on the date hereof, provided that the recipients of such shares shall enter into “lock-up” agreements substantially in the form of Exhibit B hereto.</w:t>
      </w:r>
    </w:p>
    <w:p>
      <w:pPr>
        <w:spacing w:after="0" w:line="179" w:lineRule="exact"/>
        <w:rPr>
          <w:rFonts w:ascii="Times New Roman" w:cs="Times New Roman" w:eastAsia="Times New Roman" w:hAnsi="Times New Roman"/>
          <w:sz w:val="17"/>
          <w:szCs w:val="17"/>
          <w:color w:val="auto"/>
        </w:rPr>
      </w:pPr>
    </w:p>
    <w:p>
      <w:pPr>
        <w:ind w:right="140" w:firstLine="644"/>
        <w:spacing w:after="0" w:line="284" w:lineRule="auto"/>
        <w:tabs>
          <w:tab w:leader="none" w:pos="1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jc w:val="both"/>
        <w:ind w:right="80" w:firstLine="644"/>
        <w:spacing w:after="0" w:line="267" w:lineRule="auto"/>
        <w:tabs>
          <w:tab w:leader="none" w:pos="1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cause or result in any stabilization or manipulation of the price of the Stock and will not take any action prohibited by Regulation M under the Exchange Act in connection with the distribution of the Shares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9" w:right="359" w:bottom="1440" w:gutter="0" w:footer="0" w:header="0"/>
        </w:sectPr>
      </w:pPr>
    </w:p>
    <w:bookmarkStart w:id="26" w:name="page27"/>
    <w:bookmarkEnd w:id="26"/>
    <w:p>
      <w:pPr>
        <w:ind w:left="4" w:right="380" w:firstLine="644"/>
        <w:spacing w:after="0" w:line="284" w:lineRule="auto"/>
        <w:tabs>
          <w:tab w:leader="none" w:pos="13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commercially reasonable best efforts to list, subject to notice of issuance,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New York Stock Exchange (the “Exchange”).</w:t>
      </w:r>
    </w:p>
    <w:p>
      <w:pPr>
        <w:spacing w:after="0" w:line="158" w:lineRule="exact"/>
        <w:rPr>
          <w:rFonts w:ascii="Times New Roman" w:cs="Times New Roman" w:eastAsia="Times New Roman" w:hAnsi="Times New Roman"/>
          <w:sz w:val="18"/>
          <w:szCs w:val="18"/>
          <w:color w:val="auto"/>
        </w:rPr>
      </w:pPr>
    </w:p>
    <w:p>
      <w:pPr>
        <w:ind w:left="4" w:right="140" w:firstLine="644"/>
        <w:spacing w:after="0" w:line="258" w:lineRule="auto"/>
        <w:tabs>
          <w:tab w:leader="none" w:pos="13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So long as the Shares are outstanding, the Company will furnish to the Representative, as soon as they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the Commission’s Electronic Data Gathering, Analysis, and Retrieval system.</w:t>
      </w:r>
    </w:p>
    <w:p>
      <w:pPr>
        <w:spacing w:after="0" w:line="183" w:lineRule="exact"/>
        <w:rPr>
          <w:rFonts w:ascii="Times New Roman" w:cs="Times New Roman" w:eastAsia="Times New Roman" w:hAnsi="Times New Roman"/>
          <w:sz w:val="18"/>
          <w:szCs w:val="18"/>
          <w:color w:val="auto"/>
        </w:rPr>
      </w:pPr>
    </w:p>
    <w:p>
      <w:pPr>
        <w:ind w:left="4" w:right="160" w:firstLine="644"/>
        <w:spacing w:after="0" w:line="284" w:lineRule="auto"/>
        <w:tabs>
          <w:tab w:leader="none" w:pos="12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Writing 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ind w:left="4" w:firstLine="644"/>
        <w:spacing w:after="0" w:line="254" w:lineRule="auto"/>
        <w:tabs>
          <w:tab w:leader="none" w:pos="13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Renewal</w:t>
      </w:r>
      <w:r>
        <w:rPr>
          <w:rFonts w:ascii="Times New Roman" w:cs="Times New Roman" w:eastAsia="Times New Roman" w:hAnsi="Times New Roman"/>
          <w:sz w:val="18"/>
          <w:szCs w:val="18"/>
          <w:color w:val="auto"/>
        </w:rPr>
        <w:t>. If immediately prior to the third anniversary (the “Renewal Deadline”) of the initial effective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 If the Company is not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90"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.Each Underwriter hereby represents and agrees that:</w:t>
      </w:r>
    </w:p>
    <w:p>
      <w:pPr>
        <w:spacing w:after="0" w:line="225" w:lineRule="exact"/>
        <w:rPr>
          <w:rFonts w:ascii="Times New Roman" w:cs="Times New Roman" w:eastAsia="Times New Roman" w:hAnsi="Times New Roman"/>
          <w:sz w:val="18"/>
          <w:szCs w:val="18"/>
          <w:color w:val="auto"/>
        </w:rPr>
      </w:pPr>
    </w:p>
    <w:p>
      <w:pPr>
        <w:ind w:left="4" w:right="60" w:firstLine="644"/>
        <w:spacing w:after="0" w:line="254" w:lineRule="auto"/>
        <w:tabs>
          <w:tab w:leader="none" w:pos="130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244475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19" w:right="419" w:bottom="1440" w:gutter="0" w:footer="0" w:header="0"/>
        </w:sectPr>
      </w:pPr>
    </w:p>
    <w:bookmarkStart w:id="27" w:name="page28"/>
    <w:bookmarkEnd w:id="27"/>
    <w:p>
      <w:pPr>
        <w:ind w:left="4" w:right="100" w:firstLine="644"/>
        <w:spacing w:after="0" w:line="282" w:lineRule="auto"/>
        <w:tabs>
          <w:tab w:leader="none" w:pos="13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130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left="-656" w:firstLine="656"/>
        <w:spacing w:after="0" w:line="266" w:lineRule="auto"/>
        <w:tabs>
          <w:tab w:leader="none" w:pos="6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73" w:lineRule="exact"/>
        <w:rPr>
          <w:rFonts w:ascii="Times New Roman" w:cs="Times New Roman" w:eastAsia="Times New Roman" w:hAnsi="Times New Roman"/>
          <w:sz w:val="18"/>
          <w:szCs w:val="18"/>
          <w:color w:val="auto"/>
        </w:rPr>
      </w:pPr>
    </w:p>
    <w:p>
      <w:pPr>
        <w:ind w:left="4" w:right="20" w:firstLine="644"/>
        <w:spacing w:after="0" w:line="257" w:lineRule="auto"/>
        <w:tabs>
          <w:tab w:leader="none" w:pos="13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82" w:lineRule="exact"/>
        <w:rPr>
          <w:rFonts w:ascii="Times New Roman" w:cs="Times New Roman" w:eastAsia="Times New Roman" w:hAnsi="Times New Roman"/>
          <w:sz w:val="18"/>
          <w:szCs w:val="18"/>
          <w:color w:val="auto"/>
        </w:rPr>
      </w:pPr>
    </w:p>
    <w:p>
      <w:pPr>
        <w:ind w:left="4" w:right="80" w:firstLine="644"/>
        <w:spacing w:after="0" w:line="261" w:lineRule="auto"/>
        <w:tabs>
          <w:tab w:leader="none" w:pos="131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79" w:lineRule="exact"/>
        <w:rPr>
          <w:rFonts w:ascii="Times New Roman" w:cs="Times New Roman" w:eastAsia="Times New Roman" w:hAnsi="Times New Roman"/>
          <w:sz w:val="18"/>
          <w:szCs w:val="18"/>
          <w:color w:val="auto"/>
        </w:rPr>
      </w:pPr>
    </w:p>
    <w:p>
      <w:pPr>
        <w:ind w:left="4" w:right="100" w:firstLine="644"/>
        <w:spacing w:after="0" w:line="258" w:lineRule="auto"/>
        <w:tabs>
          <w:tab w:leader="none" w:pos="13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w:t>
      </w:r>
    </w:p>
    <w:p>
      <w:pPr>
        <w:jc w:val="both"/>
        <w:ind w:left="4"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241300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28" w:name="page29"/>
    <w:bookmarkEnd w:id="28"/>
    <w:p>
      <w:pPr>
        <w:ind w:left="-460" w:firstLine="644"/>
        <w:spacing w:after="0" w:line="258" w:lineRule="auto"/>
        <w:tabs>
          <w:tab w:leader="none" w:pos="8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color w:val="auto"/>
        </w:rPr>
      </w:pPr>
    </w:p>
    <w:p>
      <w:pPr>
        <w:ind w:left="-460" w:firstLine="644"/>
        <w:spacing w:after="0" w:line="256" w:lineRule="auto"/>
        <w:tabs>
          <w:tab w:leader="none" w:pos="8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 shall have received on and as of the Closing Date or the Additional Closing Date,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case may be, a certificate of the chief financial officer or chief accounting officer of the Company and one additional senior executive officer of the Company who is satisfactory to the Representative (i) confirming that such officers have carefully reviewed the Registration Statement, the Pricing Disclosure Package and the Prospectus and, to the knowledge of such officers, the representations set forth in Sections 3(b) and 3(e)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(c) and (d) above.</w:t>
      </w:r>
    </w:p>
    <w:p>
      <w:pPr>
        <w:spacing w:after="0" w:line="182" w:lineRule="exact"/>
        <w:rPr>
          <w:rFonts w:ascii="Times New Roman" w:cs="Times New Roman" w:eastAsia="Times New Roman" w:hAnsi="Times New Roman"/>
          <w:sz w:val="18"/>
          <w:szCs w:val="18"/>
          <w:color w:val="auto"/>
        </w:rPr>
      </w:pPr>
    </w:p>
    <w:p>
      <w:pPr>
        <w:ind w:left="-460" w:right="80" w:firstLine="644"/>
        <w:spacing w:after="0" w:line="256" w:lineRule="auto"/>
        <w:tabs>
          <w:tab w:leader="none" w:pos="8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or the Additional Closing Date,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Deloitte &amp; Touche LLP and Ernst &amp; Young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182" w:lineRule="exact"/>
        <w:rPr>
          <w:rFonts w:ascii="Times New Roman" w:cs="Times New Roman" w:eastAsia="Times New Roman" w:hAnsi="Times New Roman"/>
          <w:sz w:val="18"/>
          <w:szCs w:val="18"/>
          <w:color w:val="auto"/>
        </w:rPr>
      </w:pPr>
    </w:p>
    <w:p>
      <w:pPr>
        <w:ind w:left="-460" w:right="20" w:firstLine="644"/>
        <w:spacing w:after="0" w:line="290" w:lineRule="auto"/>
        <w:tabs>
          <w:tab w:leader="none" w:pos="84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and 10b-5 Statement of Counsel for the Company. </w:t>
      </w:r>
      <w:r>
        <w:rPr>
          <w:rFonts w:ascii="Times New Roman" w:cs="Times New Roman" w:eastAsia="Times New Roman" w:hAnsi="Times New Roman"/>
          <w:sz w:val="17"/>
          <w:szCs w:val="17"/>
          <w:color w:val="auto"/>
        </w:rPr>
        <w:t>Troutman Pepper Locke LLP, counsel for the Company, shall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furnished to the Representative, at the request of the Company, their written opinion and 10b-5 statement, dated the Closing Date or the Additional Closing Date, as the case may be, and addressed to the Underwriters, in form and substance reasonably satisfactory to the Representative.</w:t>
      </w:r>
    </w:p>
    <w:p>
      <w:pPr>
        <w:spacing w:after="0" w:line="155" w:lineRule="exact"/>
        <w:rPr>
          <w:rFonts w:ascii="Times New Roman" w:cs="Times New Roman" w:eastAsia="Times New Roman" w:hAnsi="Times New Roman"/>
          <w:sz w:val="17"/>
          <w:szCs w:val="17"/>
          <w:color w:val="auto"/>
        </w:rPr>
      </w:pPr>
    </w:p>
    <w:p>
      <w:pPr>
        <w:ind w:left="-460" w:right="60" w:firstLine="644"/>
        <w:spacing w:after="0" w:line="261" w:lineRule="auto"/>
        <w:tabs>
          <w:tab w:leader="none" w:pos="8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 shall have received on and as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or the Additional Closing Date, as the case may be, an opinion and 10b-5 statement, addressed to the Underwriters, of Davis Polk &amp; Wardwell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238125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9" w:name="page30"/>
    <w:bookmarkEnd w:id="29"/>
    <w:p>
      <w:pPr>
        <w:ind w:left="660" w:firstLine="644"/>
        <w:spacing w:after="0" w:line="258" w:lineRule="auto"/>
        <w:tabs>
          <w:tab w:leader="none" w:pos="19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83" w:lineRule="exact"/>
        <w:rPr>
          <w:rFonts w:ascii="Times New Roman" w:cs="Times New Roman" w:eastAsia="Times New Roman" w:hAnsi="Times New Roman"/>
          <w:sz w:val="18"/>
          <w:szCs w:val="18"/>
          <w:color w:val="auto"/>
        </w:rPr>
      </w:pPr>
    </w:p>
    <w:p>
      <w:pPr>
        <w:ind w:left="660" w:right="220" w:firstLine="644"/>
        <w:spacing w:after="0" w:line="261" w:lineRule="auto"/>
        <w:tabs>
          <w:tab w:leader="none" w:pos="19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or the Additional Closing Date,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satisfactory evidence of the good standing of the Company and the subsidiaries listed in Schedule 2-1 hereto in their respective jurisdictions of organization and their good standing in such other jurisdictions as the Representative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660" w:right="240" w:firstLine="644"/>
        <w:spacing w:after="0" w:line="284" w:lineRule="auto"/>
        <w:tabs>
          <w:tab w:leader="none" w:pos="19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or the Additional Closing Date, as the case may be,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approved for listing on the Exchange, subject to official notice of issuance.</w:t>
      </w:r>
    </w:p>
    <w:p>
      <w:pPr>
        <w:spacing w:after="0" w:line="158"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19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 Exhibit B hereto, between you and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executive officers and directors of the Company (all of which are identified on Exhibit B-1) relating to sales and certain other dispositions of shares of Common Equity or certain other securities, delivered to you on or before the date hereof, shall be in full force and effect on the Closing Date or the Additional Closing Date, as the case may be.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9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furnished to the Representative such further certificates and documents as the Representative may reasonably request.</w:t>
      </w:r>
    </w:p>
    <w:p>
      <w:pPr>
        <w:spacing w:after="0" w:line="16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30" w:name="page31"/>
    <w:bookmarkEnd w:id="30"/>
    <w:p>
      <w:pPr>
        <w:ind w:left="624" w:hanging="624"/>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56" w:firstLine="656"/>
        <w:spacing w:after="0" w:line="252" w:lineRule="auto"/>
        <w:tabs>
          <w:tab w:leader="none" w:pos="5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 the 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paragraph (b) below.</w:t>
      </w:r>
    </w:p>
    <w:p>
      <w:pPr>
        <w:spacing w:after="0" w:line="195" w:lineRule="exact"/>
        <w:rPr>
          <w:rFonts w:ascii="Times New Roman" w:cs="Times New Roman" w:eastAsia="Times New Roman" w:hAnsi="Times New Roman"/>
          <w:sz w:val="18"/>
          <w:szCs w:val="18"/>
          <w:color w:val="auto"/>
        </w:rPr>
      </w:pPr>
    </w:p>
    <w:p>
      <w:pPr>
        <w:ind w:left="-656" w:right="60" w:firstLine="656"/>
        <w:spacing w:after="0" w:line="253" w:lineRule="auto"/>
        <w:tabs>
          <w:tab w:leader="none" w:pos="6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Issuer Free Writing Prospectus, any Written Testing the 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statements regarding the Underwriters’ stabilization activities contained in the thirteenth and fourteenth paragraphs under the caption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246380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31" w:name="page32"/>
    <w:bookmarkEnd w:id="31"/>
    <w:p>
      <w:pPr>
        <w:ind w:left="-656" w:firstLine="656"/>
        <w:spacing w:after="0" w:line="251" w:lineRule="auto"/>
        <w:tabs>
          <w:tab w:leader="none" w:pos="5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J.P. Morgan Securities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written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(which consent shall not be unreasonably withheld),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9" w:right="359" w:bottom="1440" w:gutter="0" w:footer="0" w:header="0"/>
        </w:sectPr>
      </w:pPr>
    </w:p>
    <w:bookmarkStart w:id="32" w:name="page33"/>
    <w:bookmarkEnd w:id="32"/>
    <w:p>
      <w:pPr>
        <w:ind w:left="-656" w:firstLine="656"/>
        <w:spacing w:after="0" w:line="253" w:lineRule="auto"/>
        <w:tabs>
          <w:tab w:leader="none" w:pos="6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rFonts w:ascii="Times New Roman" w:cs="Times New Roman" w:eastAsia="Times New Roman" w:hAnsi="Times New Roman"/>
          <w:sz w:val="18"/>
          <w:szCs w:val="18"/>
          <w:color w:val="auto"/>
        </w:rPr>
      </w:pPr>
    </w:p>
    <w:p>
      <w:pPr>
        <w:ind w:left="-656" w:firstLine="656"/>
        <w:spacing w:after="0" w:line="253" w:lineRule="auto"/>
        <w:tabs>
          <w:tab w:leader="none" w:pos="5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left="-656" w:right="140" w:firstLine="656"/>
        <w:spacing w:after="0" w:line="284" w:lineRule="auto"/>
        <w:tabs>
          <w:tab w:leader="none" w:pos="6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otherwise be available to any Indemnified Person at law or in equity.</w:t>
      </w:r>
    </w:p>
    <w:p>
      <w:pPr>
        <w:spacing w:after="0" w:line="160" w:lineRule="exact"/>
        <w:rPr>
          <w:sz w:val="20"/>
          <w:szCs w:val="20"/>
          <w:color w:val="auto"/>
        </w:rPr>
      </w:pPr>
    </w:p>
    <w:p>
      <w:pPr>
        <w:ind w:left="624" w:hanging="624"/>
        <w:spacing w:after="0"/>
        <w:tabs>
          <w:tab w:leader="none" w:pos="6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9" w:right="359" w:bottom="1440" w:gutter="0" w:footer="0" w:header="0"/>
        </w:sectPr>
      </w:pPr>
    </w:p>
    <w:bookmarkStart w:id="33" w:name="page34"/>
    <w:bookmarkEnd w:id="33"/>
    <w:p>
      <w:pPr>
        <w:ind w:left="-656" w:firstLine="656"/>
        <w:spacing w:after="0" w:line="254" w:lineRule="auto"/>
        <w:tabs>
          <w:tab w:leader="none" w:pos="6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written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8"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right="20" w:firstLine="656"/>
        <w:spacing w:after="0" w:line="218" w:lineRule="exact"/>
        <w:tabs>
          <w:tab w:leader="none" w:pos="6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it being understood that the Company shall have no obligation to so procure any other persons to purchase such Shares. If other persons become obligated or agree to purchase the Shares of a defaulting Underwriter, either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200" w:lineRule="exact"/>
        <w:rPr>
          <w:rFonts w:ascii="Times New Roman" w:cs="Times New Roman" w:eastAsia="Times New Roman" w:hAnsi="Times New Roman"/>
          <w:sz w:val="18"/>
          <w:szCs w:val="18"/>
          <w:color w:val="auto"/>
        </w:rPr>
      </w:pPr>
    </w:p>
    <w:p>
      <w:pPr>
        <w:ind w:left="-656" w:right="160" w:firstLine="656"/>
        <w:spacing w:after="0" w:line="256" w:lineRule="auto"/>
        <w:tabs>
          <w:tab w:leader="none" w:pos="6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241935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4" w:name="page35"/>
    <w:bookmarkEnd w:id="34"/>
    <w:p>
      <w:pPr>
        <w:ind w:left="-656" w:right="20" w:firstLine="656"/>
        <w:spacing w:after="0" w:line="254" w:lineRule="auto"/>
        <w:tabs>
          <w:tab w:leader="none" w:pos="6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1" w:lineRule="exact"/>
        <w:rPr>
          <w:rFonts w:ascii="Times New Roman" w:cs="Times New Roman" w:eastAsia="Times New Roman" w:hAnsi="Times New Roman"/>
          <w:sz w:val="18"/>
          <w:szCs w:val="18"/>
          <w:color w:val="auto"/>
        </w:rPr>
      </w:pPr>
    </w:p>
    <w:p>
      <w:pPr>
        <w:ind w:left="-656" w:right="540" w:firstLine="656"/>
        <w:spacing w:after="0" w:line="282" w:lineRule="auto"/>
        <w:tabs>
          <w:tab w:leader="none" w:pos="6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624" w:hanging="624"/>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656" w:firstLine="656"/>
        <w:spacing w:after="0" w:line="252" w:lineRule="auto"/>
        <w:tabs>
          <w:tab w:leader="none" w:pos="5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 an amount not to exceed, when taken together with costs, fees and expenses incurred pursuant to clause (iv), $30,000 (exclusive of filing fees)); (viii) all expenses incurred by the Company in connection with any “road show” presentation to potential investors; and (ix) all expenses and application fees related to the listing of the Shares on the Exchange. It is understood, however, that the Underwriters will pay all of their own costs and expenses, including the fees of their counsel, except that the Company will continue to be liable for the payment of expenses as set forth in Sections 7 and 11(b).</w:t>
      </w:r>
    </w:p>
    <w:p>
      <w:pPr>
        <w:spacing w:after="0" w:line="197" w:lineRule="exact"/>
        <w:rPr>
          <w:rFonts w:ascii="Times New Roman" w:cs="Times New Roman" w:eastAsia="Times New Roman" w:hAnsi="Times New Roman"/>
          <w:sz w:val="18"/>
          <w:szCs w:val="18"/>
          <w:color w:val="auto"/>
        </w:rPr>
      </w:pPr>
    </w:p>
    <w:p>
      <w:pPr>
        <w:ind w:left="-656" w:right="80" w:firstLine="656"/>
        <w:spacing w:after="0" w:line="261" w:lineRule="auto"/>
        <w:tabs>
          <w:tab w:leader="none" w:pos="6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reasonable and documented out-of-pocket costs and expenses (including the reasonable and documented fees and expenses of their counsel) reasonably incurred by the Underwriters in connection with this Agreement and the offering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236855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35" w:name="page36"/>
    <w:bookmarkEnd w:id="35"/>
    <w:p>
      <w:pPr>
        <w:jc w:val="both"/>
        <w:ind w:left="-656" w:right="140" w:firstLine="656"/>
        <w:spacing w:after="0" w:line="261" w:lineRule="auto"/>
        <w:tabs>
          <w:tab w:leader="none" w:pos="6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79" w:lineRule="exact"/>
        <w:rPr>
          <w:rFonts w:ascii="Times New Roman" w:cs="Times New Roman" w:eastAsia="Times New Roman" w:hAnsi="Times New Roman"/>
          <w:sz w:val="18"/>
          <w:szCs w:val="18"/>
          <w:color w:val="auto"/>
        </w:rPr>
      </w:pPr>
    </w:p>
    <w:p>
      <w:pPr>
        <w:ind w:left="-656" w:firstLine="656"/>
        <w:spacing w:after="0" w:line="261" w:lineRule="auto"/>
        <w:tabs>
          <w:tab w:leader="none" w:pos="6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ind w:left="-656" w:right="400" w:firstLine="656"/>
        <w:spacing w:after="0" w:line="266" w:lineRule="auto"/>
        <w:tabs>
          <w:tab w:leader="none" w:pos="6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ind w:left="-656" w:right="60" w:firstLine="656"/>
        <w:spacing w:after="0" w:line="261" w:lineRule="auto"/>
        <w:tabs>
          <w:tab w:leader="none" w:pos="6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56" w:firstLine="656"/>
        <w:spacing w:after="0" w:line="261" w:lineRule="auto"/>
        <w:tabs>
          <w:tab w:leader="none" w:pos="6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 c/o J.P. Morgan Securities LLC, 270 Park Avenue, New York, New York 10017 (fax: (212) 622-8358); Attention: Equity Syndicate Desk. Notices to the Company shall be given to Vishay Intertechnology, Inc., 63 Lancaster Avenue, Malvern, Pennsylvania 19355 (fax: 1-484-631-0835); Attention: Corporate Controller.</w:t>
      </w:r>
    </w:p>
    <w:p>
      <w:pPr>
        <w:spacing w:after="0" w:line="179" w:lineRule="exact"/>
        <w:rPr>
          <w:rFonts w:ascii="Times New Roman" w:cs="Times New Roman" w:eastAsia="Times New Roman" w:hAnsi="Times New Roman"/>
          <w:sz w:val="18"/>
          <w:szCs w:val="18"/>
          <w:color w:val="auto"/>
        </w:rPr>
      </w:pPr>
    </w:p>
    <w:p>
      <w:pPr>
        <w:ind w:left="-656" w:right="160" w:firstLine="656"/>
        <w:spacing w:after="0" w:line="284" w:lineRule="auto"/>
        <w:tabs>
          <w:tab w:leader="none" w:pos="6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656" w:right="80" w:firstLine="656"/>
        <w:spacing w:after="0" w:line="258" w:lineRule="auto"/>
        <w:tabs>
          <w:tab w:leader="none" w:pos="6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240665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36" w:name="page37"/>
    <w:bookmarkEnd w:id="36"/>
    <w:p>
      <w:pPr>
        <w:ind w:left="-656" w:right="60" w:firstLine="656"/>
        <w:spacing w:after="0" w:line="284" w:lineRule="auto"/>
        <w:tabs>
          <w:tab w:leader="none" w:pos="6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Agreement.</w:t>
      </w:r>
    </w:p>
    <w:p>
      <w:pPr>
        <w:spacing w:after="0" w:line="158" w:lineRule="exact"/>
        <w:rPr>
          <w:rFonts w:ascii="Times New Roman" w:cs="Times New Roman" w:eastAsia="Times New Roman" w:hAnsi="Times New Roman"/>
          <w:sz w:val="18"/>
          <w:szCs w:val="18"/>
          <w:color w:val="auto"/>
        </w:rPr>
      </w:pPr>
    </w:p>
    <w:p>
      <w:pPr>
        <w:ind w:left="-656" w:right="480" w:firstLine="656"/>
        <w:spacing w:after="0" w:line="258" w:lineRule="auto"/>
        <w:tabs>
          <w:tab w:leader="none" w:pos="5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656" w:right="340" w:firstLine="656"/>
        <w:spacing w:after="0" w:line="284" w:lineRule="auto"/>
        <w:tabs>
          <w:tab w:leader="none" w:pos="6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656" w:right="40" w:firstLine="656"/>
        <w:spacing w:after="0" w:line="284" w:lineRule="auto"/>
        <w:tabs>
          <w:tab w:leader="none" w:pos="6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interpretation of, this Agreement.</w:t>
      </w:r>
    </w:p>
    <w:p>
      <w:pPr>
        <w:spacing w:after="0" w:line="158"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180" w:firstLine="644"/>
        <w:spacing w:after="0" w:line="261" w:lineRule="auto"/>
        <w:tabs>
          <w:tab w:leader="none" w:pos="86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right="340" w:firstLine="644"/>
        <w:spacing w:after="0" w:line="261" w:lineRule="auto"/>
        <w:tabs>
          <w:tab w:leader="none" w:pos="9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this Section 16(h):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9" w:right="359" w:bottom="1440" w:gutter="0" w:footer="0" w:header="0"/>
        </w:sectPr>
      </w:pPr>
    </w:p>
    <w:bookmarkStart w:id="37" w:name="page38"/>
    <w:bookmarkEnd w:id="37"/>
    <w:p>
      <w:pPr>
        <w:ind w:left="780" w:hanging="272"/>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3620" w:right="920" w:hanging="3436"/>
        <w:spacing w:after="0" w:line="511" w:lineRule="auto"/>
        <w:tabs>
          <w:tab w:leader="none" w:pos="4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 [</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21" w:right="37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E. McConnell</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E. McConnell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jc w:val="both"/>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Mehul Choudhary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jc w:val="right"/>
        <w:ind w:right="91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Schedule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Underwriter</w:t>
            </w:r>
          </w:p>
        </w:tc>
        <w:tc>
          <w:tcPr>
            <w:tcW w:w="48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Number of Underwritten Shares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spacing w:after="0"/>
              <w:rPr>
                <w:sz w:val="20"/>
                <w:szCs w:val="20"/>
                <w:color w:val="auto"/>
              </w:rPr>
            </w:pPr>
          </w:p>
        </w:tc>
        <w:tc>
          <w:tcPr>
            <w:tcW w:w="20" w:type="dxa"/>
            <w:vAlign w:val="bottom"/>
            <w:tcBorders>
              <w:top w:val="single" w:sz="8" w:color="auto"/>
            </w:tcBorders>
            <w:vMerge w:val="restart"/>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1,114,286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1,114,286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1,114,286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417,857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417,857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417,857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2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417,857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Schedule 2</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Significant Subsidiaries</w:t>
      </w:r>
    </w:p>
    <w:p>
      <w:pPr>
        <w:spacing w:after="0" w:line="225" w:lineRule="exact"/>
        <w:rPr>
          <w:sz w:val="20"/>
          <w:szCs w:val="20"/>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Siliconix incorporated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Siliconix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GSI,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General Semiconductor, L.P.</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General Semiconductor,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General Semiconductor of Taiwan, Ltd.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Israel Limited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Europe GmbH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Semiconductor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Schedule 2-1</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Good Standing Certificates</w:t>
      </w:r>
    </w:p>
    <w:p>
      <w:pPr>
        <w:spacing w:after="0" w:line="225" w:lineRule="exact"/>
        <w:rPr>
          <w:sz w:val="20"/>
          <w:szCs w:val="20"/>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Siliconix incorporated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Siliconix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GSI,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General Semiconductor,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Vishay Israel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ind w:left="660" w:right="8500" w:hanging="652"/>
        <w:spacing w:after="0" w:line="50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Pricing Information Provided Orally by Underwriters</w:t>
      </w:r>
    </w:p>
    <w:p>
      <w:pPr>
        <w:spacing w:after="0" w:line="22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Underwritten Shares: 15,000,000</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 Shares: 2,250,000</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Public Offering Price: $50.00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21" w:lineRule="exact"/>
        <w:rPr>
          <w:sz w:val="20"/>
          <w:szCs w:val="20"/>
          <w:color w:val="auto"/>
        </w:rPr>
      </w:pPr>
    </w:p>
    <w:p>
      <w:pPr>
        <w:ind w:left="660" w:right="7140" w:hanging="652"/>
        <w:spacing w:after="0" w:line="537"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Testing the Waters Communications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TESTING-THE-WATERS AUTHORIZATION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 “Testing the Waters” Authorization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reliance on Rule 163B under the Securities Act of 1933, as amended (the “Act”), Vishay Intertechnology, Inc. (the “Issuer”) hereby authorizes J.P. Morgan Securities LLC (“J. P. Morgan”) and its affiliates and their respective employees to engage on behalf of the Issuer in oral and written communications with potential investors that are or are reasonably believed to be “qualified institutional buyers”, as defined in Rule 144A under the Act, or institutions that are “accredited investors”, within the meaning of Rule 501(a)(1), (a)(2), (a)(3), (a)(7), (a)(8), (a)(9), (a)(12) or (a)(13) under the Act, to determine whether such investors might have an interest in the Issuer’s contemplated public offering (“Testing-the-Waters Communications”).</w:t>
      </w:r>
    </w:p>
    <w:p>
      <w:pPr>
        <w:spacing w:after="0" w:line="18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 “Written Testing-the Waters Communication” means any Testing-the-Waters Communication that is a written communication within the meaning of Rule 405 under the Act. J.P. Morgan agrees that it shall not distribute any Written Testing-the-Waters Communication that has not been approved by the Issuer.</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and will promptly amend or supplement, at its own expense, such Written Testing-the-Waters Communication to eliminate or correct such untrue statement or omission.</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Nothing in this authorization is intended to limit or otherwise affect the ability of J.P. Morgan and its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a written notice revoking this authorization. All notices as described herein shall be sent by email to the attention of Sagar Kapadia at sagar.a.kapadia@jpmorgan.com.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_____________,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Vishay Intertechnology, Inc. – Public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J.P. Morgan Securities LLC (“</w:t>
      </w:r>
      <w:r>
        <w:rPr>
          <w:rFonts w:ascii="Times New Roman" w:cs="Times New Roman" w:eastAsia="Times New Roman" w:hAnsi="Times New Roman"/>
          <w:sz w:val="18"/>
          <w:szCs w:val="18"/>
          <w:b w:val="1"/>
          <w:bCs w:val="1"/>
          <w:color w:val="auto"/>
        </w:rPr>
        <w:t>JPMorgan</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Vishay Intertechnology,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JPMorgan of common stock of the Company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Capitalized terms used herein and not otherwise defined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the Underwriting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consideration of JPMorgan’s agreement to purchase and make the Public Offering of the Securities, and for other good and valuable consideration receipt of which is hereby acknowledged, the undersigned hereby agrees that, without the prior written consent of JPMorgan, the undersigned will not, and will not cause any direct or indirect affiliate to, during the period beginning on the date of this letter agreement (this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and ending at the close of business 60 days after the date of the final prospectus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(such period,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to purchase, lend, or otherwise transfer or dispose of, directly or indirectly, any shares of (i) common stock, $0.10 per share par value, of the Company or (ii) Class B common stock, $0.10 per share par value, of the Company ((i) and (ii), together,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5"/>
        <w:spacing w:after="0"/>
        <w:rPr>
          <w:sz w:val="20"/>
          <w:szCs w:val="20"/>
          <w:color w:val="auto"/>
        </w:rPr>
      </w:pPr>
      <w:r>
        <w:rPr>
          <w:rFonts w:ascii="Times New Roman" w:cs="Times New Roman" w:eastAsia="Times New Roman" w:hAnsi="Times New Roman"/>
          <w:sz w:val="18"/>
          <w:szCs w:val="18"/>
          <w:color w:val="auto"/>
        </w:rPr>
        <w:t>Notwithstanding the foregoing, the aforementioned restrictions on transfers of the undersigned’s Lock-Up Securities shall not apply to:</w:t>
      </w:r>
    </w:p>
    <w:p>
      <w:pPr>
        <w:spacing w:after="0" w:line="225" w:lineRule="exact"/>
        <w:rPr>
          <w:sz w:val="20"/>
          <w:szCs w:val="20"/>
          <w:color w:val="auto"/>
        </w:rPr>
      </w:pPr>
    </w:p>
    <w:p>
      <w:pPr>
        <w:ind w:left="565" w:hanging="565"/>
        <w:spacing w:after="0"/>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gift or gifts;</w:t>
      </w:r>
    </w:p>
    <w:p>
      <w:pPr>
        <w:spacing w:after="0" w:line="225" w:lineRule="exact"/>
        <w:rPr>
          <w:rFonts w:ascii="Times New Roman" w:cs="Times New Roman" w:eastAsia="Times New Roman" w:hAnsi="Times New Roman"/>
          <w:sz w:val="18"/>
          <w:szCs w:val="18"/>
          <w:color w:val="auto"/>
        </w:rPr>
      </w:pPr>
    </w:p>
    <w:p>
      <w:pPr>
        <w:ind w:left="565" w:hanging="565"/>
        <w:spacing w:after="0"/>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any trust for the direct or indirect benefit of the undersigned and/or a member of the immediate family of the undersigned;</w:t>
      </w:r>
    </w:p>
    <w:p>
      <w:pPr>
        <w:spacing w:after="0" w:line="225" w:lineRule="exact"/>
        <w:rPr>
          <w:rFonts w:ascii="Times New Roman" w:cs="Times New Roman" w:eastAsia="Times New Roman" w:hAnsi="Times New Roman"/>
          <w:sz w:val="18"/>
          <w:szCs w:val="18"/>
          <w:color w:val="auto"/>
        </w:rPr>
      </w:pPr>
    </w:p>
    <w:p>
      <w:pPr>
        <w:ind w:left="565" w:hanging="565"/>
        <w:spacing w:after="0"/>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or intestacy to a member of the immediate family of the undersigned;</w:t>
      </w:r>
    </w:p>
    <w:p>
      <w:pPr>
        <w:spacing w:after="0" w:line="221" w:lineRule="exact"/>
        <w:rPr>
          <w:rFonts w:ascii="Times New Roman" w:cs="Times New Roman" w:eastAsia="Times New Roman" w:hAnsi="Times New Roman"/>
          <w:sz w:val="18"/>
          <w:szCs w:val="18"/>
          <w:color w:val="auto"/>
        </w:rPr>
      </w:pPr>
    </w:p>
    <w:p>
      <w:pPr>
        <w:jc w:val="both"/>
        <w:ind w:left="565" w:hanging="565"/>
        <w:spacing w:after="0" w:line="268" w:lineRule="auto"/>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contract, instruction or plan (a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that satisfies all of the requirements of Rule 10b5-1(c)(1)(i)(B)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sales of the undersigned’s Lock-Up Securities shall be made pursuant to such 10b5-1 Plan during the Restricted Period;</w:t>
      </w:r>
    </w:p>
    <w:p>
      <w:pPr>
        <w:spacing w:after="0" w:line="172" w:lineRule="exact"/>
        <w:rPr>
          <w:rFonts w:ascii="Times New Roman" w:cs="Times New Roman" w:eastAsia="Times New Roman" w:hAnsi="Times New Roman"/>
          <w:sz w:val="18"/>
          <w:szCs w:val="18"/>
          <w:color w:val="auto"/>
        </w:rPr>
      </w:pPr>
    </w:p>
    <w:p>
      <w:pPr>
        <w:jc w:val="both"/>
        <w:ind w:left="565" w:hanging="565"/>
        <w:spacing w:after="0" w:line="267" w:lineRule="auto"/>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made pursuant to a 10b5-1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10b5-1 Plan was established prior to the date of this Letter Agreement, disclosed to JPMorgan in writing and that any required report under the Exchange Act filed in connection with such sale shall indicate that the sale was pursuant to such 10b5-1 Plan;</w:t>
      </w:r>
    </w:p>
    <w:p>
      <w:pPr>
        <w:spacing w:after="0" w:line="175" w:lineRule="exact"/>
        <w:rPr>
          <w:rFonts w:ascii="Times New Roman" w:cs="Times New Roman" w:eastAsia="Times New Roman" w:hAnsi="Times New Roman"/>
          <w:sz w:val="18"/>
          <w:szCs w:val="18"/>
          <w:color w:val="auto"/>
        </w:rPr>
      </w:pPr>
    </w:p>
    <w:p>
      <w:pPr>
        <w:ind w:left="565" w:right="20" w:hanging="565"/>
        <w:spacing w:after="0" w:line="282" w:lineRule="auto"/>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from any grantor retained annuity trust established for the direct benefit of the undersigned and/or a member of the immediate family of the undersigned pursuant to the terms of such trust;</w:t>
      </w:r>
    </w:p>
    <w:p>
      <w:pPr>
        <w:spacing w:after="0" w:line="161" w:lineRule="exact"/>
        <w:rPr>
          <w:rFonts w:ascii="Times New Roman" w:cs="Times New Roman" w:eastAsia="Times New Roman" w:hAnsi="Times New Roman"/>
          <w:sz w:val="18"/>
          <w:szCs w:val="18"/>
          <w:color w:val="auto"/>
        </w:rPr>
      </w:pPr>
    </w:p>
    <w:p>
      <w:pPr>
        <w:ind w:left="565" w:hanging="565"/>
        <w:spacing w:after="0" w:line="282" w:lineRule="auto"/>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any partnership, corporation or limited liability company controlled by the undersigned or by a member of the immediate family of the undersigned;</w:t>
      </w:r>
    </w:p>
    <w:p>
      <w:pPr>
        <w:spacing w:after="0" w:line="161" w:lineRule="exact"/>
        <w:rPr>
          <w:rFonts w:ascii="Times New Roman" w:cs="Times New Roman" w:eastAsia="Times New Roman" w:hAnsi="Times New Roman"/>
          <w:sz w:val="18"/>
          <w:szCs w:val="18"/>
          <w:color w:val="auto"/>
        </w:rPr>
      </w:pPr>
    </w:p>
    <w:p>
      <w:pPr>
        <w:jc w:val="both"/>
        <w:ind w:left="565" w:hanging="565"/>
        <w:spacing w:after="0" w:line="266" w:lineRule="auto"/>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stock options or vesting of restricted stock awards pursuant to the Company’s stock incentive plans described in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shares of Common Stock shall continue to be subject to the restrictions set forth in this Lock-Up Agreement; and</w:t>
      </w:r>
    </w:p>
    <w:p>
      <w:pPr>
        <w:spacing w:after="0" w:line="175" w:lineRule="exact"/>
        <w:rPr>
          <w:rFonts w:ascii="Times New Roman" w:cs="Times New Roman" w:eastAsia="Times New Roman" w:hAnsi="Times New Roman"/>
          <w:sz w:val="18"/>
          <w:szCs w:val="18"/>
          <w:color w:val="auto"/>
        </w:rPr>
      </w:pPr>
    </w:p>
    <w:p>
      <w:pPr>
        <w:jc w:val="both"/>
        <w:ind w:left="565" w:hanging="565"/>
        <w:spacing w:after="0" w:line="256" w:lineRule="auto"/>
        <w:tabs>
          <w:tab w:leader="none" w:pos="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Company, or the withholding of Lock-Up Securities by the Company, in connection with a vesting event of the Company’s securities granted pursuant to a stock incentive plan or stock purchase plan described in the Prospectus, to cover tax withholding obligations or the payment of taxes due in connection with the vesting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undersigned is required to file a report under Section 16(a) of the Exchange Act during the Restricted Period, the undersigned shall clearly indicate in the footnotes thereto that the purpose of such transfer is to cover such tax withholding obligations or the payment of taxes due in connection with the vesting event,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other public announcement shall be made voluntarily in connection with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241935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5"/>
          </w:cols>
          <w:pgMar w:left="935" w:top="121" w:right="339" w:bottom="1440" w:gutter="0" w:footer="0" w:header="0"/>
        </w:sectPr>
      </w:pPr>
    </w:p>
    <w:bookmarkStart w:id="48" w:name="page49"/>
    <w:bookmarkEnd w:id="4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gift, disposition, transfer or distribution pursuant to clauses (i), (ii), (iii), (vi) or (vii), (a) such transfer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a disposition for value and (b) each donee, transferee or distributee shall agree to be bound in writing for the benefit of JPMorgan by the same restrictions with respect to such Lock-Up Securities as the undersigned is bound hereunder;</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in the case of clauses (i), (ii), (iv), (v), (vi) and (vii), no party, including the undersigned, shall (a) be required to, nor shall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voluntarily, file a report under the Exchange Act in connection with such disposition, transfer or other action so permitted (other than (A) a filing on Form 5 made after the expiration of the Restricted Period,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if the Restricted Period has not terminated by the 45th day after the Company’s fiscal year end, then a filing on Form 5 shall be permitted on such 45th day, or if such 45th day is a weekend or legal holiday, then on the next business day, (B) a filing in the case of a transfer pursuant to clause (i) required pursuant to Section 16(a) of the Exchange Act,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any such filing shall state that such transfer is a bona fide gift and that such shares remain subject to the restrictions set forth herein and (C) a public announcement or filing under the Exchange Act, if any, to the extent required by or on behalf of the undersigned or the Company regarding the establishment of a 10b5-1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announcement or filing shall include a statement to the effect that no transfer of Lock-Up Securities may be made under such plan during the Restricted Period) or (b) otherwise voluntarily effect any public filing, report or announcement of such disposition, transfer or other action so permitted.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a party to or an intended beneficiary of this Letter Agreement and has no right or obligation to enforce any of its terms.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JPMorgan has not provided any recommendation or investment advice nor has JPMorgan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JPMorgan may be required or choose to provide certain Regulation Best Interest and Form CRS disclosures to you in connection with the Public Offering, JPMorgan is not making a recommendation to you to enter into this Letter Agreement, and nothing set forth in such disclosures is intended to suggest that JPMorgan is making such a recommendation.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consents to receipt of this agreement in electronic form and understands and agrees that this agreement may be signed electronically (including pdf or any electronic signature complying with the U.S. federal ESIGN Act of 2000, e.g., www.docusign.com). In the event that any signature is delivered by facsimile transmission, electronic mail, or otherwise by electronic transmission evidencing an intent to sign this agreement,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does not become effective, if the Underwriting Agreement (other than the provisions thereof which survive termination) shall terminate or be terminated prior to payment for and delivery of the Securities to be sold thereunder or if the Underwriting Agreement has not been executed by July 31, 2026, the undersigned shall be released from all obligations under this Letter Agreement. The undersigned understands that JPMorgan is entering into the Underwriting Agreement and proceeding with the Public Offering in reliance upon this Letter Agreement.</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225425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121" w:right="5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(please print full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2854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28543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Zandman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Renee Booth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Michiko Kurahashi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Abraham Ludomirski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Malvisi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Smejkal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Ruta Zandman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Zilberman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Smejkal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McConnell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Shoshani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Henrici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-119380</wp:posOffset>
            </wp:positionV>
            <wp:extent cx="1525905" cy="497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25905" cy="4972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Lancaster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 Registered Public Offering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Vishay Intertechnology,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 sale and issuance of up to 17,250,000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$0.10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pursuant to the terms of that certain Underwriting Agreement, dated as of June 29, 2026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by and between the Company and J.P. Morgan Securities LLC, as representative of the several underwriters named in Schedule 1 to the Underwriting Agreement. The Shares are being offered and sold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pursuant to a Registration Statement on Form S-3 (No. 333-297116) (such Registration Statement, as amended, and the documents incorporated by reference therein,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originally filed and automatically effective on June 29, 2026 with the Securities and Exchange Commission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the preliminary prospectus supplement related to the Offering, dated June 26, 2026 (the “</w:t>
      </w:r>
      <w:r>
        <w:rPr>
          <w:rFonts w:ascii="Times New Roman" w:cs="Times New Roman" w:eastAsia="Times New Roman" w:hAnsi="Times New Roman"/>
          <w:sz w:val="18"/>
          <w:szCs w:val="18"/>
          <w:b w:val="1"/>
          <w:bCs w:val="1"/>
          <w:i w:val="1"/>
          <w:iCs w:val="1"/>
          <w:color w:val="auto"/>
        </w:rPr>
        <w:t>Preliminary Prospectus Supplement</w:t>
      </w:r>
      <w:r>
        <w:rPr>
          <w:rFonts w:ascii="Times New Roman" w:cs="Times New Roman" w:eastAsia="Times New Roman" w:hAnsi="Times New Roman"/>
          <w:sz w:val="18"/>
          <w:szCs w:val="18"/>
          <w:color w:val="auto"/>
        </w:rPr>
        <w:t>”) and the final prospectus supplement related to the Offering, dated June 29, 2026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reviewed the corporate proceedings taken by the Company with respect to the registration of the offer and sale of the Shares. We have also examined and relied upon originals or copies, certified or otherwise identified to our satisfaction, of: (i) the Registration Statement; (ii) the Base Prospectus; (iii) the Preliminary Prospectus Supplement; (iv) the Prospectus Supplement; (v) the Company’s Corrected Amended and Restated Certificate of Incorporation, as in effect on the date hereof; and (vi) the Amended and Restated Bylaws of the Company, as in effect on the date hereof. We have also examined and relied upon originals or copies of such corporate records, documents, agreements or other instruments of the Company, and such certificates and records of public officials, and such other papers, as we have deemed necessary or appropriate in connection herewith. As to all matters of fact (including, without limitation, factual conclusions and characterizations and descriptions of purpose, intention or other state of mind) we have relied entirely upon certificates of officers of the Company, and have assumed, without independent inquiry, the accuracy of those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88900</wp:posOffset>
            </wp:positionV>
            <wp:extent cx="1525905"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97205"/>
                    </a:xfrm>
                    <a:prstGeom prst="rect">
                      <a:avLst/>
                    </a:prstGeom>
                    <a:noFill/>
                  </pic:spPr>
                </pic:pic>
              </a:graphicData>
            </a:graphic>
          </wp:anchor>
        </w:drawing>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limitations set forth below, we have made such examination of law as we have deemed necessary for the purposes of expressing the opinions set forth in this letter. We express no opinion herein as to the law of any state or jurisdiction other than the General Corporation Law of the State of Delaware, as currently in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further assumptions, qualifications and limitations set forth herein, we are of the opinion that the Shares have been duly authorized for issuance, and when issued and paid for in accordance with the terms of the Underwriting Agreement,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rendering this opinion, we have assumed that the resolutions of the Board of Directors (or a duly authorized committee thereof) of the Company authorizing the Company’s issuance, delivery and sale of the Shares pursuant to the Underwriting Agreement will be in full force and effect at all times at which the Shares are issued and delivered or sold by the Company, and that the Company will take no action inconsistent with such resolutions.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given as of the date hereof, and we express no opinion as to the effect of subsequent events or changes in law occurring or becoming effective after the date hereof. We assume no obligation to update this opinion letter or otherwise advise you with respect to any facts or circumstances or changes in law that may hereafter occur or come to our attention.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this firm under the heading “Legal Matters” in the Prospectus Supplement. In rendering this opinion and giving this consent, we do not admit that we are an “expert” within the meaning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91540" cy="737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915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Vishay Intertechnology Announces Proposed Offering of $750 Million of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MALVERN, PA – June 29, 2026 - Vishay Intertechnology, Inc. (the “Company,” “Vishay”) (NYSE: VSH) today announced that it has commenced an underwritten public offering of $750.0 million of shares of its common stock. In connection with the proposed offering, Vishay expects to grant the underwriters a 30-day option to purchase up to an additional $112.5 million of shares of its common stock. All of the shares are being offered by Vishay. The proposed offering is subject to market and other conditions, and there can be no assurance as to whether or when the proposed offering may be completed, or as to the actual size or terms of the offering.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Vishay intends to use the net proceeds from the proposed offering to accelerate its growth initiatives and for general corporate purposes, including to reduce current borrowings under its senior secured credit facility. J.P. Morgan is acting as lead book-running manager for the proposed offering. Needham &amp; Company, Oppenheimer &amp; Co., Raymond James, TD Cowen and Truist Securities are also serving as book-running managers. Fifth Third Securities, MUFG, Santander and UniCredit are serving as co-managers.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proposed offering is being made pursuant to a shelf registration statement on Form S-3, including a base prospectus, that was filed with the U.S. Securities and Exchange Commission (the “SEC”) on June 29, 2026 and automatically became effective upon filing. A preliminary prospectus supplement and accompanying prospectus relating to the proposed offering have been filed with the SEC and are available for free on the SEC’s website located at www.sec.gov. Copies of the preliminary prospectus supplement and the accompanying prospectus relating to the proposed offering may be obtained, when available from: J.P. Morgan Securities LLC, c/o Broadridge Financial Solutions, 1155 Long Island Avenue, Edgewood, NY 11717, by telephone at (866) 803-9204, or by email at prospectus-eq_fi@jpmchase.com and postsalemanualrequests@broadridge.com.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Vishay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w:t>
      </w:r>
      <w:r>
        <w:rPr>
          <w:rFonts w:ascii="Times New Roman" w:cs="Times New Roman" w:eastAsia="Times New Roman" w:hAnsi="Times New Roman"/>
          <w:sz w:val="18"/>
          <w:szCs w:val="18"/>
          <w:b w:val="1"/>
          <w:bCs w:val="1"/>
          <w:color w:val="auto"/>
        </w:rPr>
        <w:t>Vishay is The DNA of tech.®</w:t>
      </w:r>
      <w:r>
        <w:rPr>
          <w:rFonts w:ascii="Times New Roman" w:cs="Times New Roman" w:eastAsia="Times New Roman" w:hAnsi="Times New Roman"/>
          <w:sz w:val="18"/>
          <w:szCs w:val="18"/>
          <w:color w:val="auto"/>
        </w:rPr>
        <w:t xml:space="preserve"> Vishay Intertechnology, Inc. is a Fortune 1,000 Company listed on the NYSE (VSH).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that are subject to known and unknown risks and uncertainties that could cause actual results to differ materially from those expressed or implied by such statements. Such risks and uncertainties include, but are not limited to, whether or not Vishay will offer the common stock or consummate the offering, the anticipated terms of the offering, the anticipated use of the proceeds from the offering, and the risks set forth under the heading “Risk Factors” in Vishay’s Annual Report on Form 10-K for the year ended December 31, 2025, most recent Form 10-Q and other reports filed from time to time with the SEC. Vishay does not undertake any obligation to publicly update any forward-looking statements to reflect events or circumstances occurring after the date of this press release,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DNA of tech</w:t>
      </w:r>
      <w:r>
        <w:rPr>
          <w:rFonts w:ascii="Times New Roman" w:cs="Times New Roman" w:eastAsia="Times New Roman" w:hAnsi="Times New Roman"/>
          <w:sz w:val="18"/>
          <w:szCs w:val="18"/>
          <w:i w:val="1"/>
          <w:iCs w:val="1"/>
          <w:color w:val="auto"/>
        </w:rPr>
        <w:t>® is a trademark of Vishay Intertechnology.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Henrici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Corporate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+1-610-644-1300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91540" cy="737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915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Vishay Intertechnology Announces Pricing of Public Offering of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MALVERN, PA – June 29, 2026 - Vishay Intertechnology, Inc. (the “Company,” “Vishay”) (NYSE: VSH) today announced the pricing of an underwritten public offering of 15,000,000 shares of its common stock at a price to the public of $50 per share for total gross proceeds of approximately $750.0 million. In addition, Vishay granted the underwriters a 30-day option to purchase up to an additional 2,250,000 shares of common stock at the public offering price, less underwriting discounts and commissions. All of the shares are being offered by Vishay. The offering is expected to close on July 1, 2026, subject to the satisfaction of customary closing conditions.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Vishay intends to use the net proceeds from the offering to accelerate its growth initiatives and for general corporate purposes, including to reduce current borrowings under its senior secured credit facility. J.P. Morgan is acting as lead book-running manager for the offering. Needham &amp; Company, Oppenheimer &amp; Co., Raymond James, TD Cowen and Truist Securities are also serving as book-running managers. Fifth Third Securities, MUFG, Santander and UniCredit are serving as co-managers.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including a base prospectus, that was filed with the U.S. Securities and Exchange Commission (the “SEC”) on June 29, 2026 and automatically became effective upon filing. A preliminary prospectus supplement and accompanying prospectus relating to the offering have been filed with the SEC, and a final prospectus supplement and accompanying prospectus relating to the offering will be filed with the SEC, and all of which will be available for free on the SEC’s website located at www.sec.gov. Copies of the final prospectus supplement and the accompanying prospectus relating to the offering may be obtained, when available from: J.P. Morgan Securities LLC, c/o Broadridge Financial Solutions, 1155 Long Island Avenue, Edgewood, NY 11717, by telephone at (866) 803-9204, or by email at prospectus-eq_fi@jpmchase.com and postsalemanualrequests@broadridge.com.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Vishay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w:t>
      </w:r>
      <w:r>
        <w:rPr>
          <w:rFonts w:ascii="Times New Roman" w:cs="Times New Roman" w:eastAsia="Times New Roman" w:hAnsi="Times New Roman"/>
          <w:sz w:val="18"/>
          <w:szCs w:val="18"/>
          <w:b w:val="1"/>
          <w:bCs w:val="1"/>
          <w:color w:val="auto"/>
        </w:rPr>
        <w:t>Vishay is The DNA of tech.®</w:t>
      </w:r>
      <w:r>
        <w:rPr>
          <w:rFonts w:ascii="Times New Roman" w:cs="Times New Roman" w:eastAsia="Times New Roman" w:hAnsi="Times New Roman"/>
          <w:sz w:val="18"/>
          <w:szCs w:val="18"/>
          <w:color w:val="auto"/>
        </w:rPr>
        <w:t xml:space="preserve"> Vishay Intertechnology, Inc. is a Fortune 1,000 Company listed on the NYSE (VSH).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that are subject to known and unknown risks and uncertainties that could cause actual results to differ materially from those expressed or implied by such statements. Such risks and uncertainties include, but are not limited to, the closing date of the offering, the anticipated use of the proceeds from the offering, and the risks set forth under the heading “Risk Factors” in Vishay’s Annual Report on Form 10-K for the year ended December 31, 2025, most recent Form 10-Q and other reports filed from time to time with the SEC. Vishay does not undertake any obligation to publicly update any forward-looking statements to reflect events or circumstances occurring after the date of this press release,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DNA of tech</w:t>
      </w:r>
      <w:r>
        <w:rPr>
          <w:rFonts w:ascii="Times New Roman" w:cs="Times New Roman" w:eastAsia="Times New Roman" w:hAnsi="Times New Roman"/>
          <w:sz w:val="18"/>
          <w:szCs w:val="18"/>
          <w:i w:val="1"/>
          <w:iCs w:val="1"/>
          <w:color w:val="auto"/>
        </w:rPr>
        <w:t>® is a trademark of Vishay Intertechnology.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Henrici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Corporate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+1-610-644-1300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lowerLetter"/>
      <w:start w:val="1"/>
    </w:lvl>
  </w:abstractNum>
  <w:abstractNum w:abstractNumId="4">
    <w:nsid w:val="737B8DDC"/>
    <w:multiLevelType w:val="hybridMultilevel"/>
    <w:lvl w:ilvl="0">
      <w:lvlJc w:val="left"/>
      <w:lvlText w:val="(%1)"/>
      <w:numFmt w:val="lowerLetter"/>
      <w:start w:val="2"/>
    </w:lvl>
  </w:abstractNum>
  <w:abstractNum w:abstractNumId="5">
    <w:nsid w:val="6CEAF087"/>
    <w:multiLevelType w:val="hybridMultilevel"/>
    <w:lvl w:ilvl="0">
      <w:lvlJc w:val="left"/>
      <w:lvlText w:val="(%1)"/>
      <w:numFmt w:val="lowerLetter"/>
      <w:start w:val="4"/>
    </w:lvl>
  </w:abstractNum>
  <w:abstractNum w:abstractNumId="6">
    <w:nsid w:val="22221A70"/>
    <w:multiLevelType w:val="hybridMultilevel"/>
    <w:lvl w:ilvl="0">
      <w:lvlJc w:val="left"/>
      <w:lvlText w:val="%1."/>
      <w:numFmt w:val="decimal"/>
      <w:start w:val="3"/>
    </w:lvl>
    <w:lvl w:ilvl="1">
      <w:lvlJc w:val="left"/>
      <w:lvlText w:val="(%2)"/>
      <w:numFmt w:val="lowerLetter"/>
      <w:start w:val="1"/>
    </w:lvl>
  </w:abstractNum>
  <w:abstractNum w:abstractNumId="7">
    <w:nsid w:val="4516DDE9"/>
    <w:multiLevelType w:val="hybridMultilevel"/>
    <w:lvl w:ilvl="0">
      <w:lvlJc w:val="left"/>
      <w:lvlText w:val="(%1)"/>
      <w:numFmt w:val="lowerLetter"/>
      <w:start w:val="3"/>
    </w:lvl>
  </w:abstractNum>
  <w:abstractNum w:abstractNumId="8">
    <w:nsid w:val="3006C83E"/>
    <w:multiLevelType w:val="hybridMultilevel"/>
    <w:lvl w:ilvl="0">
      <w:lvlJc w:val="left"/>
      <w:lvlText w:val="(%1)"/>
      <w:numFmt w:val="lowerLetter"/>
      <w:start w:val="5"/>
    </w:lvl>
  </w:abstractNum>
  <w:abstractNum w:abstractNumId="9">
    <w:nsid w:val="614FD4A1"/>
    <w:multiLevelType w:val="hybridMultilevel"/>
    <w:lvl w:ilvl="0">
      <w:lvlJc w:val="left"/>
      <w:lvlText w:val="(%1)"/>
      <w:numFmt w:val="lowerLetter"/>
      <w:start w:val="8"/>
    </w:lvl>
  </w:abstractNum>
  <w:abstractNum w:abstractNumId="10">
    <w:nsid w:val="419AC241"/>
    <w:multiLevelType w:val="hybridMultilevel"/>
    <w:lvl w:ilvl="0">
      <w:lvlJc w:val="left"/>
      <w:lvlText w:val="(%1)"/>
      <w:numFmt w:val="lowerLetter"/>
      <w:start w:val="10"/>
    </w:lvl>
  </w:abstractNum>
  <w:abstractNum w:abstractNumId="11">
    <w:nsid w:val="5577F8E1"/>
    <w:multiLevelType w:val="hybridMultilevel"/>
    <w:lvl w:ilvl="0">
      <w:lvlJc w:val="left"/>
      <w:lvlText w:val="(%1)"/>
      <w:numFmt w:val="lowerLetter"/>
      <w:start w:val="16"/>
    </w:lvl>
  </w:abstractNum>
  <w:abstractNum w:abstractNumId="12">
    <w:nsid w:val="440BADFC"/>
    <w:multiLevelType w:val="hybridMultilevel"/>
    <w:lvl w:ilvl="0">
      <w:lvlJc w:val="left"/>
      <w:lvlText w:val="(%1)"/>
      <w:numFmt w:val="lowerLetter"/>
      <w:start w:val="19"/>
    </w:lvl>
    <w:lvl w:ilvl="1">
      <w:lvlJc w:val="left"/>
      <w:lvlText w:val="(%2)"/>
      <w:numFmt w:val="lowerLetter"/>
      <w:start w:val="9"/>
    </w:lvl>
  </w:abstractNum>
  <w:abstractNum w:abstractNumId="13">
    <w:nsid w:val="5072367"/>
    <w:multiLevelType w:val="hybridMultilevel"/>
    <w:lvl w:ilvl="0">
      <w:lvlJc w:val="left"/>
      <w:lvlText w:val="%1"/>
      <w:numFmt w:val="lowerLetter"/>
      <w:start w:val="1"/>
    </w:lvl>
    <w:lvl w:ilvl="1">
      <w:lvlJc w:val="left"/>
      <w:lvlText w:val="(%2)"/>
      <w:numFmt w:val="lowerLetter"/>
      <w:start w:val="35"/>
    </w:lvl>
  </w:abstractNum>
  <w:abstractNum w:abstractNumId="14">
    <w:nsid w:val="3804823E"/>
    <w:multiLevelType w:val="hybridMultilevel"/>
    <w:lvl w:ilvl="0">
      <w:lvlJc w:val="left"/>
      <w:lvlText w:val="(%1)"/>
      <w:numFmt w:val="lowerLetter"/>
      <w:start w:val="22"/>
    </w:lvl>
    <w:lvl w:ilvl="1">
      <w:lvlJc w:val="left"/>
      <w:lvlText w:val="%2"/>
      <w:numFmt w:val="lowerLetter"/>
      <w:start w:val="1"/>
    </w:lvl>
  </w:abstractNum>
  <w:abstractNum w:abstractNumId="15">
    <w:nsid w:val="77465F01"/>
    <w:multiLevelType w:val="hybridMultilevel"/>
    <w:lvl w:ilvl="0">
      <w:lvlJc w:val="left"/>
      <w:lvlText w:val="(%1)"/>
      <w:numFmt w:val="lowerLetter"/>
      <w:start w:val="24"/>
    </w:lvl>
  </w:abstractNum>
  <w:abstractNum w:abstractNumId="16">
    <w:nsid w:val="7724C67E"/>
    <w:multiLevelType w:val="hybridMultilevel"/>
    <w:lvl w:ilvl="0">
      <w:lvlJc w:val="left"/>
      <w:lvlText w:val="%1"/>
      <w:numFmt w:val="lowerLetter"/>
      <w:start w:val="1"/>
    </w:lvl>
    <w:lvl w:ilvl="1">
      <w:lvlJc w:val="left"/>
      <w:lvlText w:val="(%2)"/>
      <w:numFmt w:val="lowerLetter"/>
      <w:start w:val="27"/>
    </w:lvl>
  </w:abstractNum>
  <w:abstractNum w:abstractNumId="17">
    <w:nsid w:val="5C482A97"/>
    <w:multiLevelType w:val="hybridMultilevel"/>
    <w:lvl w:ilvl="0">
      <w:lvlJc w:val="left"/>
      <w:lvlText w:val="(%1)"/>
      <w:numFmt w:val="lowerLetter"/>
      <w:start w:val="35"/>
    </w:lvl>
    <w:lvl w:ilvl="1">
      <w:lvlJc w:val="left"/>
      <w:lvlText w:val="%2"/>
      <w:numFmt w:val="lowerLetter"/>
      <w:start w:val="1"/>
    </w:lvl>
  </w:abstractNum>
  <w:abstractNum w:abstractNumId="18">
    <w:nsid w:val="2463B9EA"/>
    <w:multiLevelType w:val="hybridMultilevel"/>
    <w:lvl w:ilvl="0">
      <w:lvlJc w:val="left"/>
      <w:lvlText w:val="(%1)"/>
      <w:numFmt w:val="lowerLetter"/>
      <w:start w:val="28"/>
    </w:lvl>
  </w:abstractNum>
  <w:abstractNum w:abstractNumId="19">
    <w:nsid w:val="5E884ADC"/>
    <w:multiLevelType w:val="hybridMultilevel"/>
    <w:lvl w:ilvl="0">
      <w:lvlJc w:val="left"/>
      <w:lvlText w:val="(%1)"/>
      <w:numFmt w:val="lowerLetter"/>
      <w:start w:val="29"/>
    </w:lvl>
  </w:abstractNum>
  <w:abstractNum w:abstractNumId="20">
    <w:nsid w:val="51EAD36B"/>
    <w:multiLevelType w:val="hybridMultilevel"/>
    <w:lvl w:ilvl="0">
      <w:lvlJc w:val="left"/>
      <w:lvlText w:val="(%1)"/>
      <w:numFmt w:val="lowerLetter"/>
      <w:start w:val="31"/>
    </w:lvl>
  </w:abstractNum>
  <w:abstractNum w:abstractNumId="21">
    <w:nsid w:val="2D517796"/>
    <w:multiLevelType w:val="hybridMultilevel"/>
    <w:lvl w:ilvl="0">
      <w:lvlJc w:val="left"/>
      <w:lvlText w:val="%1"/>
      <w:numFmt w:val="lowerRoman"/>
      <w:start w:val="1"/>
    </w:lvl>
    <w:lvl w:ilvl="1">
      <w:lvlJc w:val="left"/>
      <w:lvlText w:val="(%2)"/>
      <w:numFmt w:val="lowerRoman"/>
      <w:start w:val="2"/>
    </w:lvl>
  </w:abstractNum>
  <w:abstractNum w:abstractNumId="22">
    <w:nsid w:val="580BD78F"/>
    <w:multiLevelType w:val="hybridMultilevel"/>
    <w:lvl w:ilvl="0">
      <w:lvlJc w:val="left"/>
      <w:lvlText w:val="(%1)"/>
      <w:numFmt w:val="lowerRoman"/>
      <w:start w:val="3"/>
    </w:lvl>
    <w:lvl w:ilvl="1">
      <w:lvlJc w:val="left"/>
      <w:lvlText w:val="%2"/>
      <w:numFmt w:val="lowerRoman"/>
      <w:start w:val="1"/>
    </w:lvl>
  </w:abstractNum>
  <w:abstractNum w:abstractNumId="23">
    <w:nsid w:val="153EA438"/>
    <w:multiLevelType w:val="hybridMultilevel"/>
    <w:lvl w:ilvl="0">
      <w:lvlJc w:val="left"/>
      <w:lvlText w:val="(%1)"/>
      <w:numFmt w:val="lowerLetter"/>
      <w:start w:val="36"/>
    </w:lvl>
  </w:abstractNum>
  <w:abstractNum w:abstractNumId="24">
    <w:nsid w:val="3855585C"/>
    <w:multiLevelType w:val="hybridMultilevel"/>
    <w:lvl w:ilvl="0">
      <w:lvlJc w:val="left"/>
      <w:lvlText w:val="(%1)"/>
      <w:numFmt w:val="lowerLetter"/>
      <w:start w:val="39"/>
    </w:lvl>
  </w:abstractNum>
  <w:abstractNum w:abstractNumId="25">
    <w:nsid w:val="70A64E2A"/>
    <w:multiLevelType w:val="hybridMultilevel"/>
    <w:lvl w:ilvl="0">
      <w:lvlJc w:val="left"/>
      <w:lvlText w:val="(%1)"/>
      <w:numFmt w:val="lowerLetter"/>
      <w:start w:val="46"/>
    </w:lvl>
  </w:abstractNum>
  <w:abstractNum w:abstractNumId="26">
    <w:nsid w:val="6A2342EC"/>
    <w:multiLevelType w:val="hybridMultilevel"/>
    <w:lvl w:ilvl="0">
      <w:lvlJc w:val="left"/>
      <w:lvlText w:val="%1"/>
      <w:numFmt w:val="lowerRoman"/>
      <w:start w:val="1"/>
    </w:lvl>
    <w:lvl w:ilvl="1">
      <w:lvlJc w:val="left"/>
      <w:lvlText w:val="(%2)"/>
      <w:numFmt w:val="lowerRoman"/>
      <w:start w:val="20"/>
    </w:lvl>
  </w:abstractNum>
  <w:abstractNum w:abstractNumId="27">
    <w:nsid w:val="2A487CB0"/>
    <w:multiLevelType w:val="hybridMultilevel"/>
    <w:lvl w:ilvl="0">
      <w:lvlJc w:val="left"/>
      <w:lvlText w:val="(%1)"/>
      <w:numFmt w:val="lowerRoman"/>
      <w:start w:val="2"/>
    </w:lvl>
    <w:lvl w:ilvl="1">
      <w:lvlJc w:val="left"/>
      <w:lvlText w:val="%2"/>
      <w:numFmt w:val="lowerRoman"/>
      <w:start w:val="1"/>
    </w:lvl>
  </w:abstractNum>
  <w:abstractNum w:abstractNumId="28">
    <w:nsid w:val="1D4ED43B"/>
    <w:multiLevelType w:val="hybridMultilevel"/>
    <w:lvl w:ilvl="0">
      <w:lvlJc w:val="left"/>
      <w:lvlText w:val="%1."/>
      <w:numFmt w:val="decimal"/>
      <w:start w:val="4"/>
    </w:lvl>
    <w:lvl w:ilvl="1">
      <w:lvlJc w:val="left"/>
      <w:lvlText w:val="(%2)"/>
      <w:numFmt w:val="lowerLetter"/>
      <w:start w:val="1"/>
    </w:lvl>
  </w:abstractNum>
  <w:abstractNum w:abstractNumId="29">
    <w:nsid w:val="725A06FB"/>
    <w:multiLevelType w:val="hybridMultilevel"/>
    <w:lvl w:ilvl="0">
      <w:lvlJc w:val="left"/>
      <w:lvlText w:val="(%1)"/>
      <w:numFmt w:val="lowerLetter"/>
      <w:start w:val="3"/>
    </w:lvl>
  </w:abstractNum>
  <w:abstractNum w:abstractNumId="30">
    <w:nsid w:val="2CD89A32"/>
    <w:multiLevelType w:val="hybridMultilevel"/>
    <w:lvl w:ilvl="0">
      <w:lvlJc w:val="left"/>
      <w:lvlText w:val="(%1)"/>
      <w:numFmt w:val="lowerLetter"/>
      <w:start w:val="5"/>
    </w:lvl>
  </w:abstractNum>
  <w:abstractNum w:abstractNumId="31">
    <w:nsid w:val="57E4CCAF"/>
    <w:multiLevelType w:val="hybridMultilevel"/>
    <w:lvl w:ilvl="0">
      <w:lvlJc w:val="left"/>
      <w:lvlText w:val="(%1)"/>
      <w:numFmt w:val="lowerLetter"/>
      <w:start w:val="7"/>
    </w:lvl>
  </w:abstractNum>
  <w:abstractNum w:abstractNumId="32">
    <w:nsid w:val="7A6D8D3C"/>
    <w:multiLevelType w:val="hybridMultilevel"/>
    <w:lvl w:ilvl="0">
      <w:lvlJc w:val="left"/>
      <w:lvlText w:val="%1"/>
      <w:numFmt w:val="decimal"/>
      <w:start w:val="1"/>
    </w:lvl>
    <w:lvl w:ilvl="1">
      <w:lvlJc w:val="left"/>
      <w:lvlText w:val="(%2)"/>
      <w:numFmt w:val="lowerLetter"/>
      <w:start w:val="11"/>
    </w:lvl>
  </w:abstractNum>
  <w:abstractNum w:abstractNumId="33">
    <w:nsid w:val="4B588F54"/>
    <w:multiLevelType w:val="hybridMultilevel"/>
    <w:lvl w:ilvl="0">
      <w:lvlJc w:val="left"/>
      <w:lvlText w:val="%1."/>
      <w:numFmt w:val="decimal"/>
      <w:start w:val="5"/>
    </w:lvl>
    <w:lvl w:ilvl="1">
      <w:lvlJc w:val="left"/>
      <w:lvlText w:val="(%2)"/>
      <w:numFmt w:val="lowerLetter"/>
      <w:start w:val="1"/>
    </w:lvl>
  </w:abstractNum>
  <w:abstractNum w:abstractNumId="34">
    <w:nsid w:val="542289EC"/>
    <w:multiLevelType w:val="hybridMultilevel"/>
    <w:lvl w:ilvl="0">
      <w:lvlJc w:val="left"/>
      <w:lvlText w:val="%1"/>
      <w:numFmt w:val="decimal"/>
      <w:start w:val="1"/>
    </w:lvl>
    <w:lvl w:ilvl="1">
      <w:lvlJc w:val="left"/>
      <w:lvlText w:val="(%2)"/>
      <w:numFmt w:val="lowerLetter"/>
      <w:start w:val="2"/>
    </w:lvl>
  </w:abstractNum>
  <w:abstractNum w:abstractNumId="35">
    <w:nsid w:val="6DE91B18"/>
    <w:multiLevelType w:val="hybridMultilevel"/>
    <w:lvl w:ilvl="0">
      <w:lvlJc w:val="left"/>
      <w:lvlText w:val="%1."/>
      <w:numFmt w:val="decimal"/>
      <w:start w:val="6"/>
    </w:lvl>
    <w:lvl w:ilvl="1">
      <w:lvlJc w:val="left"/>
      <w:lvlText w:val="(%2)"/>
      <w:numFmt w:val="lowerLetter"/>
      <w:start w:val="1"/>
    </w:lvl>
  </w:abstractNum>
  <w:abstractNum w:abstractNumId="36">
    <w:nsid w:val="38437FDB"/>
    <w:multiLevelType w:val="hybridMultilevel"/>
    <w:lvl w:ilvl="0">
      <w:lvlJc w:val="left"/>
      <w:lvlText w:val="(%1)"/>
      <w:numFmt w:val="lowerLetter"/>
      <w:start w:val="4"/>
    </w:lvl>
  </w:abstractNum>
  <w:abstractNum w:abstractNumId="37">
    <w:nsid w:val="7644A45C"/>
    <w:multiLevelType w:val="hybridMultilevel"/>
    <w:lvl w:ilvl="0">
      <w:lvlJc w:val="left"/>
      <w:lvlText w:val="(%1)"/>
      <w:numFmt w:val="lowerLetter"/>
      <w:start w:val="9"/>
    </w:lvl>
  </w:abstractNum>
  <w:abstractNum w:abstractNumId="38">
    <w:nsid w:val="32FFF902"/>
    <w:multiLevelType w:val="hybridMultilevel"/>
    <w:lvl w:ilvl="0">
      <w:lvlJc w:val="left"/>
      <w:lvlText w:val="%1."/>
      <w:numFmt w:val="decimal"/>
      <w:start w:val="7"/>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Letter"/>
      <w:start w:val="3"/>
    </w:lvl>
  </w:abstractNum>
  <w:abstractNum w:abstractNumId="41">
    <w:nsid w:val="749ABB43"/>
    <w:multiLevelType w:val="hybridMultilevel"/>
    <w:lvl w:ilvl="0">
      <w:lvlJc w:val="left"/>
      <w:lvlText w:val="(%1)"/>
      <w:numFmt w:val="lowerLetter"/>
      <w:start w:val="4"/>
    </w:lvl>
  </w:abstractNum>
  <w:abstractNum w:abstractNumId="42">
    <w:nsid w:val="3DC240FB"/>
    <w:multiLevelType w:val="hybridMultilevel"/>
    <w:lvl w:ilvl="0">
      <w:lvlJc w:val="left"/>
      <w:lvlText w:val="%1."/>
      <w:numFmt w:val="decimal"/>
      <w:start w:val="8"/>
    </w:lvl>
  </w:abstractNum>
  <w:abstractNum w:abstractNumId="43">
    <w:nsid w:val="1BA026FA"/>
    <w:multiLevelType w:val="hybridMultilevel"/>
    <w:lvl w:ilvl="0">
      <w:lvlJc w:val="left"/>
      <w:lvlText w:val="%1."/>
      <w:numFmt w:val="decimal"/>
      <w:start w:val="9"/>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3"/>
    </w:lvl>
  </w:abstractNum>
  <w:abstractNum w:abstractNumId="46">
    <w:nsid w:val="12E685FB"/>
    <w:multiLevelType w:val="hybridMultilevel"/>
    <w:lvl w:ilvl="0">
      <w:lvlJc w:val="left"/>
      <w:lvlText w:val="%1."/>
      <w:numFmt w:val="decimal"/>
      <w:start w:val="1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decimal"/>
      <w:start w:val="12"/>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4"/>
    </w:lvl>
    <w:lvl w:ilvl="1">
      <w:lvlJc w:val="left"/>
      <w:lvlText w:val="(%2)"/>
      <w:numFmt w:val="lowerRoman"/>
      <w:start w:val="1"/>
    </w:lvl>
  </w:abstractNum>
  <w:abstractNum w:abstractNumId="51">
    <w:nsid w:val="23F9C13C"/>
    <w:multiLevelType w:val="hybridMultilevel"/>
    <w:lvl w:ilvl="0">
      <w:lvlJc w:val="left"/>
      <w:lvlText w:val="(%1)"/>
      <w:numFmt w:val="lowerRoman"/>
      <w:start w:val="2"/>
    </w:lvl>
  </w:abstractNum>
  <w:abstractNum w:abstractNumId="52">
    <w:nsid w:val="649BB77C"/>
    <w:multiLevelType w:val="hybridMultilevel"/>
    <w:lvl w:ilvl="0">
      <w:lvlJc w:val="left"/>
      <w:lvlText w:val="(%1)"/>
      <w:numFmt w:val="lowerRoman"/>
      <w:start w:val="2"/>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lowerLetter"/>
      <w:start w:val="1"/>
    </w:lvl>
    <w:lvl w:ilvl="1">
      <w:lvlJc w:val="left"/>
      <w:lvlText w:val="%2."/>
      <w:numFmt w:val="decimal"/>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2026-07-01T06:51:32Z</dcterms:created>
  <dcterms:modified xsi:type="dcterms:W3CDTF">2026-07-01T06:51:32Z</dcterms:modified>
</cp:coreProperties>
</file>