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UNITED STATES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SECURITIES AND EXCHANGE COMMISSION</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WASHINGTON, D.C. 20549</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FORM 10-K</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xml:space="preserve">☒  </w:t>
      </w:r>
      <w:r>
        <w:rPr>
          <w:rFonts w:ascii="Times New Roman" w:hAnsi="Times New Roman"/>
          <w:b w:val="false"/>
          <w:i w:val="false"/>
          <w:caps w:val="false"/>
          <w:smallCaps w:val="false"/>
          <w:color w:val="000000"/>
          <w:spacing w:val="0"/>
          <w:sz w:val="20"/>
          <w:shd w:fill="FFFFFF" w:val="clear"/>
        </w:rPr>
        <w:t>ANNUAL REPORT PURSUANT TO SECTION 13 OR 15(d) OF THE SECURITIES EXCHANGE ACT OF 1934</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the fiscal year ended December 31, 2023</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or</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xml:space="preserve">☐  </w:t>
      </w:r>
      <w:r>
        <w:rPr>
          <w:rFonts w:ascii="Times New Roman" w:hAnsi="Times New Roman"/>
          <w:b/>
          <w:i w:val="false"/>
          <w:caps w:val="false"/>
          <w:smallCaps w:val="false"/>
          <w:color w:val="000000"/>
          <w:spacing w:val="0"/>
          <w:sz w:val="20"/>
          <w:shd w:fill="FFFFFF" w:val="clear"/>
        </w:rPr>
        <w:t>TRANSITION REPORT PURSUANT TO SECTION 13 OR 15(d) OF THE SECURITIES EXCHANGE ACT OF 1934</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the transition period from _______ to _______</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Commission file number </w:t>
      </w:r>
      <w:r>
        <w:rPr>
          <w:rFonts w:ascii="Times New Roman" w:hAnsi="Times New Roman"/>
          <w:b/>
          <w:i w:val="false"/>
          <w:caps w:val="false"/>
          <w:smallCaps w:val="false"/>
          <w:color w:val="000000"/>
          <w:spacing w:val="0"/>
          <w:sz w:val="20"/>
          <w:shd w:fill="FFFFFF" w:val="clear"/>
        </w:rPr>
        <w:t>1-7416</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Vishay Intertechnology, Inc.</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(Exact name of registrant as specified in its charter)</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4545" w:type="dxa"/>
        <w:jc w:val="left"/>
        <w:tblInd w:w="0" w:type="dxa"/>
        <w:shd w:fill="FFFFFF" w:val="clear"/>
        <w:tblLayout w:type="fixed"/>
        <w:tblCellMar>
          <w:top w:w="0" w:type="dxa"/>
          <w:left w:w="0" w:type="dxa"/>
          <w:bottom w:w="0" w:type="dxa"/>
          <w:right w:w="0" w:type="dxa"/>
        </w:tblCellMar>
      </w:tblPr>
      <w:tblGrid>
        <w:gridCol w:w="2175"/>
        <w:gridCol w:w="2370"/>
      </w:tblGrid>
      <w:tr>
        <w:trPr/>
        <w:tc>
          <w:tcPr>
            <w:tcW w:w="2175" w:type="dxa"/>
            <w:tcBorders/>
            <w:shd w:fill="FFFFFF" w:val="clear"/>
            <w:vAlign w:val="center"/>
          </w:tcPr>
          <w:p>
            <w:pPr>
              <w:pStyle w:val="TableContents"/>
              <w:bidi w:val="0"/>
              <w:spacing w:before="0" w:after="0"/>
              <w:ind w:left="120" w:right="40" w:hanging="0"/>
              <w:jc w:val="center"/>
              <w:rPr>
                <w:rFonts w:ascii="Times New Roman" w:hAnsi="Times New Roman"/>
                <w:b/>
                <w:sz w:val="20"/>
              </w:rPr>
            </w:pPr>
            <w:r>
              <w:rPr>
                <w:rFonts w:ascii="Times New Roman" w:hAnsi="Times New Roman"/>
                <w:b/>
                <w:sz w:val="20"/>
              </w:rPr>
              <w:t>Delaware</w:t>
            </w:r>
          </w:p>
        </w:tc>
        <w:tc>
          <w:tcPr>
            <w:tcW w:w="2370" w:type="dxa"/>
            <w:tcBorders/>
            <w:shd w:fill="FFFFFF" w:val="clear"/>
            <w:vAlign w:val="center"/>
          </w:tcPr>
          <w:p>
            <w:pPr>
              <w:pStyle w:val="TableContents"/>
              <w:bidi w:val="0"/>
              <w:spacing w:before="0" w:after="0"/>
              <w:ind w:left="120" w:right="40" w:hanging="0"/>
              <w:jc w:val="center"/>
              <w:rPr>
                <w:rFonts w:ascii="Times New Roman" w:hAnsi="Times New Roman"/>
                <w:b/>
                <w:sz w:val="20"/>
              </w:rPr>
            </w:pPr>
            <w:r>
              <w:rPr>
                <w:rFonts w:ascii="Times New Roman" w:hAnsi="Times New Roman"/>
                <w:b/>
                <w:sz w:val="20"/>
              </w:rPr>
              <w:t>38-1686453</w:t>
            </w:r>
          </w:p>
        </w:tc>
      </w:tr>
      <w:tr>
        <w:trPr/>
        <w:tc>
          <w:tcPr>
            <w:tcW w:w="2175" w:type="dxa"/>
            <w:tcBorders/>
            <w:shd w:fill="FFFFFF" w:val="clear"/>
            <w:vAlign w:val="center"/>
          </w:tcPr>
          <w:p>
            <w:pPr>
              <w:pStyle w:val="TableContents"/>
              <w:bidi w:val="0"/>
              <w:spacing w:before="0" w:after="0"/>
              <w:ind w:left="120" w:right="40" w:hanging="0"/>
              <w:jc w:val="center"/>
              <w:rPr>
                <w:rFonts w:ascii="Times New Roman" w:hAnsi="Times New Roman"/>
                <w:sz w:val="16"/>
              </w:rPr>
            </w:pPr>
            <w:r>
              <w:rPr>
                <w:rFonts w:ascii="Times New Roman" w:hAnsi="Times New Roman"/>
                <w:sz w:val="16"/>
              </w:rPr>
              <w:t>(State or other jurisdiction of</w:t>
            </w:r>
          </w:p>
          <w:p>
            <w:pPr>
              <w:pStyle w:val="TableContents"/>
              <w:bidi w:val="0"/>
              <w:spacing w:before="0" w:after="0"/>
              <w:ind w:left="120" w:right="40" w:hanging="0"/>
              <w:jc w:val="center"/>
              <w:rPr>
                <w:rFonts w:ascii="Times New Roman" w:hAnsi="Times New Roman"/>
                <w:sz w:val="16"/>
              </w:rPr>
            </w:pPr>
            <w:r>
              <w:rPr>
                <w:rFonts w:ascii="Times New Roman" w:hAnsi="Times New Roman"/>
                <w:sz w:val="16"/>
              </w:rPr>
              <w:t>incorporation or organization)</w:t>
            </w:r>
          </w:p>
        </w:tc>
        <w:tc>
          <w:tcPr>
            <w:tcW w:w="2370" w:type="dxa"/>
            <w:tcBorders/>
            <w:shd w:fill="FFFFFF" w:val="clear"/>
            <w:vAlign w:val="center"/>
          </w:tcPr>
          <w:p>
            <w:pPr>
              <w:pStyle w:val="TableContents"/>
              <w:bidi w:val="0"/>
              <w:spacing w:before="0" w:after="0"/>
              <w:ind w:left="120" w:right="40" w:hanging="0"/>
              <w:jc w:val="center"/>
              <w:rPr>
                <w:rFonts w:ascii="Times New Roman" w:hAnsi="Times New Roman"/>
                <w:sz w:val="16"/>
              </w:rPr>
            </w:pPr>
            <w:r>
              <w:rPr>
                <w:rFonts w:ascii="Times New Roman" w:hAnsi="Times New Roman"/>
                <w:sz w:val="16"/>
              </w:rPr>
              <w:t>(IRS employer identification no.)</w:t>
            </w:r>
          </w:p>
        </w:tc>
      </w:tr>
    </w:tbl>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63 Lancaster Avenue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Malvern, Pennsylvania 19355-2143</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(Address of principal executive offices)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(610) 644-1300</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(Registrant’s telephone number, including area code)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Securities registered pursuant to Section 12(b) of the Act: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7350" w:type="dxa"/>
        <w:jc w:val="left"/>
        <w:tblInd w:w="-15" w:type="dxa"/>
        <w:shd w:fill="FFFFFF" w:val="clear"/>
        <w:tblLayout w:type="fixed"/>
        <w:tblCellMar>
          <w:top w:w="28" w:type="dxa"/>
          <w:left w:w="28" w:type="dxa"/>
          <w:bottom w:w="28" w:type="dxa"/>
          <w:right w:w="28" w:type="dxa"/>
        </w:tblCellMar>
      </w:tblPr>
      <w:tblGrid>
        <w:gridCol w:w="3405"/>
        <w:gridCol w:w="1170"/>
        <w:gridCol w:w="2775"/>
      </w:tblGrid>
      <w:tr>
        <w:trPr/>
        <w:tc>
          <w:tcPr>
            <w:tcW w:w="3405"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120" w:right="40" w:hanging="0"/>
              <w:jc w:val="center"/>
              <w:rPr>
                <w:rFonts w:ascii="Times New Roman" w:hAnsi="Times New Roman"/>
                <w:sz w:val="16"/>
              </w:rPr>
            </w:pPr>
            <w:r>
              <w:rPr>
                <w:rFonts w:ascii="Times New Roman" w:hAnsi="Times New Roman"/>
                <w:sz w:val="16"/>
              </w:rPr>
              <w:t>Title of each class</w:t>
            </w:r>
          </w:p>
        </w:tc>
        <w:tc>
          <w:tcPr>
            <w:tcW w:w="1170"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120" w:right="40" w:hanging="0"/>
              <w:jc w:val="center"/>
              <w:rPr>
                <w:rFonts w:ascii="Times New Roman" w:hAnsi="Times New Roman"/>
                <w:sz w:val="16"/>
              </w:rPr>
            </w:pPr>
            <w:r>
              <w:rPr>
                <w:rFonts w:ascii="Times New Roman" w:hAnsi="Times New Roman"/>
                <w:sz w:val="16"/>
              </w:rPr>
              <w:t>Trading symbol</w:t>
            </w:r>
          </w:p>
        </w:tc>
        <w:tc>
          <w:tcPr>
            <w:tcW w:w="2775"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120" w:right="40" w:hanging="0"/>
              <w:jc w:val="center"/>
              <w:rPr>
                <w:rFonts w:ascii="Times New Roman" w:hAnsi="Times New Roman"/>
                <w:sz w:val="16"/>
              </w:rPr>
            </w:pPr>
            <w:r>
              <w:rPr>
                <w:rFonts w:ascii="Times New Roman" w:hAnsi="Times New Roman"/>
                <w:sz w:val="16"/>
              </w:rPr>
              <w:t>Name of exchange on which registered</w:t>
            </w:r>
          </w:p>
        </w:tc>
      </w:tr>
      <w:tr>
        <w:trPr/>
        <w:tc>
          <w:tcPr>
            <w:tcW w:w="3405" w:type="dxa"/>
            <w:tcBorders>
              <w:left w:val="single" w:sz="12" w:space="0" w:color="000000"/>
              <w:bottom w:val="single" w:sz="12" w:space="0" w:color="000000"/>
              <w:right w:val="single" w:sz="12" w:space="0" w:color="000000"/>
            </w:tcBorders>
            <w:shd w:fill="FFFFFF" w:val="clear"/>
            <w:tcMar>
              <w:top w:w="0" w:type="dxa"/>
            </w:tcMar>
            <w:vAlign w:val="center"/>
          </w:tcPr>
          <w:p>
            <w:pPr>
              <w:pStyle w:val="TableContents"/>
              <w:bidi w:val="0"/>
              <w:spacing w:before="0" w:after="0"/>
              <w:ind w:left="120" w:right="40" w:hanging="0"/>
              <w:jc w:val="center"/>
              <w:rPr>
                <w:rFonts w:ascii="Times New Roman" w:hAnsi="Times New Roman"/>
                <w:sz w:val="20"/>
              </w:rPr>
            </w:pPr>
            <w:r>
              <w:rPr>
                <w:rFonts w:ascii="Times New Roman" w:hAnsi="Times New Roman"/>
                <w:sz w:val="20"/>
              </w:rPr>
              <w:t>Common stock, par value $0.10 per share</w:t>
            </w:r>
          </w:p>
        </w:tc>
        <w:tc>
          <w:tcPr>
            <w:tcW w:w="1170" w:type="dxa"/>
            <w:tcBorders>
              <w:left w:val="single" w:sz="12" w:space="0" w:color="000000"/>
              <w:bottom w:val="single" w:sz="12" w:space="0" w:color="000000"/>
              <w:right w:val="single" w:sz="12" w:space="0" w:color="000000"/>
            </w:tcBorders>
            <w:shd w:fill="FFFFFF" w:val="clear"/>
            <w:tcMar>
              <w:top w:w="0" w:type="dxa"/>
            </w:tcMar>
            <w:vAlign w:val="center"/>
          </w:tcPr>
          <w:p>
            <w:pPr>
              <w:pStyle w:val="TableContents"/>
              <w:bidi w:val="0"/>
              <w:spacing w:before="0" w:after="0"/>
              <w:ind w:left="120" w:right="40" w:hanging="0"/>
              <w:jc w:val="center"/>
              <w:rPr>
                <w:rFonts w:ascii="Times New Roman" w:hAnsi="Times New Roman"/>
                <w:sz w:val="20"/>
              </w:rPr>
            </w:pPr>
            <w:r>
              <w:rPr>
                <w:rFonts w:ascii="Times New Roman" w:hAnsi="Times New Roman"/>
                <w:sz w:val="20"/>
              </w:rPr>
              <w:t>VSH</w:t>
            </w:r>
          </w:p>
        </w:tc>
        <w:tc>
          <w:tcPr>
            <w:tcW w:w="2775" w:type="dxa"/>
            <w:tcBorders>
              <w:left w:val="single" w:sz="12" w:space="0" w:color="000000"/>
              <w:bottom w:val="single" w:sz="12" w:space="0" w:color="000000"/>
              <w:right w:val="single" w:sz="12" w:space="0" w:color="000000"/>
            </w:tcBorders>
            <w:shd w:fill="FFFFFF" w:val="clear"/>
            <w:tcMar>
              <w:top w:w="0" w:type="dxa"/>
            </w:tcMar>
            <w:vAlign w:val="center"/>
          </w:tcPr>
          <w:p>
            <w:pPr>
              <w:pStyle w:val="TableContents"/>
              <w:bidi w:val="0"/>
              <w:spacing w:before="0" w:after="0"/>
              <w:ind w:left="120" w:right="40" w:hanging="0"/>
              <w:jc w:val="center"/>
              <w:rPr>
                <w:rFonts w:ascii="Times New Roman" w:hAnsi="Times New Roman"/>
                <w:sz w:val="20"/>
              </w:rPr>
            </w:pPr>
            <w:r>
              <w:rPr>
                <w:rFonts w:ascii="Times New Roman" w:hAnsi="Times New Roman"/>
                <w:sz w:val="20"/>
              </w:rPr>
              <w:t>New York Stock Exchange LLC</w:t>
            </w:r>
          </w:p>
        </w:tc>
      </w:tr>
    </w:tbl>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Securities registered pursuant to Section 12(g) of the Act:  </w:t>
      </w:r>
      <w:r>
        <w:rPr>
          <w:rFonts w:ascii="Times New Roman" w:hAnsi="Times New Roman"/>
          <w:b/>
          <w:i w:val="false"/>
          <w:caps w:val="false"/>
          <w:smallCaps w:val="false"/>
          <w:color w:val="000000"/>
          <w:spacing w:val="0"/>
          <w:sz w:val="20"/>
          <w:shd w:fill="FFFFFF" w:val="clear"/>
        </w:rPr>
        <w:t>None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18"/>
          <w:shd w:fill="FFFFFF" w:val="clear"/>
        </w:rPr>
        <w:t>Indicate by check mark if the registrant is a well-known seasoned issuer, as defined in Rule 405 of the Securities Act.  </w:t>
      </w:r>
      <w:r>
        <w:rPr>
          <w:rFonts w:ascii="Times New Roman" w:hAnsi="Times New Roman"/>
          <w:b/>
          <w:i w:val="false"/>
          <w:caps w:val="false"/>
          <w:smallCaps w:val="false"/>
          <w:color w:val="000000"/>
          <w:spacing w:val="0"/>
          <w:sz w:val="18"/>
          <w:shd w:fill="FFFFFF" w:val="clear"/>
        </w:rPr>
        <w:t>Yes ☒</w:t>
      </w:r>
      <w:r>
        <w:rPr>
          <w:rFonts w:ascii="Times New Roman" w:hAnsi="Times New Roman"/>
          <w:b w:val="false"/>
          <w:i w:val="false"/>
          <w:caps w:val="false"/>
          <w:smallCaps w:val="false"/>
          <w:color w:val="000000"/>
          <w:spacing w:val="0"/>
          <w:sz w:val="20"/>
          <w:shd w:fill="FFFFFF" w:val="clear"/>
        </w:rPr>
        <w:t> </w:t>
      </w:r>
      <w:r>
        <w:rPr>
          <w:rFonts w:ascii="Times New Roman" w:hAnsi="Times New Roman"/>
          <w:b/>
          <w:i w:val="false"/>
          <w:caps w:val="false"/>
          <w:smallCaps w:val="false"/>
          <w:color w:val="000000"/>
          <w:spacing w:val="0"/>
          <w:sz w:val="18"/>
          <w:shd w:fill="FFFFFF" w:val="clear"/>
        </w:rPr>
        <w:t>No </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18"/>
          <w:shd w:fill="FFFFFF" w:val="clear"/>
        </w:rPr>
        <w:t>Indicate by check mark if the registrant is not required to file reports pursuant to Section 13 or Section 15(d) of the Act.</w:t>
      </w:r>
      <w:r>
        <w:rPr>
          <w:rFonts w:ascii="Times New Roman" w:hAnsi="Times New Roman"/>
          <w:b w:val="false"/>
          <w:i w:val="false"/>
          <w:caps w:val="false"/>
          <w:smallCaps w:val="false"/>
          <w:color w:val="000000"/>
          <w:spacing w:val="0"/>
          <w:sz w:val="20"/>
          <w:shd w:fill="FFFFFF" w:val="clear"/>
        </w:rPr>
        <w:t> </w:t>
      </w:r>
      <w:r>
        <w:rPr>
          <w:rFonts w:ascii="Times New Roman" w:hAnsi="Times New Roman"/>
          <w:b/>
          <w:i w:val="false"/>
          <w:caps w:val="false"/>
          <w:smallCaps w:val="false"/>
          <w:color w:val="000000"/>
          <w:spacing w:val="0"/>
          <w:sz w:val="18"/>
          <w:shd w:fill="FFFFFF" w:val="clear"/>
        </w:rPr>
        <w:t>Yes </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i w:val="false"/>
          <w:caps w:val="false"/>
          <w:smallCaps w:val="false"/>
          <w:color w:val="000000"/>
          <w:spacing w:val="0"/>
          <w:sz w:val="18"/>
          <w:shd w:fill="FFFFFF" w:val="clear"/>
        </w:rPr>
        <w:t>No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18"/>
          <w:shd w:fill="FFFFFF" w:val="clear"/>
        </w:rPr>
        <w:t>Note </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18"/>
          <w:shd w:fill="FFFFFF" w:val="clear"/>
        </w:rPr>
        <w:t>Checking the box above will not relieve any registrant required to file reports under Section 13 or 15(d) of the Exchange Act from their obligations under those Sections.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i w:val="false"/>
          <w:caps w:val="false"/>
          <w:smallCaps w:val="false"/>
          <w:color w:val="000000"/>
          <w:spacing w:val="0"/>
          <w:sz w:val="18"/>
          <w:shd w:fill="FFFFFF" w:val="clear"/>
        </w:rPr>
        <w:t>Yes ☒</w:t>
      </w:r>
      <w:r>
        <w:rPr>
          <w:rFonts w:ascii="Times New Roman" w:hAnsi="Times New Roman"/>
          <w:b w:val="false"/>
          <w:i w:val="false"/>
          <w:caps w:val="false"/>
          <w:smallCaps w:val="false"/>
          <w:color w:val="000000"/>
          <w:spacing w:val="0"/>
          <w:sz w:val="20"/>
          <w:shd w:fill="FFFFFF" w:val="clear"/>
        </w:rPr>
        <w:t> </w:t>
      </w:r>
      <w:r>
        <w:rPr>
          <w:rFonts w:ascii="Times New Roman" w:hAnsi="Times New Roman"/>
          <w:b/>
          <w:i w:val="false"/>
          <w:caps w:val="false"/>
          <w:smallCaps w:val="false"/>
          <w:color w:val="000000"/>
          <w:spacing w:val="0"/>
          <w:sz w:val="18"/>
          <w:shd w:fill="FFFFFF" w:val="clear"/>
        </w:rPr>
        <w:t>No </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18"/>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b/>
          <w:i w:val="false"/>
          <w:caps w:val="false"/>
          <w:smallCaps w:val="false"/>
          <w:color w:val="000000"/>
          <w:spacing w:val="0"/>
          <w:sz w:val="18"/>
          <w:shd w:fill="FFFFFF" w:val="clear"/>
        </w:rPr>
        <w:t>Yes ☒</w:t>
      </w:r>
      <w:r>
        <w:rPr>
          <w:rFonts w:ascii="Times New Roman" w:hAnsi="Times New Roman"/>
          <w:b w:val="false"/>
          <w:i w:val="false"/>
          <w:caps w:val="false"/>
          <w:smallCaps w:val="false"/>
          <w:color w:val="000000"/>
          <w:spacing w:val="0"/>
          <w:sz w:val="20"/>
          <w:shd w:fill="FFFFFF" w:val="clear"/>
        </w:rPr>
        <w:t> </w:t>
      </w:r>
      <w:r>
        <w:rPr>
          <w:rFonts w:ascii="Times New Roman" w:hAnsi="Times New Roman"/>
          <w:b/>
          <w:i w:val="false"/>
          <w:caps w:val="false"/>
          <w:smallCaps w:val="false"/>
          <w:color w:val="000000"/>
          <w:spacing w:val="0"/>
          <w:sz w:val="18"/>
          <w:shd w:fill="FFFFFF" w:val="clear"/>
        </w:rPr>
        <w:t>No </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tbl>
      <w:tblPr>
        <w:tblW w:w="4310" w:type="dxa"/>
        <w:jc w:val="left"/>
        <w:tblInd w:w="0" w:type="dxa"/>
        <w:tblLayout w:type="fixed"/>
        <w:tblCellMar>
          <w:top w:w="0" w:type="dxa"/>
          <w:left w:w="0" w:type="dxa"/>
          <w:bottom w:w="0" w:type="dxa"/>
          <w:right w:w="0" w:type="dxa"/>
        </w:tblCellMar>
      </w:tblPr>
      <w:tblGrid>
        <w:gridCol w:w="1715"/>
        <w:gridCol w:w="230"/>
        <w:gridCol w:w="2120"/>
        <w:gridCol w:w="245"/>
      </w:tblGrid>
      <w:tr>
        <w:trPr/>
        <w:tc>
          <w:tcPr>
            <w:tcW w:w="171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Large accelerated filer</w:t>
            </w:r>
          </w:p>
        </w:tc>
        <w:tc>
          <w:tcPr>
            <w:tcW w:w="230" w:type="dxa"/>
            <w:tcBorders/>
            <w:vAlign w:val="center"/>
          </w:tcPr>
          <w:p>
            <w:pPr>
              <w:pStyle w:val="TableContents"/>
              <w:bidi w:val="0"/>
              <w:spacing w:before="0" w:after="0"/>
              <w:jc w:val="center"/>
              <w:rPr/>
            </w:pPr>
            <w:r>
              <w:rPr/>
              <w:t>☒</w:t>
            </w:r>
          </w:p>
        </w:tc>
        <w:tc>
          <w:tcPr>
            <w:tcW w:w="212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Accelerated filer</w:t>
            </w:r>
          </w:p>
        </w:tc>
        <w:tc>
          <w:tcPr>
            <w:tcW w:w="245" w:type="dxa"/>
            <w:tcBorders/>
            <w:vAlign w:val="center"/>
          </w:tcPr>
          <w:p>
            <w:pPr>
              <w:pStyle w:val="TableContents"/>
              <w:bidi w:val="0"/>
              <w:spacing w:before="0" w:after="0"/>
              <w:jc w:val="center"/>
              <w:rPr/>
            </w:pPr>
            <w:r>
              <w:rPr/>
              <w:t>☐</w:t>
            </w:r>
          </w:p>
        </w:tc>
      </w:tr>
      <w:tr>
        <w:trPr/>
        <w:tc>
          <w:tcPr>
            <w:tcW w:w="171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Non-accelerated filer</w:t>
            </w:r>
          </w:p>
        </w:tc>
        <w:tc>
          <w:tcPr>
            <w:tcW w:w="230" w:type="dxa"/>
            <w:tcBorders/>
            <w:vAlign w:val="center"/>
          </w:tcPr>
          <w:p>
            <w:pPr>
              <w:pStyle w:val="TableContents"/>
              <w:bidi w:val="0"/>
              <w:spacing w:before="0" w:after="0"/>
              <w:jc w:val="center"/>
              <w:rPr/>
            </w:pPr>
            <w:r>
              <w:rPr/>
              <w:t>☐</w:t>
            </w:r>
          </w:p>
        </w:tc>
        <w:tc>
          <w:tcPr>
            <w:tcW w:w="212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Smaller reporting company</w:t>
            </w:r>
          </w:p>
        </w:tc>
        <w:tc>
          <w:tcPr>
            <w:tcW w:w="245" w:type="dxa"/>
            <w:tcBorders/>
            <w:vAlign w:val="center"/>
          </w:tcPr>
          <w:p>
            <w:pPr>
              <w:pStyle w:val="TableContents"/>
              <w:bidi w:val="0"/>
              <w:spacing w:before="0" w:after="0"/>
              <w:jc w:val="center"/>
              <w:rPr/>
            </w:pPr>
            <w:r>
              <w:rPr/>
              <w:t>☐</w:t>
            </w:r>
          </w:p>
        </w:tc>
      </w:tr>
      <w:tr>
        <w:trPr/>
        <w:tc>
          <w:tcPr>
            <w:tcW w:w="17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Emerging growth company</w:t>
            </w:r>
          </w:p>
        </w:tc>
        <w:tc>
          <w:tcPr>
            <w:tcW w:w="245" w:type="dxa"/>
            <w:tcBorders/>
            <w:vAlign w:val="center"/>
          </w:tcPr>
          <w:p>
            <w:pPr>
              <w:pStyle w:val="TableContents"/>
              <w:bidi w:val="0"/>
              <w:spacing w:before="0" w:after="0"/>
              <w:jc w:val="center"/>
              <w:rPr/>
            </w:pPr>
            <w:r>
              <w:rPr/>
              <w:t>☐</w:t>
            </w:r>
          </w:p>
        </w:tc>
      </w:tr>
    </w:tbl>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b w:val="false"/>
          <w:i w:val="false"/>
          <w:caps w:val="false"/>
          <w:smallCaps w:val="false"/>
          <w:color w:val="000000"/>
          <w:spacing w:val="0"/>
          <w:sz w:val="20"/>
          <w:shd w:fill="FFFFFF" w:val="clear"/>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widowControl/>
        <w:bidi w:val="0"/>
        <w:spacing w:before="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checkmark whether the registrant is a shell company (as defined in Rule 12b-2 of the Act). </w:t>
      </w:r>
      <w:r>
        <w:rPr>
          <w:rFonts w:ascii="Times New Roman" w:hAnsi="Times New Roman"/>
          <w:b/>
          <w:i w:val="false"/>
          <w:caps w:val="false"/>
          <w:smallCaps w:val="false"/>
          <w:color w:val="000000"/>
          <w:spacing w:val="0"/>
          <w:sz w:val="20"/>
          <w:shd w:fill="FFFFFF" w:val="clear"/>
        </w:rPr>
        <w:t>Yes ☐</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i w:val="false"/>
          <w:caps w:val="false"/>
          <w:smallCaps w:val="false"/>
          <w:color w:val="000000"/>
          <w:spacing w:val="0"/>
          <w:sz w:val="20"/>
          <w:shd w:fill="FFFFFF" w:val="clear"/>
        </w:rPr>
        <w:t>No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aggregate market value of the voting stock held by non-affiliates computed by reference to the price at which the common equity was last sold as of the last business day of the registrant’s most recently completed second fiscal quarter ($29.40 on July 1, 2023), assuming conversion of all of its Class B common stock held by non-affiliates into common stock of the registrant, was $3,764,000,000. There is no non-voting stock outstanding.</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February 14, 2024, registrant had 125,408,100 shares of its common stock (excluding treasury stock) and 12,097,148 shares of its Class B common stock outstanding.</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DOCUMENTS INCORPORATED BY REFERENCE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Portions of the registrant’s definitive proxy statement, which will be filed within 120 days of December 31, 2023, are incorporated by reference into Part III.</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This page intentionally left blank.</w:t>
      </w:r>
    </w:p>
    <w:p>
      <w:pPr>
        <w:pStyle w:val="TextBody"/>
        <w:bidi w:val="0"/>
        <w:jc w:val="center"/>
        <w:rPr>
          <w:rFonts w:ascii="Times New Roman" w:hAnsi="Times New Roman"/>
          <w:b/>
          <w:sz w:val="20"/>
          <w:u w:val="single"/>
        </w:rPr>
      </w:pPr>
      <w:r>
        <w:rPr>
          <w:rFonts w:ascii="Times New Roman" w:hAnsi="Times New Roman"/>
          <w:b/>
          <w:sz w:val="20"/>
          <w:u w:val="single"/>
        </w:rPr>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Form 10-K for the year ended December 31, 2023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CONTENTS</w:t>
      </w:r>
    </w:p>
    <w:p>
      <w:pPr>
        <w:pStyle w:val="TextBody"/>
        <w:bidi w:val="0"/>
        <w:spacing w:before="0" w:after="0"/>
        <w:jc w:val="left"/>
        <w:rPr>
          <w:rFonts w:ascii="Times New Roman" w:hAnsi="Times New Roman"/>
          <w:sz w:val="24"/>
        </w:rPr>
      </w:pPr>
      <w:r>
        <w:rPr>
          <w:rFonts w:ascii="Times New Roman" w:hAnsi="Times New Roman"/>
          <w:sz w:val="24"/>
        </w:rPr>
      </w:r>
    </w:p>
    <w:tbl>
      <w:tblPr>
        <w:tblW w:w="10205" w:type="dxa"/>
        <w:jc w:val="left"/>
        <w:tblInd w:w="0" w:type="dxa"/>
        <w:tblLayout w:type="fixed"/>
        <w:tblCellMar>
          <w:top w:w="0" w:type="dxa"/>
          <w:left w:w="0" w:type="dxa"/>
          <w:bottom w:w="0" w:type="dxa"/>
          <w:right w:w="0" w:type="dxa"/>
        </w:tblCellMar>
      </w:tblPr>
      <w:tblGrid>
        <w:gridCol w:w="9754"/>
        <w:gridCol w:w="451"/>
      </w:tblGrid>
      <w:tr>
        <w:trPr/>
        <w:tc>
          <w:tcPr>
            <w:tcW w:w="9754" w:type="dxa"/>
            <w:tcBorders/>
            <w:vAlign w:val="center"/>
          </w:tcPr>
          <w:p>
            <w:pPr>
              <w:pStyle w:val="TableContents"/>
              <w:bidi w:val="0"/>
              <w:spacing w:before="0" w:after="0"/>
              <w:jc w:val="left"/>
              <w:rPr/>
            </w:pPr>
            <w:hyperlink w:anchor="PARTI">
              <w:r>
                <w:rPr>
                  <w:rStyle w:val="InternetLink"/>
                  <w:rFonts w:ascii="Times New Roman" w:hAnsi="Times New Roman"/>
                  <w:b/>
                  <w:sz w:val="24"/>
                </w:rPr>
                <w:t>PART I</w:t>
              </w:r>
            </w:hyperlink>
          </w:p>
        </w:tc>
        <w:tc>
          <w:tcPr>
            <w:tcW w:w="451" w:type="dxa"/>
            <w:tcBorders/>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0"/>
              <w:ind w:left="1080" w:right="0" w:hanging="1080"/>
              <w:jc w:val="left"/>
              <w:rPr/>
            </w:pPr>
            <w:hyperlink w:anchor="Item1">
              <w:r>
                <w:rPr>
                  <w:rStyle w:val="InternetLink"/>
                  <w:rFonts w:ascii="Times New Roman" w:hAnsi="Times New Roman"/>
                  <w:sz w:val="24"/>
                </w:rPr>
                <w:t>Item 1. Business</w:t>
              </w:r>
            </w:hyperlink>
          </w:p>
        </w:tc>
        <w:tc>
          <w:tcPr>
            <w:tcW w:w="451" w:type="dxa"/>
            <w:tcBorders/>
            <w:shd w:fill="CCEEFF" w:val="clear"/>
            <w:vAlign w:val="center"/>
          </w:tcPr>
          <w:p>
            <w:pPr>
              <w:pStyle w:val="TableContents"/>
              <w:bidi w:val="0"/>
              <w:spacing w:before="0" w:after="0"/>
              <w:jc w:val="center"/>
              <w:rPr/>
            </w:pPr>
            <w:hyperlink w:anchor="Item1">
              <w:r>
                <w:rPr>
                  <w:rStyle w:val="InternetLink"/>
                  <w:rFonts w:ascii="Times New Roman" w:hAnsi="Times New Roman"/>
                  <w:sz w:val="24"/>
                </w:rPr>
                <w:t>4</w:t>
              </w:r>
            </w:hyperlink>
          </w:p>
        </w:tc>
      </w:tr>
      <w:tr>
        <w:trPr/>
        <w:tc>
          <w:tcPr>
            <w:tcW w:w="9754" w:type="dxa"/>
            <w:tcBorders/>
            <w:vAlign w:val="center"/>
          </w:tcPr>
          <w:p>
            <w:pPr>
              <w:pStyle w:val="TableContents"/>
              <w:bidi w:val="0"/>
              <w:spacing w:before="0" w:after="0"/>
              <w:ind w:left="1080" w:right="0" w:hanging="1080"/>
              <w:jc w:val="left"/>
              <w:rPr/>
            </w:pPr>
            <w:hyperlink w:anchor="Item1A">
              <w:r>
                <w:rPr>
                  <w:rStyle w:val="InternetLink"/>
                  <w:rFonts w:ascii="Times New Roman" w:hAnsi="Times New Roman"/>
                  <w:sz w:val="24"/>
                </w:rPr>
                <w:t>Item 1A. Risk Factors</w:t>
              </w:r>
            </w:hyperlink>
          </w:p>
        </w:tc>
        <w:tc>
          <w:tcPr>
            <w:tcW w:w="451" w:type="dxa"/>
            <w:tcBorders/>
            <w:vAlign w:val="center"/>
          </w:tcPr>
          <w:p>
            <w:pPr>
              <w:pStyle w:val="TableContents"/>
              <w:bidi w:val="0"/>
              <w:spacing w:before="0" w:after="0"/>
              <w:jc w:val="center"/>
              <w:rPr/>
            </w:pPr>
            <w:hyperlink w:anchor="Item1A">
              <w:r>
                <w:rPr>
                  <w:rStyle w:val="InternetLink"/>
                  <w:rFonts w:ascii="Times New Roman" w:hAnsi="Times New Roman"/>
                  <w:sz w:val="24"/>
                </w:rPr>
                <w:t>15</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1B">
              <w:r>
                <w:rPr>
                  <w:rStyle w:val="InternetLink"/>
                  <w:rFonts w:ascii="Times New Roman" w:hAnsi="Times New Roman"/>
                  <w:sz w:val="24"/>
                </w:rPr>
                <w:t>Item 1B. Unresolved Staff Comments</w:t>
              </w:r>
            </w:hyperlink>
          </w:p>
        </w:tc>
        <w:tc>
          <w:tcPr>
            <w:tcW w:w="451" w:type="dxa"/>
            <w:tcBorders/>
            <w:shd w:fill="CCEEFF" w:val="clear"/>
            <w:vAlign w:val="center"/>
          </w:tcPr>
          <w:p>
            <w:pPr>
              <w:pStyle w:val="TableContents"/>
              <w:bidi w:val="0"/>
              <w:spacing w:before="0" w:after="0"/>
              <w:jc w:val="center"/>
              <w:rPr/>
            </w:pPr>
            <w:hyperlink w:anchor="Item1B">
              <w:r>
                <w:rPr>
                  <w:rStyle w:val="InternetLink"/>
                  <w:rFonts w:ascii="Times New Roman" w:hAnsi="Times New Roman"/>
                  <w:sz w:val="24"/>
                </w:rPr>
                <w:t>24</w:t>
              </w:r>
            </w:hyperlink>
          </w:p>
        </w:tc>
      </w:tr>
      <w:tr>
        <w:trPr/>
        <w:tc>
          <w:tcPr>
            <w:tcW w:w="9754" w:type="dxa"/>
            <w:tcBorders/>
            <w:vAlign w:val="center"/>
          </w:tcPr>
          <w:p>
            <w:pPr>
              <w:pStyle w:val="TableContents"/>
              <w:bidi w:val="0"/>
              <w:spacing w:before="0" w:after="283"/>
              <w:jc w:val="left"/>
              <w:rPr/>
            </w:pPr>
            <w:hyperlink w:anchor="CYBERSECURITY">
              <w:r>
                <w:rPr>
                  <w:rStyle w:val="InternetLink"/>
                  <w:sz w:val="24"/>
                </w:rPr>
                <w:t>Item 1C. Cybersecurity</w:t>
              </w:r>
            </w:hyperlink>
          </w:p>
        </w:tc>
        <w:tc>
          <w:tcPr>
            <w:tcW w:w="451" w:type="dxa"/>
            <w:tcBorders/>
            <w:vAlign w:val="center"/>
          </w:tcPr>
          <w:p>
            <w:pPr>
              <w:pStyle w:val="TableContents"/>
              <w:bidi w:val="0"/>
              <w:spacing w:before="0" w:after="283"/>
              <w:jc w:val="center"/>
              <w:rPr/>
            </w:pPr>
            <w:hyperlink w:anchor="CYBERSECURITY">
              <w:r>
                <w:rPr>
                  <w:rStyle w:val="InternetLink"/>
                  <w:sz w:val="24"/>
                </w:rPr>
                <w:t>24</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2">
              <w:r>
                <w:rPr>
                  <w:rStyle w:val="InternetLink"/>
                  <w:rFonts w:ascii="Times New Roman" w:hAnsi="Times New Roman"/>
                  <w:sz w:val="24"/>
                </w:rPr>
                <w:t>Item 2. Properties</w:t>
              </w:r>
            </w:hyperlink>
          </w:p>
        </w:tc>
        <w:tc>
          <w:tcPr>
            <w:tcW w:w="451" w:type="dxa"/>
            <w:tcBorders/>
            <w:shd w:fill="CCEEFF" w:val="clear"/>
            <w:vAlign w:val="center"/>
          </w:tcPr>
          <w:p>
            <w:pPr>
              <w:pStyle w:val="TableContents"/>
              <w:bidi w:val="0"/>
              <w:spacing w:before="0" w:after="0"/>
              <w:jc w:val="center"/>
              <w:rPr/>
            </w:pPr>
            <w:hyperlink w:anchor="Item2">
              <w:r>
                <w:rPr>
                  <w:rStyle w:val="InternetLink"/>
                  <w:rFonts w:ascii="Times New Roman" w:hAnsi="Times New Roman"/>
                  <w:sz w:val="24"/>
                </w:rPr>
                <w:t>25</w:t>
              </w:r>
            </w:hyperlink>
          </w:p>
        </w:tc>
      </w:tr>
      <w:tr>
        <w:trPr/>
        <w:tc>
          <w:tcPr>
            <w:tcW w:w="9754" w:type="dxa"/>
            <w:tcBorders/>
            <w:vAlign w:val="center"/>
          </w:tcPr>
          <w:p>
            <w:pPr>
              <w:pStyle w:val="TableContents"/>
              <w:bidi w:val="0"/>
              <w:spacing w:before="0" w:after="0"/>
              <w:ind w:left="1080" w:right="0" w:hanging="1080"/>
              <w:jc w:val="left"/>
              <w:rPr/>
            </w:pPr>
            <w:hyperlink w:anchor="Item3">
              <w:r>
                <w:rPr>
                  <w:rStyle w:val="InternetLink"/>
                  <w:rFonts w:ascii="Times New Roman" w:hAnsi="Times New Roman"/>
                  <w:sz w:val="24"/>
                </w:rPr>
                <w:t>Item 3. Legal Proceedings</w:t>
              </w:r>
            </w:hyperlink>
          </w:p>
        </w:tc>
        <w:tc>
          <w:tcPr>
            <w:tcW w:w="451" w:type="dxa"/>
            <w:tcBorders/>
            <w:vAlign w:val="center"/>
          </w:tcPr>
          <w:p>
            <w:pPr>
              <w:pStyle w:val="TableContents"/>
              <w:bidi w:val="0"/>
              <w:spacing w:before="0" w:after="0"/>
              <w:jc w:val="center"/>
              <w:rPr/>
            </w:pPr>
            <w:hyperlink w:anchor="Item3">
              <w:r>
                <w:rPr>
                  <w:rStyle w:val="InternetLink"/>
                  <w:rFonts w:ascii="Times New Roman" w:hAnsi="Times New Roman"/>
                  <w:sz w:val="24"/>
                </w:rPr>
                <w:t>27</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4">
              <w:r>
                <w:rPr>
                  <w:rStyle w:val="InternetLink"/>
                  <w:rFonts w:ascii="Times New Roman" w:hAnsi="Times New Roman"/>
                  <w:sz w:val="24"/>
                </w:rPr>
                <w:t>Item 4. Mine Safety Disclosures</w:t>
              </w:r>
            </w:hyperlink>
          </w:p>
        </w:tc>
        <w:tc>
          <w:tcPr>
            <w:tcW w:w="451" w:type="dxa"/>
            <w:tcBorders/>
            <w:shd w:fill="CCEEFF" w:val="clear"/>
            <w:vAlign w:val="center"/>
          </w:tcPr>
          <w:p>
            <w:pPr>
              <w:pStyle w:val="TableContents"/>
              <w:bidi w:val="0"/>
              <w:spacing w:before="0" w:after="0"/>
              <w:jc w:val="center"/>
              <w:rPr/>
            </w:pPr>
            <w:hyperlink w:anchor="Item4">
              <w:r>
                <w:rPr>
                  <w:rStyle w:val="InternetLink"/>
                  <w:rFonts w:ascii="Times New Roman" w:hAnsi="Times New Roman"/>
                  <w:sz w:val="24"/>
                </w:rPr>
                <w:t>27</w:t>
              </w:r>
            </w:hyperlink>
          </w:p>
        </w:tc>
      </w:tr>
      <w:tr>
        <w:trPr/>
        <w:tc>
          <w:tcPr>
            <w:tcW w:w="9754" w:type="dxa"/>
            <w:tcBorders/>
            <w:vAlign w:val="center"/>
          </w:tcPr>
          <w:p>
            <w:pPr>
              <w:pStyle w:val="TableContents"/>
              <w:bidi w:val="0"/>
              <w:spacing w:before="0" w:after="0"/>
              <w:ind w:left="1080" w:right="0" w:hanging="1080"/>
              <w:jc w:val="left"/>
              <w:rPr/>
            </w:pPr>
            <w:hyperlink w:anchor="Execs">
              <w:r>
                <w:rPr>
                  <w:rStyle w:val="InternetLink"/>
                  <w:rFonts w:ascii="Times New Roman" w:hAnsi="Times New Roman"/>
                  <w:sz w:val="24"/>
                </w:rPr>
                <w:t>Information About Our Executive Officers</w:t>
              </w:r>
            </w:hyperlink>
          </w:p>
        </w:tc>
        <w:tc>
          <w:tcPr>
            <w:tcW w:w="451" w:type="dxa"/>
            <w:tcBorders/>
            <w:vAlign w:val="center"/>
          </w:tcPr>
          <w:p>
            <w:pPr>
              <w:pStyle w:val="TableContents"/>
              <w:bidi w:val="0"/>
              <w:spacing w:before="0" w:after="0"/>
              <w:jc w:val="center"/>
              <w:rPr/>
            </w:pPr>
            <w:hyperlink w:anchor="Execs">
              <w:r>
                <w:rPr>
                  <w:rStyle w:val="InternetLink"/>
                  <w:rFonts w:ascii="Times New Roman" w:hAnsi="Times New Roman"/>
                  <w:sz w:val="24"/>
                </w:rPr>
                <w:t>28</w:t>
              </w:r>
            </w:hyperlink>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PARTII">
              <w:r>
                <w:rPr>
                  <w:rStyle w:val="InternetLink"/>
                  <w:rFonts w:ascii="Times New Roman" w:hAnsi="Times New Roman"/>
                  <w:b/>
                  <w:sz w:val="24"/>
                </w:rPr>
                <w:t>PART II</w:t>
              </w:r>
            </w:hyperlink>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Item5">
              <w:r>
                <w:rPr>
                  <w:rStyle w:val="InternetLink"/>
                  <w:rFonts w:ascii="Times New Roman" w:hAnsi="Times New Roman"/>
                  <w:sz w:val="24"/>
                </w:rPr>
                <w:t>Item 5. Market for Registrant’s Common Equity, Related Stockholder Matters, and Issuer Purchases of Equity Securities</w:t>
              </w:r>
            </w:hyperlink>
          </w:p>
        </w:tc>
        <w:tc>
          <w:tcPr>
            <w:tcW w:w="451" w:type="dxa"/>
            <w:tcBorders/>
            <w:vAlign w:val="center"/>
          </w:tcPr>
          <w:p>
            <w:pPr>
              <w:pStyle w:val="TableContents"/>
              <w:bidi w:val="0"/>
              <w:spacing w:before="0" w:after="0"/>
              <w:jc w:val="center"/>
              <w:rPr/>
            </w:pPr>
            <w:hyperlink w:anchor="Item5">
              <w:r>
                <w:rPr>
                  <w:rStyle w:val="InternetLink"/>
                  <w:rFonts w:ascii="Times New Roman" w:hAnsi="Times New Roman"/>
                  <w:sz w:val="24"/>
                </w:rPr>
                <w:t>29</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6.">
              <w:r>
                <w:rPr>
                  <w:rStyle w:val="InternetLink"/>
                  <w:rFonts w:ascii="Times New Roman" w:hAnsi="Times New Roman"/>
                  <w:sz w:val="24"/>
                </w:rPr>
                <w:t>Item 6. [Reserved]</w:t>
              </w:r>
            </w:hyperlink>
          </w:p>
        </w:tc>
        <w:tc>
          <w:tcPr>
            <w:tcW w:w="451" w:type="dxa"/>
            <w:tcBorders/>
            <w:shd w:fill="CCEEFF" w:val="clear"/>
            <w:vAlign w:val="center"/>
          </w:tcPr>
          <w:p>
            <w:pPr>
              <w:pStyle w:val="TableContents"/>
              <w:bidi w:val="0"/>
              <w:spacing w:before="0" w:after="0"/>
              <w:jc w:val="center"/>
              <w:rPr/>
            </w:pPr>
            <w:hyperlink w:anchor="Item6.">
              <w:r>
                <w:rPr>
                  <w:rStyle w:val="InternetLink"/>
                  <w:rFonts w:ascii="Times New Roman" w:hAnsi="Times New Roman"/>
                  <w:sz w:val="24"/>
                </w:rPr>
                <w:t>30</w:t>
              </w:r>
            </w:hyperlink>
          </w:p>
        </w:tc>
      </w:tr>
      <w:tr>
        <w:trPr/>
        <w:tc>
          <w:tcPr>
            <w:tcW w:w="9754" w:type="dxa"/>
            <w:tcBorders/>
            <w:vAlign w:val="center"/>
          </w:tcPr>
          <w:p>
            <w:pPr>
              <w:pStyle w:val="TableContents"/>
              <w:bidi w:val="0"/>
              <w:spacing w:before="0" w:after="0"/>
              <w:ind w:left="1080" w:right="0" w:hanging="1080"/>
              <w:jc w:val="left"/>
              <w:rPr/>
            </w:pPr>
            <w:hyperlink w:anchor="Item7.">
              <w:r>
                <w:rPr>
                  <w:rStyle w:val="InternetLink"/>
                  <w:rFonts w:ascii="Times New Roman" w:hAnsi="Times New Roman"/>
                  <w:sz w:val="24"/>
                </w:rPr>
                <w:t>Item 7. Management’s Discussion and Analysis of Financial Condition and Results of Operations</w:t>
              </w:r>
            </w:hyperlink>
          </w:p>
        </w:tc>
        <w:tc>
          <w:tcPr>
            <w:tcW w:w="451" w:type="dxa"/>
            <w:tcBorders/>
            <w:vAlign w:val="center"/>
          </w:tcPr>
          <w:p>
            <w:pPr>
              <w:pStyle w:val="TableContents"/>
              <w:bidi w:val="0"/>
              <w:spacing w:before="0" w:after="0"/>
              <w:jc w:val="center"/>
              <w:rPr/>
            </w:pPr>
            <w:hyperlink w:anchor="Item7.">
              <w:r>
                <w:rPr>
                  <w:rStyle w:val="InternetLink"/>
                  <w:rFonts w:ascii="Times New Roman" w:hAnsi="Times New Roman"/>
                  <w:sz w:val="24"/>
                </w:rPr>
                <w:t>31</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7A">
              <w:r>
                <w:rPr>
                  <w:rStyle w:val="InternetLink"/>
                  <w:rFonts w:ascii="Times New Roman" w:hAnsi="Times New Roman"/>
                  <w:sz w:val="24"/>
                </w:rPr>
                <w:t>Item 7A. Quantitative and Qualitative Disclosures About Market Risk</w:t>
              </w:r>
            </w:hyperlink>
          </w:p>
        </w:tc>
        <w:tc>
          <w:tcPr>
            <w:tcW w:w="451" w:type="dxa"/>
            <w:tcBorders/>
            <w:shd w:fill="CCEEFF" w:val="clear"/>
            <w:vAlign w:val="center"/>
          </w:tcPr>
          <w:p>
            <w:pPr>
              <w:pStyle w:val="TableContents"/>
              <w:bidi w:val="0"/>
              <w:spacing w:before="0" w:after="0"/>
              <w:jc w:val="center"/>
              <w:rPr/>
            </w:pPr>
            <w:hyperlink w:anchor="Item7A">
              <w:r>
                <w:rPr>
                  <w:rStyle w:val="InternetLink"/>
                  <w:rFonts w:ascii="Times New Roman" w:hAnsi="Times New Roman"/>
                  <w:sz w:val="24"/>
                </w:rPr>
                <w:t>58</w:t>
              </w:r>
            </w:hyperlink>
          </w:p>
        </w:tc>
      </w:tr>
      <w:tr>
        <w:trPr/>
        <w:tc>
          <w:tcPr>
            <w:tcW w:w="9754" w:type="dxa"/>
            <w:tcBorders/>
            <w:vAlign w:val="center"/>
          </w:tcPr>
          <w:p>
            <w:pPr>
              <w:pStyle w:val="TableContents"/>
              <w:bidi w:val="0"/>
              <w:spacing w:before="0" w:after="0"/>
              <w:ind w:left="1080" w:right="0" w:hanging="1080"/>
              <w:jc w:val="left"/>
              <w:rPr/>
            </w:pPr>
            <w:hyperlink w:anchor="Item8">
              <w:r>
                <w:rPr>
                  <w:rStyle w:val="InternetLink"/>
                  <w:rFonts w:ascii="Times New Roman" w:hAnsi="Times New Roman"/>
                  <w:sz w:val="24"/>
                </w:rPr>
                <w:t>Item 8. Financial Statements and Supplementary Data</w:t>
              </w:r>
            </w:hyperlink>
          </w:p>
        </w:tc>
        <w:tc>
          <w:tcPr>
            <w:tcW w:w="451" w:type="dxa"/>
            <w:tcBorders/>
            <w:vAlign w:val="center"/>
          </w:tcPr>
          <w:p>
            <w:pPr>
              <w:pStyle w:val="TableContents"/>
              <w:bidi w:val="0"/>
              <w:spacing w:before="0" w:after="0"/>
              <w:jc w:val="center"/>
              <w:rPr/>
            </w:pPr>
            <w:hyperlink w:anchor="Item8">
              <w:r>
                <w:rPr>
                  <w:rStyle w:val="InternetLink"/>
                  <w:rFonts w:ascii="Times New Roman" w:hAnsi="Times New Roman"/>
                  <w:sz w:val="24"/>
                </w:rPr>
                <w:t>60</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9">
              <w:r>
                <w:rPr>
                  <w:rStyle w:val="InternetLink"/>
                  <w:rFonts w:ascii="Times New Roman" w:hAnsi="Times New Roman"/>
                  <w:sz w:val="24"/>
                </w:rPr>
                <w:t>Item 9. Changes In and Disagreements With Accountants on Accounting and Financial Disclosure</w:t>
              </w:r>
            </w:hyperlink>
          </w:p>
        </w:tc>
        <w:tc>
          <w:tcPr>
            <w:tcW w:w="451" w:type="dxa"/>
            <w:tcBorders/>
            <w:shd w:fill="CCEEFF" w:val="clear"/>
            <w:vAlign w:val="center"/>
          </w:tcPr>
          <w:p>
            <w:pPr>
              <w:pStyle w:val="TableContents"/>
              <w:bidi w:val="0"/>
              <w:spacing w:before="0" w:after="0"/>
              <w:jc w:val="center"/>
              <w:rPr/>
            </w:pPr>
            <w:hyperlink w:anchor="Item9">
              <w:r>
                <w:rPr>
                  <w:rStyle w:val="InternetLink"/>
                  <w:rFonts w:ascii="Times New Roman" w:hAnsi="Times New Roman"/>
                  <w:sz w:val="24"/>
                </w:rPr>
                <w:t>60</w:t>
              </w:r>
            </w:hyperlink>
          </w:p>
        </w:tc>
      </w:tr>
      <w:tr>
        <w:trPr/>
        <w:tc>
          <w:tcPr>
            <w:tcW w:w="9754" w:type="dxa"/>
            <w:tcBorders/>
            <w:vAlign w:val="center"/>
          </w:tcPr>
          <w:p>
            <w:pPr>
              <w:pStyle w:val="TableContents"/>
              <w:bidi w:val="0"/>
              <w:spacing w:before="0" w:after="0"/>
              <w:ind w:left="1080" w:right="0" w:hanging="1080"/>
              <w:jc w:val="left"/>
              <w:rPr/>
            </w:pPr>
            <w:hyperlink w:anchor="Item9A">
              <w:r>
                <w:rPr>
                  <w:rStyle w:val="InternetLink"/>
                  <w:rFonts w:ascii="Times New Roman" w:hAnsi="Times New Roman"/>
                  <w:sz w:val="24"/>
                </w:rPr>
                <w:t>Item 9A. Controls and Procedures</w:t>
              </w:r>
            </w:hyperlink>
          </w:p>
        </w:tc>
        <w:tc>
          <w:tcPr>
            <w:tcW w:w="451" w:type="dxa"/>
            <w:tcBorders/>
            <w:vAlign w:val="center"/>
          </w:tcPr>
          <w:p>
            <w:pPr>
              <w:pStyle w:val="TableContents"/>
              <w:bidi w:val="0"/>
              <w:spacing w:before="0" w:after="0"/>
              <w:jc w:val="center"/>
              <w:rPr/>
            </w:pPr>
            <w:hyperlink w:anchor="Item9A">
              <w:r>
                <w:rPr>
                  <w:rStyle w:val="InternetLink"/>
                  <w:rFonts w:ascii="Times New Roman" w:hAnsi="Times New Roman"/>
                  <w:sz w:val="24"/>
                </w:rPr>
                <w:t>60</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9B">
              <w:r>
                <w:rPr>
                  <w:rStyle w:val="InternetLink"/>
                  <w:rFonts w:ascii="Times New Roman" w:hAnsi="Times New Roman"/>
                  <w:sz w:val="24"/>
                </w:rPr>
                <w:t>Item 9B. Other Information</w:t>
              </w:r>
            </w:hyperlink>
          </w:p>
        </w:tc>
        <w:tc>
          <w:tcPr>
            <w:tcW w:w="451" w:type="dxa"/>
            <w:tcBorders/>
            <w:shd w:fill="CCEEFF" w:val="clear"/>
            <w:vAlign w:val="center"/>
          </w:tcPr>
          <w:p>
            <w:pPr>
              <w:pStyle w:val="TableContents"/>
              <w:bidi w:val="0"/>
              <w:spacing w:before="0" w:after="0"/>
              <w:jc w:val="center"/>
              <w:rPr/>
            </w:pPr>
            <w:hyperlink w:anchor="Item9B">
              <w:r>
                <w:rPr>
                  <w:rStyle w:val="InternetLink"/>
                  <w:rFonts w:ascii="Times New Roman" w:hAnsi="Times New Roman"/>
                  <w:sz w:val="24"/>
                </w:rPr>
                <w:t>62</w:t>
              </w:r>
            </w:hyperlink>
          </w:p>
        </w:tc>
      </w:tr>
      <w:tr>
        <w:trPr/>
        <w:tc>
          <w:tcPr>
            <w:tcW w:w="9754" w:type="dxa"/>
            <w:tcBorders/>
            <w:vAlign w:val="center"/>
          </w:tcPr>
          <w:p>
            <w:pPr>
              <w:pStyle w:val="TableContents"/>
              <w:bidi w:val="0"/>
              <w:spacing w:before="0" w:after="0"/>
              <w:ind w:left="1080" w:right="0" w:hanging="1080"/>
              <w:jc w:val="left"/>
              <w:rPr/>
            </w:pPr>
            <w:hyperlink w:anchor="Item9C">
              <w:r>
                <w:rPr>
                  <w:rStyle w:val="InternetLink"/>
                  <w:rFonts w:ascii="Times New Roman" w:hAnsi="Times New Roman"/>
                  <w:sz w:val="24"/>
                </w:rPr>
                <w:t>Item 9C. Disclosure Regarding Foreign Jurisdictions that Prevent Inspections</w:t>
              </w:r>
            </w:hyperlink>
          </w:p>
        </w:tc>
        <w:tc>
          <w:tcPr>
            <w:tcW w:w="451" w:type="dxa"/>
            <w:tcBorders/>
            <w:vAlign w:val="center"/>
          </w:tcPr>
          <w:p>
            <w:pPr>
              <w:pStyle w:val="TableContents"/>
              <w:bidi w:val="0"/>
              <w:spacing w:before="0" w:after="0"/>
              <w:jc w:val="center"/>
              <w:rPr/>
            </w:pPr>
            <w:hyperlink w:anchor="Item9C">
              <w:r>
                <w:rPr>
                  <w:rStyle w:val="InternetLink"/>
                  <w:rFonts w:ascii="Times New Roman" w:hAnsi="Times New Roman"/>
                  <w:sz w:val="24"/>
                </w:rPr>
                <w:t>62</w:t>
              </w:r>
            </w:hyperlink>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PARTIII">
              <w:r>
                <w:rPr>
                  <w:rStyle w:val="InternetLink"/>
                  <w:rFonts w:ascii="Times New Roman" w:hAnsi="Times New Roman"/>
                  <w:b/>
                  <w:sz w:val="24"/>
                </w:rPr>
                <w:t>PART III</w:t>
              </w:r>
            </w:hyperlink>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Item10">
              <w:r>
                <w:rPr>
                  <w:rStyle w:val="InternetLink"/>
                  <w:rFonts w:ascii="Times New Roman" w:hAnsi="Times New Roman"/>
                  <w:sz w:val="24"/>
                </w:rPr>
                <w:t>Item 10. Directors, Executive Officers, and Corporate Governance</w:t>
              </w:r>
            </w:hyperlink>
          </w:p>
        </w:tc>
        <w:tc>
          <w:tcPr>
            <w:tcW w:w="451" w:type="dxa"/>
            <w:tcBorders/>
            <w:vAlign w:val="center"/>
          </w:tcPr>
          <w:p>
            <w:pPr>
              <w:pStyle w:val="TableContents"/>
              <w:bidi w:val="0"/>
              <w:spacing w:before="0" w:after="0"/>
              <w:jc w:val="center"/>
              <w:rPr/>
            </w:pPr>
            <w:hyperlink w:anchor="Item10">
              <w:r>
                <w:rPr>
                  <w:rStyle w:val="InternetLink"/>
                  <w:rFonts w:ascii="Times New Roman" w:hAnsi="Times New Roman"/>
                  <w:sz w:val="24"/>
                </w:rPr>
                <w:t>62</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11">
              <w:r>
                <w:rPr>
                  <w:rStyle w:val="InternetLink"/>
                  <w:rFonts w:ascii="Times New Roman" w:hAnsi="Times New Roman"/>
                  <w:sz w:val="24"/>
                </w:rPr>
                <w:t>Item 11. Executive Compensation</w:t>
              </w:r>
            </w:hyperlink>
          </w:p>
        </w:tc>
        <w:tc>
          <w:tcPr>
            <w:tcW w:w="451" w:type="dxa"/>
            <w:tcBorders/>
            <w:shd w:fill="CCEEFF" w:val="clear"/>
            <w:vAlign w:val="center"/>
          </w:tcPr>
          <w:p>
            <w:pPr>
              <w:pStyle w:val="TableContents"/>
              <w:bidi w:val="0"/>
              <w:spacing w:before="0" w:after="0"/>
              <w:jc w:val="center"/>
              <w:rPr/>
            </w:pPr>
            <w:hyperlink w:anchor="Item11">
              <w:r>
                <w:rPr>
                  <w:rStyle w:val="InternetLink"/>
                  <w:rFonts w:ascii="Times New Roman" w:hAnsi="Times New Roman"/>
                  <w:sz w:val="24"/>
                </w:rPr>
                <w:t>62</w:t>
              </w:r>
            </w:hyperlink>
          </w:p>
        </w:tc>
      </w:tr>
      <w:tr>
        <w:trPr/>
        <w:tc>
          <w:tcPr>
            <w:tcW w:w="9754" w:type="dxa"/>
            <w:tcBorders/>
            <w:vAlign w:val="center"/>
          </w:tcPr>
          <w:p>
            <w:pPr>
              <w:pStyle w:val="TableContents"/>
              <w:bidi w:val="0"/>
              <w:spacing w:before="0" w:after="0"/>
              <w:ind w:left="1080" w:right="0" w:hanging="1080"/>
              <w:jc w:val="left"/>
              <w:rPr/>
            </w:pPr>
            <w:hyperlink w:anchor="Item12">
              <w:r>
                <w:rPr>
                  <w:rStyle w:val="InternetLink"/>
                  <w:rFonts w:ascii="Times New Roman" w:hAnsi="Times New Roman"/>
                  <w:sz w:val="24"/>
                </w:rPr>
                <w:t>Item 12. Security Ownership of Certain Beneficial Owners and Management and Related Stockholder Matters</w:t>
              </w:r>
            </w:hyperlink>
          </w:p>
        </w:tc>
        <w:tc>
          <w:tcPr>
            <w:tcW w:w="451" w:type="dxa"/>
            <w:tcBorders/>
            <w:vAlign w:val="center"/>
          </w:tcPr>
          <w:p>
            <w:pPr>
              <w:pStyle w:val="TableContents"/>
              <w:bidi w:val="0"/>
              <w:spacing w:before="0" w:after="0"/>
              <w:jc w:val="center"/>
              <w:rPr/>
            </w:pPr>
            <w:hyperlink w:anchor="Item12">
              <w:r>
                <w:rPr>
                  <w:rStyle w:val="InternetLink"/>
                  <w:rFonts w:ascii="Times New Roman" w:hAnsi="Times New Roman"/>
                  <w:sz w:val="24"/>
                </w:rPr>
                <w:t>62</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13">
              <w:r>
                <w:rPr>
                  <w:rStyle w:val="InternetLink"/>
                  <w:rFonts w:ascii="Times New Roman" w:hAnsi="Times New Roman"/>
                  <w:sz w:val="24"/>
                </w:rPr>
                <w:t>Item 13. Certain Relationships and Related Transactions, and Director Independence</w:t>
              </w:r>
            </w:hyperlink>
          </w:p>
        </w:tc>
        <w:tc>
          <w:tcPr>
            <w:tcW w:w="451" w:type="dxa"/>
            <w:tcBorders/>
            <w:shd w:fill="CCEEFF" w:val="clear"/>
            <w:vAlign w:val="center"/>
          </w:tcPr>
          <w:p>
            <w:pPr>
              <w:pStyle w:val="TableContents"/>
              <w:bidi w:val="0"/>
              <w:spacing w:before="0" w:after="0"/>
              <w:jc w:val="center"/>
              <w:rPr/>
            </w:pPr>
            <w:hyperlink w:anchor="Item13">
              <w:r>
                <w:rPr>
                  <w:rStyle w:val="InternetLink"/>
                  <w:rFonts w:ascii="Times New Roman" w:hAnsi="Times New Roman"/>
                  <w:sz w:val="24"/>
                </w:rPr>
                <w:t>62</w:t>
              </w:r>
            </w:hyperlink>
          </w:p>
        </w:tc>
      </w:tr>
      <w:tr>
        <w:trPr/>
        <w:tc>
          <w:tcPr>
            <w:tcW w:w="9754" w:type="dxa"/>
            <w:tcBorders/>
            <w:vAlign w:val="center"/>
          </w:tcPr>
          <w:p>
            <w:pPr>
              <w:pStyle w:val="TableContents"/>
              <w:bidi w:val="0"/>
              <w:spacing w:before="0" w:after="0"/>
              <w:ind w:left="1080" w:right="0" w:hanging="1080"/>
              <w:jc w:val="left"/>
              <w:rPr/>
            </w:pPr>
            <w:hyperlink w:anchor="Item14">
              <w:r>
                <w:rPr>
                  <w:rStyle w:val="InternetLink"/>
                  <w:rFonts w:ascii="Times New Roman" w:hAnsi="Times New Roman"/>
                  <w:sz w:val="24"/>
                </w:rPr>
                <w:t>Item 14. Principal Accounting Fees and Services</w:t>
              </w:r>
            </w:hyperlink>
          </w:p>
        </w:tc>
        <w:tc>
          <w:tcPr>
            <w:tcW w:w="451" w:type="dxa"/>
            <w:tcBorders/>
            <w:vAlign w:val="center"/>
          </w:tcPr>
          <w:p>
            <w:pPr>
              <w:pStyle w:val="TableContents"/>
              <w:bidi w:val="0"/>
              <w:spacing w:before="0" w:after="0"/>
              <w:jc w:val="center"/>
              <w:rPr/>
            </w:pPr>
            <w:hyperlink w:anchor="Item14">
              <w:r>
                <w:rPr>
                  <w:rStyle w:val="InternetLink"/>
                  <w:rFonts w:ascii="Times New Roman" w:hAnsi="Times New Roman"/>
                  <w:sz w:val="24"/>
                </w:rPr>
                <w:t>62</w:t>
              </w:r>
            </w:hyperlink>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PARTIV">
              <w:r>
                <w:rPr>
                  <w:rStyle w:val="InternetLink"/>
                  <w:rFonts w:ascii="Times New Roman" w:hAnsi="Times New Roman"/>
                  <w:b/>
                  <w:sz w:val="24"/>
                </w:rPr>
                <w:t>PART IV</w:t>
              </w:r>
            </w:hyperlink>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Item15">
              <w:r>
                <w:rPr>
                  <w:rStyle w:val="InternetLink"/>
                  <w:rFonts w:ascii="Times New Roman" w:hAnsi="Times New Roman"/>
                  <w:sz w:val="24"/>
                </w:rPr>
                <w:t>Item 15. Exhibits, Financial Statement Schedules</w:t>
              </w:r>
            </w:hyperlink>
          </w:p>
        </w:tc>
        <w:tc>
          <w:tcPr>
            <w:tcW w:w="451" w:type="dxa"/>
            <w:tcBorders/>
            <w:vAlign w:val="center"/>
          </w:tcPr>
          <w:p>
            <w:pPr>
              <w:pStyle w:val="TableContents"/>
              <w:bidi w:val="0"/>
              <w:spacing w:before="0" w:after="0"/>
              <w:jc w:val="center"/>
              <w:rPr/>
            </w:pPr>
            <w:hyperlink w:anchor="Item15">
              <w:r>
                <w:rPr>
                  <w:rStyle w:val="InternetLink"/>
                  <w:rFonts w:ascii="Times New Roman" w:hAnsi="Times New Roman"/>
                  <w:sz w:val="24"/>
                </w:rPr>
                <w:t>63</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Item16">
              <w:r>
                <w:rPr>
                  <w:rStyle w:val="InternetLink"/>
                  <w:rFonts w:ascii="Times New Roman" w:hAnsi="Times New Roman"/>
                  <w:sz w:val="24"/>
                </w:rPr>
                <w:t>Item 16. Form 10-K Summary</w:t>
              </w:r>
            </w:hyperlink>
          </w:p>
        </w:tc>
        <w:tc>
          <w:tcPr>
            <w:tcW w:w="451" w:type="dxa"/>
            <w:tcBorders/>
            <w:shd w:fill="CCEEFF" w:val="clear"/>
            <w:vAlign w:val="center"/>
          </w:tcPr>
          <w:p>
            <w:pPr>
              <w:pStyle w:val="TableContents"/>
              <w:bidi w:val="0"/>
              <w:spacing w:before="0" w:after="0"/>
              <w:jc w:val="center"/>
              <w:rPr/>
            </w:pPr>
            <w:hyperlink w:anchor="Item16">
              <w:r>
                <w:rPr>
                  <w:rStyle w:val="InternetLink"/>
                  <w:rFonts w:ascii="Times New Roman" w:hAnsi="Times New Roman"/>
                  <w:sz w:val="24"/>
                </w:rPr>
                <w:t>66</w:t>
              </w:r>
            </w:hyperlink>
          </w:p>
        </w:tc>
      </w:tr>
      <w:tr>
        <w:trPr/>
        <w:tc>
          <w:tcPr>
            <w:tcW w:w="9754"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0"/>
              <w:ind w:left="1080" w:right="0" w:hanging="1080"/>
              <w:jc w:val="left"/>
              <w:rPr/>
            </w:pPr>
            <w:hyperlink w:anchor="SIGNATURES">
              <w:r>
                <w:rPr>
                  <w:rStyle w:val="InternetLink"/>
                  <w:rFonts w:ascii="Times New Roman" w:hAnsi="Times New Roman"/>
                  <w:b/>
                  <w:sz w:val="24"/>
                </w:rPr>
                <w:t>SIGNATURES</w:t>
              </w:r>
            </w:hyperlink>
          </w:p>
        </w:tc>
        <w:tc>
          <w:tcPr>
            <w:tcW w:w="451" w:type="dxa"/>
            <w:tcBorders/>
            <w:shd w:fill="CCEEFF" w:val="clear"/>
            <w:vAlign w:val="center"/>
          </w:tcPr>
          <w:p>
            <w:pPr>
              <w:pStyle w:val="TableContents"/>
              <w:bidi w:val="0"/>
              <w:spacing w:before="0" w:after="0"/>
              <w:jc w:val="center"/>
              <w:rPr/>
            </w:pPr>
            <w:hyperlink w:anchor="SIGNATURES">
              <w:r>
                <w:rPr>
                  <w:rStyle w:val="InternetLink"/>
                  <w:rFonts w:ascii="Times New Roman" w:hAnsi="Times New Roman"/>
                  <w:sz w:val="24"/>
                </w:rPr>
                <w:t>67</w:t>
              </w:r>
            </w:hyperlink>
          </w:p>
        </w:tc>
      </w:tr>
      <w:tr>
        <w:trPr/>
        <w:tc>
          <w:tcPr>
            <w:tcW w:w="9754"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r>
      <w:tr>
        <w:trPr/>
        <w:tc>
          <w:tcPr>
            <w:tcW w:w="9754" w:type="dxa"/>
            <w:tcBorders/>
            <w:shd w:fill="CCEEFF" w:val="clear"/>
            <w:vAlign w:val="center"/>
          </w:tcPr>
          <w:p>
            <w:pPr>
              <w:pStyle w:val="TableContents"/>
              <w:bidi w:val="0"/>
              <w:spacing w:before="0" w:after="0"/>
              <w:ind w:left="1080" w:right="0" w:hanging="1080"/>
              <w:jc w:val="left"/>
              <w:rPr>
                <w:rFonts w:ascii="Times New Roman" w:hAnsi="Times New Roman"/>
                <w:b/>
                <w:sz w:val="24"/>
              </w:rPr>
            </w:pPr>
            <w:r>
              <w:rPr>
                <w:rFonts w:ascii="Times New Roman" w:hAnsi="Times New Roman"/>
                <w:b/>
                <w:sz w:val="24"/>
              </w:rPr>
              <w:t>Consolidated Financial Statements</w:t>
            </w:r>
          </w:p>
        </w:tc>
        <w:tc>
          <w:tcPr>
            <w:tcW w:w="451" w:type="dxa"/>
            <w:tcBorders/>
            <w:shd w:fill="CCEEFF" w:val="clear"/>
            <w:vAlign w:val="center"/>
          </w:tcPr>
          <w:p>
            <w:pPr>
              <w:pStyle w:val="TableContents"/>
              <w:bidi w:val="0"/>
              <w:spacing w:before="0" w:after="283"/>
              <w:jc w:val="left"/>
              <w:rPr/>
            </w:pPr>
            <w:r>
              <w:rPr/>
              <w:t> </w:t>
            </w:r>
          </w:p>
        </w:tc>
      </w:tr>
      <w:tr>
        <w:trPr/>
        <w:tc>
          <w:tcPr>
            <w:tcW w:w="9754" w:type="dxa"/>
            <w:tcBorders/>
            <w:vAlign w:val="center"/>
          </w:tcPr>
          <w:p>
            <w:pPr>
              <w:pStyle w:val="TableContents"/>
              <w:bidi w:val="0"/>
              <w:spacing w:before="0" w:after="0"/>
              <w:ind w:left="1080" w:right="0" w:hanging="1080"/>
              <w:jc w:val="left"/>
              <w:rPr/>
            </w:pPr>
            <w:hyperlink w:anchor="ReportofIndependentRegist">
              <w:r>
                <w:rPr>
                  <w:rStyle w:val="InternetLink"/>
                  <w:rFonts w:ascii="Times New Roman" w:hAnsi="Times New Roman"/>
                  <w:sz w:val="24"/>
                </w:rPr>
                <w:t>Report of Independent Registered Public Accounting Firm</w:t>
              </w:r>
            </w:hyperlink>
          </w:p>
        </w:tc>
        <w:tc>
          <w:tcPr>
            <w:tcW w:w="451" w:type="dxa"/>
            <w:tcBorders/>
            <w:vAlign w:val="center"/>
          </w:tcPr>
          <w:p>
            <w:pPr>
              <w:pStyle w:val="TableContents"/>
              <w:bidi w:val="0"/>
              <w:spacing w:before="0" w:after="0"/>
              <w:jc w:val="center"/>
              <w:rPr/>
            </w:pPr>
            <w:hyperlink w:anchor="ReportofIndependentRegist">
              <w:r>
                <w:rPr>
                  <w:rStyle w:val="InternetLink"/>
                  <w:rFonts w:ascii="Times New Roman" w:hAnsi="Times New Roman"/>
                  <w:sz w:val="24"/>
                </w:rPr>
                <w:t>F-2</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BS">
              <w:r>
                <w:rPr>
                  <w:rStyle w:val="InternetLink"/>
                  <w:rFonts w:ascii="Times New Roman" w:hAnsi="Times New Roman"/>
                  <w:sz w:val="24"/>
                </w:rPr>
                <w:t xml:space="preserve">Consolidated Balance Sheets as of December 31, 2023 and 2022 </w:t>
              </w:r>
            </w:hyperlink>
          </w:p>
        </w:tc>
        <w:tc>
          <w:tcPr>
            <w:tcW w:w="451" w:type="dxa"/>
            <w:tcBorders/>
            <w:shd w:fill="CCEEFF" w:val="clear"/>
            <w:vAlign w:val="center"/>
          </w:tcPr>
          <w:p>
            <w:pPr>
              <w:pStyle w:val="TableContents"/>
              <w:bidi w:val="0"/>
              <w:spacing w:before="0" w:after="0"/>
              <w:jc w:val="center"/>
              <w:rPr/>
            </w:pPr>
            <w:hyperlink w:anchor="BS">
              <w:r>
                <w:rPr>
                  <w:rStyle w:val="InternetLink"/>
                  <w:rFonts w:ascii="Times New Roman" w:hAnsi="Times New Roman"/>
                  <w:sz w:val="24"/>
                </w:rPr>
                <w:t>F-4</w:t>
              </w:r>
            </w:hyperlink>
          </w:p>
        </w:tc>
      </w:tr>
      <w:tr>
        <w:trPr/>
        <w:tc>
          <w:tcPr>
            <w:tcW w:w="9754" w:type="dxa"/>
            <w:tcBorders/>
            <w:vAlign w:val="center"/>
          </w:tcPr>
          <w:p>
            <w:pPr>
              <w:pStyle w:val="TableContents"/>
              <w:bidi w:val="0"/>
              <w:spacing w:before="0" w:after="0"/>
              <w:ind w:left="1080" w:right="0" w:hanging="1080"/>
              <w:jc w:val="left"/>
              <w:rPr/>
            </w:pPr>
            <w:hyperlink w:anchor="IS">
              <w:r>
                <w:rPr>
                  <w:rStyle w:val="InternetLink"/>
                  <w:rFonts w:ascii="Times New Roman" w:hAnsi="Times New Roman"/>
                  <w:sz w:val="24"/>
                </w:rPr>
                <w:t>Consolidated Statements of Operations for the years ended December 31, 2023, 2022, and 2021</w:t>
              </w:r>
            </w:hyperlink>
          </w:p>
        </w:tc>
        <w:tc>
          <w:tcPr>
            <w:tcW w:w="451" w:type="dxa"/>
            <w:tcBorders/>
            <w:vAlign w:val="center"/>
          </w:tcPr>
          <w:p>
            <w:pPr>
              <w:pStyle w:val="TableContents"/>
              <w:bidi w:val="0"/>
              <w:spacing w:before="0" w:after="0"/>
              <w:jc w:val="center"/>
              <w:rPr/>
            </w:pPr>
            <w:hyperlink w:anchor="IS">
              <w:r>
                <w:rPr>
                  <w:rStyle w:val="InternetLink"/>
                  <w:rFonts w:ascii="Times New Roman" w:hAnsi="Times New Roman"/>
                  <w:sz w:val="24"/>
                </w:rPr>
                <w:t>F-6</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SCI">
              <w:r>
                <w:rPr>
                  <w:rStyle w:val="InternetLink"/>
                  <w:rFonts w:ascii="Times New Roman" w:hAnsi="Times New Roman"/>
                  <w:sz w:val="24"/>
                </w:rPr>
                <w:t>Consolidated Statements of Comprehensive Income for the years ended December 31, 2023, 2022, and 2021</w:t>
              </w:r>
            </w:hyperlink>
          </w:p>
        </w:tc>
        <w:tc>
          <w:tcPr>
            <w:tcW w:w="451" w:type="dxa"/>
            <w:tcBorders/>
            <w:shd w:fill="CCEEFF" w:val="clear"/>
            <w:vAlign w:val="center"/>
          </w:tcPr>
          <w:p>
            <w:pPr>
              <w:pStyle w:val="TableContents"/>
              <w:bidi w:val="0"/>
              <w:spacing w:before="0" w:after="0"/>
              <w:jc w:val="center"/>
              <w:rPr/>
            </w:pPr>
            <w:hyperlink w:anchor="SCI">
              <w:r>
                <w:rPr>
                  <w:rStyle w:val="InternetLink"/>
                  <w:rFonts w:ascii="Times New Roman" w:hAnsi="Times New Roman"/>
                  <w:sz w:val="24"/>
                </w:rPr>
                <w:t>F-7</w:t>
              </w:r>
            </w:hyperlink>
          </w:p>
        </w:tc>
      </w:tr>
      <w:tr>
        <w:trPr/>
        <w:tc>
          <w:tcPr>
            <w:tcW w:w="9754" w:type="dxa"/>
            <w:tcBorders/>
            <w:vAlign w:val="center"/>
          </w:tcPr>
          <w:p>
            <w:pPr>
              <w:pStyle w:val="TableContents"/>
              <w:bidi w:val="0"/>
              <w:spacing w:before="0" w:after="0"/>
              <w:ind w:left="1080" w:right="0" w:hanging="1080"/>
              <w:jc w:val="left"/>
              <w:rPr/>
            </w:pPr>
            <w:hyperlink w:anchor="SCF">
              <w:r>
                <w:rPr>
                  <w:rStyle w:val="InternetLink"/>
                  <w:rFonts w:ascii="Times New Roman" w:hAnsi="Times New Roman"/>
                  <w:sz w:val="24"/>
                </w:rPr>
                <w:t xml:space="preserve">Consolidated Statements of Cash Flows for the years ended December 31, 2023, 2022, and 2021 </w:t>
              </w:r>
            </w:hyperlink>
          </w:p>
        </w:tc>
        <w:tc>
          <w:tcPr>
            <w:tcW w:w="451" w:type="dxa"/>
            <w:tcBorders/>
            <w:vAlign w:val="center"/>
          </w:tcPr>
          <w:p>
            <w:pPr>
              <w:pStyle w:val="TableContents"/>
              <w:bidi w:val="0"/>
              <w:spacing w:before="0" w:after="0"/>
              <w:jc w:val="center"/>
              <w:rPr/>
            </w:pPr>
            <w:hyperlink w:anchor="SCF">
              <w:r>
                <w:rPr>
                  <w:rStyle w:val="InternetLink"/>
                  <w:rFonts w:ascii="Times New Roman" w:hAnsi="Times New Roman"/>
                  <w:sz w:val="24"/>
                </w:rPr>
                <w:t>F-8</w:t>
              </w:r>
            </w:hyperlink>
          </w:p>
        </w:tc>
      </w:tr>
      <w:tr>
        <w:trPr/>
        <w:tc>
          <w:tcPr>
            <w:tcW w:w="9754" w:type="dxa"/>
            <w:tcBorders/>
            <w:shd w:fill="CCEEFF" w:val="clear"/>
            <w:vAlign w:val="center"/>
          </w:tcPr>
          <w:p>
            <w:pPr>
              <w:pStyle w:val="TableContents"/>
              <w:bidi w:val="0"/>
              <w:spacing w:before="0" w:after="0"/>
              <w:ind w:left="1080" w:right="0" w:hanging="1080"/>
              <w:jc w:val="left"/>
              <w:rPr/>
            </w:pPr>
            <w:hyperlink w:anchor="SSE">
              <w:r>
                <w:rPr>
                  <w:rStyle w:val="InternetLink"/>
                  <w:rFonts w:ascii="Times New Roman" w:hAnsi="Times New Roman"/>
                  <w:sz w:val="24"/>
                </w:rPr>
                <w:t xml:space="preserve">Consolidated Statements of Stockholders’ Equity for the years ended December 31, 2023, 2022, and 2021 </w:t>
              </w:r>
            </w:hyperlink>
          </w:p>
        </w:tc>
        <w:tc>
          <w:tcPr>
            <w:tcW w:w="451" w:type="dxa"/>
            <w:tcBorders/>
            <w:shd w:fill="CCEEFF" w:val="clear"/>
            <w:vAlign w:val="center"/>
          </w:tcPr>
          <w:p>
            <w:pPr>
              <w:pStyle w:val="TableContents"/>
              <w:bidi w:val="0"/>
              <w:spacing w:before="0" w:after="0"/>
              <w:jc w:val="center"/>
              <w:rPr/>
            </w:pPr>
            <w:hyperlink w:anchor="SSE">
              <w:r>
                <w:rPr>
                  <w:rStyle w:val="InternetLink"/>
                  <w:rFonts w:ascii="Times New Roman" w:hAnsi="Times New Roman"/>
                  <w:sz w:val="24"/>
                </w:rPr>
                <w:t>F-9</w:t>
              </w:r>
            </w:hyperlink>
          </w:p>
        </w:tc>
      </w:tr>
      <w:tr>
        <w:trPr/>
        <w:tc>
          <w:tcPr>
            <w:tcW w:w="9754" w:type="dxa"/>
            <w:tcBorders/>
            <w:vAlign w:val="center"/>
          </w:tcPr>
          <w:p>
            <w:pPr>
              <w:pStyle w:val="TableContents"/>
              <w:bidi w:val="0"/>
              <w:spacing w:before="0" w:after="0"/>
              <w:ind w:left="1080" w:right="0" w:hanging="1080"/>
              <w:jc w:val="left"/>
              <w:rPr/>
            </w:pPr>
            <w:hyperlink w:anchor="Notes">
              <w:r>
                <w:rPr>
                  <w:rStyle w:val="InternetLink"/>
                  <w:rFonts w:ascii="Times New Roman" w:hAnsi="Times New Roman"/>
                  <w:sz w:val="24"/>
                </w:rPr>
                <w:t>Notes to the Consolidated Financial Statements</w:t>
              </w:r>
            </w:hyperlink>
          </w:p>
        </w:tc>
        <w:tc>
          <w:tcPr>
            <w:tcW w:w="451" w:type="dxa"/>
            <w:tcBorders/>
            <w:vAlign w:val="center"/>
          </w:tcPr>
          <w:p>
            <w:pPr>
              <w:pStyle w:val="TableContents"/>
              <w:bidi w:val="0"/>
              <w:spacing w:before="0" w:after="0"/>
              <w:jc w:val="center"/>
              <w:rPr/>
            </w:pPr>
            <w:hyperlink w:anchor="Notes">
              <w:r>
                <w:rPr>
                  <w:rStyle w:val="InternetLink"/>
                  <w:rFonts w:ascii="Times New Roman" w:hAnsi="Times New Roman"/>
                  <w:sz w:val="24"/>
                </w:rPr>
                <w:t>F-10</w:t>
              </w:r>
            </w:hyperlink>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u w:val="single"/>
          <w:shd w:fill="FFFFFF" w:val="clear"/>
        </w:rPr>
      </w:pPr>
      <w:bookmarkStart w:id="0" w:name="PARTI"/>
      <w:bookmarkEnd w:id="0"/>
      <w:r>
        <w:rPr>
          <w:rFonts w:ascii="Times New Roman" w:hAnsi="Times New Roman"/>
          <w:b/>
          <w:color w:val="000000"/>
          <w:sz w:val="24"/>
          <w:u w:val="single"/>
          <w:shd w:fill="FFFFFF" w:val="clear"/>
        </w:rPr>
        <w:t>PART 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rFonts w:ascii="Times New Roman" w:hAnsi="Times New Roman"/>
          <w:color w:val="000000"/>
          <w:sz w:val="20"/>
          <w:shd w:fill="FFFFFF" w:val="clear"/>
        </w:rPr>
      </w:pPr>
      <w:bookmarkStart w:id="1" w:name="Item1"/>
      <w:bookmarkEnd w:id="1"/>
      <w:r>
        <w:rPr>
          <w:rFonts w:ascii="Times New Roman" w:hAnsi="Times New Roman"/>
          <w:b/>
          <w:color w:val="000000"/>
          <w:sz w:val="24"/>
          <w:u w:val="single"/>
          <w:shd w:fill="FFFFFF" w:val="clear"/>
        </w:rPr>
        <w:t>Item 1.</w:t>
      </w:r>
      <w:r>
        <w:rPr>
          <w:rFonts w:ascii="Times New Roman" w:hAnsi="Times New Roman"/>
          <w:color w:val="000000"/>
          <w:sz w:val="20"/>
          <w:shd w:fill="FFFFFF" w:val="clear"/>
        </w:rPr>
        <w:t> </w:t>
      </w:r>
      <w:r>
        <w:rPr>
          <w:rFonts w:ascii="Times New Roman" w:hAnsi="Times New Roman"/>
          <w:b/>
          <w:color w:val="000000"/>
          <w:sz w:val="24"/>
          <w:u w:val="single"/>
          <w:shd w:fill="FFFFFF" w:val="clear"/>
        </w:rPr>
        <w:t>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Our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Vishay Intertechnology, Inc. (“Vishay,” the “Company,” “we,” “us,” or “our”) manufactures one of the world’s largest portfolios of discrete semiconductors and passive electronic components that support innovative designs in the automotive, industrial, computing, consumer, telecommunications, military, aerospace, and medical markets. Serving customers worldwide, Vishay brands itself as </w:t>
      </w:r>
      <w:r>
        <w:rPr>
          <w:rFonts w:ascii="Times New Roman" w:hAnsi="Times New Roman"/>
          <w:b/>
          <w:color w:val="000000"/>
          <w:sz w:val="24"/>
          <w:shd w:fill="FFFFFF" w:val="clear"/>
        </w:rPr>
        <w:t>The DNA of tech</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(“AC”) and voltage, filter out unwanted electrical signals, and perform other functions.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The Vishay Story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over six decades we have been building what we call </w:t>
      </w:r>
      <w:r>
        <w:rPr>
          <w:rFonts w:ascii="Times New Roman" w:hAnsi="Times New Roman"/>
          <w:b/>
          <w:color w:val="000000"/>
          <w:sz w:val="24"/>
          <w:shd w:fill="FFFFFF" w:val="clear"/>
        </w:rPr>
        <w:t>The DNA of tech.TM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Vishay journey began with one man, the late Dr. Felix Zandman, and a revolutionary technology. In the 1950’s, Dr. Felix Zandman was issued patents for his PhotoStress® coatings and instruments, used to reveal and measure the distribution of stresses in structures such as airplanes and cars under live load conditions. His research in this area led him to develop Bulk Metal® foil resistors – ultra-precise, ultra-stable resistors with performance exceeding any other resistor available to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1962, Dr. Zandman, with a loan from the late Alfred P. Slaner, founded Vishay to develop and manufacture Bulk Metal foil resistors. Concurrently, J.E. Starr developed foil resistance strain gages, which also became part of Vishay. Throughout the 1960’s and 1970’s, Vishay established itself as a technical and market leader in foil resistors, PhotoStress products, and strain gages.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From that beginning, we grew and strengthened our business both organically and through strategic passive component acquisitions beginning in 1985 and semiconductor acquisitions beginning in the late 1990’s.  From discrete semiconductors to passive components; from the smallest diode to the most powerful capacitor, Vishay manufactures a breadth of products which we call </w:t>
      </w:r>
      <w:r>
        <w:rPr>
          <w:rFonts w:ascii="Times New Roman" w:hAnsi="Times New Roman"/>
          <w:b/>
          <w:color w:val="000000"/>
          <w:sz w:val="24"/>
          <w:shd w:fill="FFFFFF" w:val="clear"/>
        </w:rPr>
        <w:t>The DNA of tech.™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Through R&amp;D, manufacturing, engineering, quality, sales and marketing, we generate a variety of components that support inventors and innovators creating new generations of products spanning many sectors: automotive, industrial, computing, consumer, telecommunications, military, aerospace, and medical.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Together with major manufacturers of electronic products worldwide, we are supporting next level automation in multiple areas, including factories, the electrification of the automobile, 5G network technology, and the rapid expansion of connectivity across everything (IoT).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continue to implement Dr. Zandman’s vision, strategy, and culture as we work tirelessly to enhance value for our stockholders.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was incorporated in Delaware in 1962 and maintains its principal executive offices at 63 Lancaster Avenue, Malvern, Pennsylvania 19355-2143. Our telephone number is (610) 644-1300.</w:t>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w:t>
      </w:r>
    </w:p>
    <w:p>
      <w:pPr>
        <w:pStyle w:val="HorizontalLine"/>
        <w:bidi w:val="0"/>
        <w:spacing w:before="240" w:after="240"/>
        <w:jc w:val="left"/>
        <w:rPr/>
      </w:pPr>
      <w:r>
        <w:rPr/>
      </w:r>
    </w:p>
    <w:p>
      <w:pPr>
        <w:pStyle w:val="TextBody"/>
        <w:bidi w:val="0"/>
        <w:spacing w:before="240" w:after="24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Our Competitive Strengths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Global Technology Leader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As industry evolves, </w:t>
      </w:r>
      <w:r>
        <w:rPr>
          <w:rFonts w:ascii="Times New Roman" w:hAnsi="Times New Roman"/>
          <w:b/>
          <w:color w:val="000000"/>
          <w:sz w:val="24"/>
          <w:shd w:fill="FFFFFF" w:val="clear"/>
        </w:rPr>
        <w:t xml:space="preserve">The DNA of tech™ </w:t>
      </w:r>
      <w:r>
        <w:rPr>
          <w:rFonts w:ascii="Times New Roman" w:hAnsi="Times New Roman"/>
          <w:color w:val="000000"/>
          <w:sz w:val="24"/>
          <w:shd w:fill="FFFFFF" w:val="clear"/>
        </w:rPr>
        <w:t>evolves.  We were founded based on the inventions of Dr. Felix Zandman and we continue to emphasize technological innovation as a driver of growth.  Many of our products and manufacturing techniques, technologies, and packaging methods have been invented, designed, and developed by Dr. Zandman, our engineers, and our scientists. Our components today are smaller, faster, and more reliable than in the past, helping our customers to be more inventive and evolve their businesses.  Our components are used by virtually all major manufacturers of electronic products worldwide in the automotive, industrial, computing, consumer, telecommunications, military and aerospace, and medical markets.  They are found inside products and systems used every day, from automobiles to airplanes, power grids, phones, and pacemakers.  We are currently a worldwide technology and market leader in wirewound and other power resistors, leaded film resistors, thin film SMD resistors, power inductors, wet and conformal-coated tantalum capacitors, capacitors for power electronics, power rectifiers, low-voltage power MOSFETs, and infrared components.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Research and Development Provides Customer-Driven Growth Solutions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maintain strategically placed application and product support centers where proximity to customers and our manufacturing locations enables us to more easily gauge and satisfy the needs of local markets. The breadth of our product portfolio along with the proximity of our field application engineers to customers provides increased opportunities to have our components selected and designed into new end products by customers in all relevant market segments. We also maintain research and development personnel and promote programs at a number of our production facilities to develop new products and new applications of existing products, and to improve manufacturing processes and technologies. We plan to grow our business and increase earnings per share, in part, through accelerating the development of new products and technologies and increasing design-in opportunities by expanding our technical resources for providing solutions to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Operational Excellence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a leading manufacturer in our industry, with a broad product portfolio, access to a wide range of end markets and sales channels, and geographic diversity. We have solid, well-established relationships with our customers and strong distribution channels. Our senior management team is highly experienced, with deep industry knowledge. Over the past two decades, our management team has successfully restructured our company and integrated several acquisitions. We can adapt our operations to changing economic conditions, as demonstrated by our ability to remain profitable and generate cash through the volatile economic cycle of the recent past.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Broad Market Penetration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We have one of the broadest product lines of discrete semiconductors and passive components among our competitors. Our broad product portfolio allows us to penetrate markets in all industry segments and all regions, which reduces our exposure to a particular end market or geographic location. We plan to grow our business and increase earnings per share, in part, through improving market penetration by expanding manufacturing facilities for our most successful products, increasing technical resources, and developing markets for specialty products in Asia.  </w:t>
      </w:r>
      <w:r>
        <w:rPr>
          <w:rFonts w:ascii="Times New Roman;Times;serif" w:hAnsi="Times New Roman;Times;serif"/>
          <w:b w:val="false"/>
          <w:i w:val="false"/>
          <w:caps w:val="false"/>
          <w:smallCaps w:val="false"/>
          <w:color w:val="000000"/>
          <w:spacing w:val="0"/>
          <w:sz w:val="24"/>
          <w:shd w:fill="FFFFFF" w:val="clear"/>
        </w:rPr>
        <w:t xml:space="preserve">Over the next few years, we expect to experience higher growth rates than over the last decade. This expectation is based upon accelerated electrification, such as factory automation, electrical vehicles, and 5G infrastructure.  </w:t>
      </w:r>
      <w:r>
        <w:rPr>
          <w:rFonts w:ascii="Times New Roman" w:hAnsi="Times New Roman"/>
          <w:color w:val="000000"/>
          <w:sz w:val="24"/>
          <w:shd w:fill="FFFFFF" w:val="clear"/>
        </w:rPr>
        <w:t>See Note 15 to our consolidated financial statements for net revenues by region and end market.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Strong Track Record of Growth through Acquisitions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Since 1985, we have expanded our product line through various strategic acquisitions, growing from a small manufacturer of precision resistors and resistance strain gages to one of the world’s largest manufacturers and suppliers of a broad line of electronic components. We have successfully integrated the acquired companies within our existing management and operational structure, reducing selling, general, and administrative expenses through the integration or elimination of redundant sales and administrative functions, creating manufacturing synergies, while improving customer service. We plan to grow our business and increase earnings per share, in part, through targeted acquisitions.  We have often targeted high margin niche business acquisitions.  We also target strategic acquisitions of businesses with technology and engineering capabilities that we can further develop and commercialize to grow our business and key niche suppliers that allow us to vertically integrate our supply chain.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Strong Free Cash Flow Generation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refer to the amount of cash generated from operations in excess of our capital expenditure needs and net of proceeds from the sale of assets as “free cash” (see "Overview" included in Item 7, “Management’s Discussion and Analysis of Financial Condition and Results of Operations” for "free cash" definition and reconciliation to generally accepted accounting principles ("GAAP")).  Due to our strong operational management, cost control measures, efficient capital expenditures, broad product portfolio, and strong market position, we have generated positive “free cash” in each of the past 27 years.  Our aggressive capital expenditure plans for 2023 - 2025 have limited and will limit "free cash" generation over that time frame.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Financial Strength and Flexibility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of December 31, 2023, our cash and short-term investment balance exceeded our debt balance by $190.3 million.  We also maintain a credit facility, which provides a revolving commitment of up to $750 million through May 8, 2028, of which substantially all was available as of December 31, 2023.  Our net cash position and short-term investment balance, available revolving commitment, and “free cash” flow generation provide financial strength and flexibility and reduce our exposure to future economic uncertainties.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Our Key Challenges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Economic Environment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and operating results have been and will continue to be impacted by the global economy and the local economies in which our customers operate. Our revenues are dependent on end markets that are impacted by fluctuating consumer and industrial demand, and our operating results can be adversely affected by reduced demand in those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Competition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is highly competitive worldwide, with low transportation costs and few import barriers. Our major competitors, some of which are larger than us, have significant financial resources and technological capabilities. To continue to grow our business successfully, we need to continually develop, introduce, and market new and innovative products, modify existing products, respond to technological change, and customize certain products to meet customer requirements.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Continuous Innovation and Protection of Intellectual Property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ability to compete effectively with other companies depends, in part, on our ability to maintain the proprietary nature of our technology. Although we have been awarded, have filed applications for, or have licenses to use numerous patents in the United States and other countries, there can be no assurance concerning the degree of protection afforded by these patents or the likelihood that pending patents will be issued.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Continuing to Grow through Acquisitions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long-term historical growth in revenues and net earnings has resulted in large part from our strategy of growth through acquisitions. For this strategy to remain successful, we need to continue to identify attractive and available acquisition candidates, complete acquisitions on favorable terms, and integrate new businesses, manufacturing processes, employees, and logistical arrangements into our existing management and operating infrastructure.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Supply Chain Disruption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production and sale of our products is reliant on a complex global interconnected supply chain of vendors, manufacturing facilities, third-party contractors, shipping partners, distributors, and end market customers.  Our production and results of operations can be negatively impacted by disruptions to any part of the supply chain, many of which are beyond our control.  We remain cognizant of these challenges and seek to minimize their effects whenever possible.  For a more detailed discussion, see "Supply Chain" below.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a more detailed discussion of the risks and uncertainties inherent in our business, which could materially and adversely affect our business, results of operations or financial condition, see “Risk Factors” in Item 1A.</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Key Business Strategies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strategy principally consists of the following elements: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Think Customer First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maintain significant production facilities in those regions where we market the bulk of our products in order to enhance the service and responsiveness that we provide to our customers. We aim to further strengthen our relationships with customers and strategic partners by providing broad product lines that allow us to provide “one-stop shop” service, whereby they can streamline their design and purchasing processes by ordering multiple types of products, by anticipating customer needs, and supporting increasing customer demand.</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Invest in Innovation to Drive Growth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plan to continue to use our research and development (“R&amp;D”), engineering, and product marketing resources to continually roll out new and innovative products. As part of our plan to foster intensified internal growth, we have increased our worldwide R&amp;D and engineering technical staff, and increased our technical field sales force in Asia to increase opportunities to design-in our products in local markets.  Our ability to react to changing customer needs and industry trends will continue to be key to our success.  We intend to leverage our insights into customer demand to continually develop new innovative products within our existing lines and to modify our existing core products to make them more appealing, addressing changing customer needs and industry trends.  We are directing increased funding and are focusing on developing products to capitalize on the mega trends of electrification, data storage, and wireless communications that are critical to our future success.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are also investing in additional capital expenditures to expand key product lines.  Over the next few years, we expect to experience higher growth rates than over the last decade. This expectation is based upon accelerated electrification, such as factory automation, electrical vehicles, and 5G infrastructure.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Growth through Strategic Acquisitions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plan to continue to expand within the electronic components industry, through the acquisition of other manufacturers of electronic components that have established positions in major markets, reputations for product innovation, quality, and reliability, strong customer bases, and product lines with which we have substantial marketing and technical expertise.  It also includes certain businesses that possess technologies which we expect to further develop and commercialize and key niche suppliers that allow us to vertically integrate our supply chain.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Cost Management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place a strong emphasis on controlling our costs. We focus on controlling fixed costs and reducing variable costs. When our ongoing cost management activities are not adequate, we take actions to maintain our cost competitiveness including restructuring our business to improve efficiency and operating performance.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growth plan was designed based on the tenets of the key business strategies listed above.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Products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design, manufacture, and market electronic components that cover a wide range of functions and technologies.  Our products include commodity, non-commodity, and custom products in which we believe we enjoy a good reputation and strong brand recognition, including our Siliconix, Dale, Draloric, Beyschlag, Sfernice, MCB, UltraSource, Applied Thin-Film Products, IHLP®, HiRel Systems, Sprague, Vitramon, Barry, Roederstein, ESTA, and BCcomponents brands.  We promote our ability to provide “one-stop shop” service to customers, whereby they can streamline their design and purchasing processes by ordering multiple types of products from Vishay.  Our technical sales force consisting of field application engineers offers customers the complete breadth of the Vishay portfolio for their applications. We aim to use this broad portfolio to increase opportunities to have our components selected and “designed in” to new end products.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consider any product which is completely interchangeable with a competitor’s product to be a “commodity product.”  Commodity products serve many markets.  For 2023, commodity products comprised 31% of our revenues.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consider any of our standard products that may be sold to multiple customers, which is not completely interchangeable with a competitor’s product, to be a “non-commodity” product.  Non-commodity products generally have a small number of competitors who have similar, but not exact, products.  Non-commodity products typically serve a particular end-use market. For 2023, non-commodity products comprised 47% of our revenues.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also sell several custom products.  Usually, a custom product is designed for a specific customer, and such part number is sold to only that customer.   For 2023, custom products comprised 22% of our revenues.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evaluate our level of product innovation by measuring how much of our revenue is derived from products developed in the previous five years.  Products for certain end-use markets, particularly the automotive market, tend to have longer product life cycles, which may impact these metrics.  Approximately 25% of our annual revenues are generated by products that were developed in the previous five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Product Segments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products can be divided into two general classes: semiconductors and passive components. Semiconductors are sometimes referred to as “active components” because they require power to function whereas passive components do not require power to function.  Our semiconductor and passive components products are further categorized based on their functionality for financial reporting purposes.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sz w:val="24"/>
        </w:rPr>
      </w:pPr>
      <w:r>
        <w:rPr>
          <w:rFonts w:ascii="Times New Roman" w:hAnsi="Times New Roman"/>
          <w:b/>
          <w:i/>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Semiconductors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semiconductor products include metal oxide semiconductor field-effect transistors ("MOSFETs"), diodes, and optoelectronic components. Semiconductors are typically used to perform functions such as switching, amplifying, rectifying, routing, or transmitting electrical signals, power conversion, and power management.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MOSFETs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MOSFETs function as solid state switches to control power.  Our MOSFETs business includes both the commodity and non-commodity markets in which we believe that we enjoy a good reputation and strong brand recognition (Siliconix). MOSFETs applications include mobile phones, notebook and desktop computers, tablet computers, digital cameras, televisions, DC/DC and AC/DC switch mode power supplies, solar inverters, automotive and industrial systems. We are a leader in low-voltage TrenchFET MOSFETs and also offer high-voltage MOSFETs. Our MOSFETs product line includes low- and medium-voltage TrenchFET MOSFETs, high-voltage planar MOSFETs, high voltage Super Junction MOSFETs, power integrated circuits (power ICs), and integrated function power devices. We are one of the technology leaders in MOSFETs, with a tradition of innovation in wafer design, packaging, and performance.  Our acquisition of MaxPower Semiconductor, Inc. on October 28, 2022 adds leading edge silicon and silicon carbide technology to our MOSFETs product line.  Our pending acquisition of Nexperia's Newport fab is expected to enhance the manufacturing capacity and capabilities of our MOSFETs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2023, commodity products comprised 45% of our annual MOSFETs segment revenues.  Non-commodity products comprised 42% of our annual MOSFETs segment revenues.  Custom products comprised 13% of our annual MOSFETs segment revenues.  Approximately 30% of our annual MOSFETs segment revenues were generated by products that were developed in the previous five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Diodes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Diodes route, regulate, and block radio frequency, analog, and power signals; protect systems from surges or electrostatic discharge damage; or provide electromagnetic interference filtering.  Our Diodes business is a solid business with a strong market presence in both the commodity and non-commodity markets. The products that comprise our Diodes business represent our broadest product line and include rectifiers, small signal diodes, protection diodes, thyristors/SCRs and power modules. The primary application of rectifiers, found inside the power supplies of virtually all electronic equipment, is to derive DC power from the AC supply. Vishay is the worldwide leader in rectifiers, having a broad technology base and a good position in automotive, industrial, computing and consumer markets. Our rectifier innovations include TMBS® using Trench MOS barrier Schottky rectifier technology, which reduces power loss and improves the efficiency of end systems and eSMP®, the best in class high-current density surface mount packages. Our wide selection of small signal diodes consist of the following functions: switching, tuning, band-switching, RF attenuation and voltage regulation (Zener). They are available in various glass and plastic packaging options and generally are used in electronic circuits, where small currents and high frequencies are involved. Vishay is also one of the market leaders for TVS (transient voltage suppressor) diodes. The portfolio of protection diodes includes ESD protection and EMI filter. Our thyristors or SCR (silicon-controlled rectifiers) are very popular in the industrial high-voltage AC power control applications. The fast growing markets of solar inverter and HEV/EV are the focus of our power modules business (IGBT or MOSFET modules). These modules can be customized to fit in different customer design requirements.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2023, commodity products comprised 55% of our annual Diodes segment revenues.  Non-commodity products comprised 26% of our annual Diodes segment revenues.  Custom products comprised 19% of our annual Diodes segment revenues. Approximately 30% of our annual Diodes segment revenues were generated by products that were developed in the previous five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Optoelectronic Components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Optoelectronic components emit light, detect light, or do both.  Our Optoelectronic Components business has a strong market presence in both the commodity and non-commodity markets.  Our broad range of standard and customer specific optoelectronic components includes infrared (“IR”) emitters and detectors, IR remote control receivers, optocouplers, solid-state relays, optical sensors, light-emitting diodes (“LEDs”), 7-segment displays, and IR data transceiver modules (IrDA®). Our IR remote control receivers are designed for use in infrared remote control, data transmission, and light barrier applications in end products including televisions, set-top boxes, notebook computers, and audio systems. We are the leading manufacturer of IR remote control receivers. Our optocouplers electrically isolate input and output signals. Uses include switch-mode power supplies, consumer electronics, telecommunications equipment, solar inverters, and industrial systems. Our IR data transceiver modules are used for short range, two-way, high-speed, and secure wireless data transfer between electronic devices such as home medical appliances, mobile phones, industrial data loggers, and metering. Our optical sensors product line was considerably strengthened by our acquisition of Capella in 2014.  Our optical sensors products include ambient light sensors, optical encoders, integrated photodiode and I/V amplifiers, proximity sensors, color sensors, and UV sensors.  Applications include telecommunications, mobile phones, smartphone, handheld devices, digital cameras, laptops, desktop computers, LED backlighting, office automation equipment, household electrical appliance and automotive electronics.  Our LEDs are designed for backlighting and illumination in automotive and other applications. Our LEDs include ultra-bright as well as small surface-mount packages, with products available in all standard colors including white.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All of our Optoelectronic Components segment products are non-commodity or custom products.  Approximately 25% of our annual Optoelectronic Components segment revenues were generated by products that were developed in the previous five years.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Passive Components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passive components include resistors, inductors, and capacitors. Passive components are used to store electrical charges, to limit or resist electrical current, and to help in filtering, surge suppression, measurement, timing, and tuning applications.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Resistors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Resistors impede electric current.  Resistors are basic components used in all forms of electronic circuitry to adjust and regulate levels of voltage and current.  Our Resistors business is our original business. We maintain the broadest portfolio of resistor products worldwide.  Under current market conditions, the business is solid, predictable, and growing at relatively stable selling prices.  We are a market leader with a strong technology base, many specialty products, and strong brand recognition (such as our Dale, Draloric, Beyschlag, and Sfernice brands). We focus on higher value markets in specialized industries, while maintaining a complete portfolio of commodity products.  We do not aim to be the volume leader in commodity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Resistors vary widely in precision and cost, and are manufactured from numerous materials and in many forms.  Linear resistive components are classified as variable or fixed, depending on whether or not their resistance is adjustable. Non-linear resistors function by varying in resistance under influence of temperature (thermistors) or voltage (varistors). They can be used in temperature-measuring applications or as current or voltage-limiting devices. We manufacture virtually all types of fixed resistors, both in discrete and network forms, as well as many variable types.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resistor innovations include Power Metal Strip® technology.  These resistors feature very low resistance and are used to measure changes in current flow (current sensing) or divert current flow (shunting).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2023, commodity products comprised 19% of our annual Resistors segment revenues.  Non-commodity products comprised 53% of our annual Resistors segment revenues.  Custom products comprised 28% of our annual Resistors segment revenues. Approximately 15% of our annual Resistors segment revenues were generated by products that were developed in the previous five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Inductors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Inductors also impede electric current.  Inductors use an internal magnetic field to change alternating current phase and resist alternating current.  While part of our traditional business, the inductors product line has grown significantly in recent years.  We are a market leader with a strong technology base, many specialty products, and strong name recognition (such as our IHLP® and HiRel Systems brands). We focus on higher value markets in specialized industries, such as the industrial, automotive, military, and medical end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Inductor applications include controlling AC current and voltage, filtering out unwanted electrical signals, and energy storage. Vishay inductor innovations include our patented IHLP low-profile, high-current inductor technology with industry-leading specifications. Our low-profile, high-current inductors save circuit board space and power in voltage regulator module (“VRM”) and DC to DC converter applications. In addition, we are a worldwide leader in custom magnetic solutions focusing on high performance and high reliability.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Substantially all of our Inductors segment products are non-commodity or custom products.  Approximately 15% of our annual Inductors segment revenues were generated by products that were developed in the previous five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Capacitors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Capacitors store energy and discharge it when needed.  Our Capacitors business consists of a broad range of reliable, high-quality products. We have a strong presence worldwide in specialty markets based on our product performance and reliability and strong brand recognition (including our Sprague, Vitramon, Roederstein, BCcomponents, and ESTA brands). We focus on higher value markets in specialized industries, while maintaining a complete portfolio of commodity products. We do not aim to be the volume leader in commodity markets. Capacitors are used in almost all electronic circuits. They store energy and discharge it when needed. Important applications for capacitors include electronic filtering for linear and switching power supplies; decoupling and bypass of electronic signals for integrated circuits and circuit boards; and frequency control, timing and conditioning of electronic signals for a broad range of applications.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manufacture products based on all major capacitor technologies: tantalum (molded chip tantalum, coated chip tantalum, solid through-hole tantalum, wet tantalum, and polymer), ceramic (multilayer chip and ceramic disc), film, power, heavy-current, and aluminum electrolytic. Our capacitors range from tiny surface-mount devices for hearing aids and mobile devices to large power correction capacitors used in renewable energy, heavy industry, and electrical power grids. We are a recognized technology leader in many product ranges, securing our strong position in military and medical markets, and in a wide range of industrial and automotive applications. Our wet tantalum and MicroTan™ technologies are market leaders.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2023, commodity products comprised 28% of our annual Capacitors segment revenues.  Non-commodity products comprised 48% of our annual Capacitors segment revenues.  Custom products comprised 24% of our annual Capacitors segment revenues. Approximately 30% of our annual Capacitors segment revenues were generated by products that were developed in the previous five years.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Military Qualifications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qualified certain of our products under various military specifications approved and monitored by United States government agencies, and under certain European military specifications. Qualification levels are based in part upon the rate of failure of products. In order to maintain the classification level of a product, we must continuously perform tests on the product and the results of these tests must be reported to the government agencies. If the product fails to meet the requirements for the applicable classification level, the product’s classification may be reduced to a lower level.  During the time that the classification level is reduced for a product with military application, net revenues and earnings attributable to that product may be adversely affected.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Manufacturing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order to better serve our customers, we maintain production facilities in locations where we market the bulk of our products, such as the United States, Germany, and Asia. To optimize production efficiencies, we have whenever practicable established manufacturing facilities in countries, such as India, Israel, Malaysia, Mexico, the People’s Republic of China, and the Philippines, where we can benefit from lower labor costs and also benefit from various government incentives, including tax relief.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the United States, our manufacturing facilities are located in California, Connecticut, Massachusetts, Minnesota, Nebraska, New Hampshire, New York, Rhode Island, South Dakota, Vermont, and Wisconsin. In Asia, our main manufacturing facilities are located in the People’s Republic of China, the Republic of China (Taiwan), India, and Malaysia. In Europe, our main manufacturing facilities are located in Germany, France, and the Czech Republic. We have substantial manufacturing facilities in Israel. We also have manufacturing facilities in Austria, Dominican Republic, Japan, Hungary, Italy, Mexico, Portugal, and the Philippines. Over the past several years, we have invested substantial resources to increase the efficiency of our plants, which we believe will further reduce production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jc w:val="both"/>
        <w:rPr>
          <w:rFonts w:ascii="Times New Roman" w:hAnsi="Times New Roman"/>
          <w:color w:val="000000"/>
          <w:sz w:val="24"/>
          <w:shd w:fill="FFFFFF" w:val="clear"/>
        </w:rPr>
      </w:pPr>
      <w:r>
        <w:rPr>
          <w:rFonts w:ascii="Times New Roman" w:hAnsi="Times New Roman"/>
          <w:color w:val="000000"/>
          <w:sz w:val="24"/>
          <w:shd w:fill="FFFFFF" w:val="clear"/>
        </w:rPr>
        <w:t>All of our manufacturing operations have received ISO 9001 certification.  ISO 9001 is a comprehensive set of quality program standards developed by the International Standards Organization.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Supply Chain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the recent years have, at times, negatively impacted our ability to manufacture products and to deliver them to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If after entering into these commitments, the market prices for these raw materials decline, we must recognize losses on these adverse purchase commitments.  In certain circumstances, we also purchase precious metals bullion in excess of our immediate manufacturing needs to mitigate the risk of supply shortages or volatile price fluctuations.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production can be disrupted by the unavailability of resources, such as water, energy, and gases.  The unavailability or reduced availability of these resources could require us to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use third-party foundries and subcontractors for certain of our manufacturing activities, primarily wafer fabrication and the assembly and testing of finished goods.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remain cognizant of these supply chain challenges and seek to minimize their effects whenever possible.  Despite our best efforts, there can be no assurances we will be successful in mitigating these risks.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Inventory and Backlog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manufacture both standardized products and those designed and produced to meet customer specifications. We maintain an inventory of standardized components and monitor the backlog of outstanding orders for our products.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include in our backlog only open orders that we expect to ship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included in our backlog, in many instances without the payment of any penalty. Therefore, our backlog at any point in time is not necessarily indicative of the results to be expected for future periods.</w:t>
      </w:r>
    </w:p>
    <w:p>
      <w:pPr>
        <w:pStyle w:val="TextBody"/>
        <w:bidi w:val="0"/>
        <w:spacing w:before="0" w:after="0"/>
        <w:jc w:val="both"/>
        <w:rPr>
          <w:rFonts w:ascii="Times New Roman" w:hAnsi="Times New Roman"/>
          <w:sz w:val="20"/>
        </w:rPr>
      </w:pPr>
      <w:r>
        <w:rPr>
          <w:rFonts w:ascii="Times New Roman" w:hAnsi="Times New Roman"/>
          <w:sz w:val="20"/>
        </w:rPr>
      </w:r>
      <w:bookmarkStart w:id="2" w:name="OLE_LINK22"/>
      <w:bookmarkStart w:id="3" w:name="OLE_LINK21"/>
      <w:bookmarkStart w:id="4" w:name="OLE_LINK22"/>
      <w:bookmarkStart w:id="5" w:name="OLE_LINK21"/>
      <w:bookmarkEnd w:id="4"/>
      <w:bookmarkEnd w:id="5"/>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Customers and Marketing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sell our products to original equipment manufacturers (“OEMs”), electronic manufacturing services (“EMS”) companies, which manufacture for OEMs on an outsourcing basis, and independent distributors that maintain large inventories of electronic components for resale to OEMs and EMS companies. See Note 15 to our consolidated financial statements for net revenues by customer type.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sales organizations are regionally based. While our sales and support procedures are typically similar across all regions, we remain flexible in our ability to offer programs tailored to our customers’ specific support requirements in each local area.  The aim of our sales organizations is supporting our customers across all product lines, developing new design wins, negotiating contracts, and providing general commercial support as would normally be expected of a large multi-national sales force.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an established Strategic Global Account program, which provides each of our top customers with a dedicated Strategic Global Account Manager. Our Strategic Global Account Managers are typically highly experienced salesmen or saleswomen who are capable of providing key customers with the coordination and management visibility required in a complex multi-product business relationship. They typically coordinate the sales, pricing, contract, logistic, quality, and other aspects of the customer’s business requirements.  The Strategic Global Account Manager normally is the focal point of communication between Vishay and our main customers.  We maintain a similar program for our strategic distributors as well.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work with our customers so that our products are incorporated into the design of electronic equipment at the earliest stages of development and to provide technical and applications support. In addition to our staff of direct field sales personnel, independent manufacturers’ representatives, and distributors, our Business Development group maintains teams of dedicated Field Application Engineers (“FAEs”) to assist our customers in solving technical problems and in developing products to meet specific customer application needs using our entire product portfolio to provide support for our customers’ engineering needs. Organized by market segment, our Business Development FAEs bring specific knowledge of component applications in their areas of expertise in the automotive, telecommunications, computer, consumer/entertainment, industrial, peripherals, digital consumer, and other market segments. With the ultimate goal of a Vishay “design-in” – the process by which our customers specify a Vishay component in their products – this program offers our customers enhanced access to all Vishay technologies while at the same time increasing design wins, and ultimately sales, for us. Most importantly, the process is closely monitored via a proprietary database developed by our Business Development group. Our database captures specific design activities and allows for real-time measurement of new business potential for our management team.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top 30 customers have been relatively stable despite not having long-term commitments to purchase our products. With selected customers, we have signed longer term (greater than one year) contracts for specific products. Net revenues from our top 30 customers represent approximately 68% of our total net revenues.  No single customer comprised more than 10% of our total net revenues for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certain areas we also work with sales representatives. The commission expense for these sales representatives is not material.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Research and Development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our products and manufacturing techniques, technologies, and packaging methods have been invented, designed, and developed by Dr. Felix Zandman, our engineers, and our scientists. We maintain strategically placed design centers where proximity to customers enables us to more easily gauge and satisfy the needs of local markets. These design centers are located predominantly in the United States, Germany, Italy, Israel, Ireland, the People’s Republic of China, France, and the Republic of China (Taiwan).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also employ research and development personnel and promote programs at a number of our production facilities to develop new products and new applications of existing products and to improve manufacturing processes and technologies.  This decentralized system encourages product development at individual manufacturing facilities, closer to our customers.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Competition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face strong competition in various product lines from both domestic and foreign manufacturers. Our primary competitors by product type include:</w:t>
      </w:r>
    </w:p>
    <w:p>
      <w:pPr>
        <w:pStyle w:val="TextBody"/>
        <w:bidi w:val="0"/>
        <w:spacing w:before="0" w:after="0"/>
        <w:jc w:val="left"/>
        <w:rPr>
          <w:rFonts w:ascii="Times New Roman" w:hAnsi="Times New Roman"/>
          <w:sz w:val="20"/>
        </w:rPr>
      </w:pPr>
      <w:r>
        <w:rPr>
          <w:rFonts w:ascii="Times New Roman" w:hAnsi="Times New Roman"/>
          <w:sz w:val="20"/>
        </w:rPr>
      </w:r>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MOSFETs:</w:t>
            </w:r>
            <w:r>
              <w:rPr>
                <w:rFonts w:ascii="Times New Roman" w:hAnsi="Times New Roman"/>
                <w:sz w:val="24"/>
              </w:rPr>
              <w:t xml:space="preserve"> Infineon, ON Semiconductor, Renesas, STMicroelectronics, Toshiba.</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788" w:type="dxa"/>
        <w:jc w:val="left"/>
        <w:tblInd w:w="0" w:type="dxa"/>
        <w:tblLayout w:type="fixed"/>
        <w:tblCellMar>
          <w:top w:w="0" w:type="dxa"/>
          <w:left w:w="0" w:type="dxa"/>
          <w:bottom w:w="0" w:type="dxa"/>
          <w:right w:w="0" w:type="dxa"/>
        </w:tblCellMar>
      </w:tblPr>
      <w:tblGrid>
        <w:gridCol w:w="38"/>
        <w:gridCol w:w="11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 xml:space="preserve">Diodes: </w:t>
            </w:r>
            <w:r>
              <w:rPr>
                <w:rFonts w:ascii="Times New Roman" w:hAnsi="Times New Roman"/>
                <w:sz w:val="24"/>
              </w:rPr>
              <w:t>Diodes Inc., Nexperia, ON Semiconductor, Rohm, STMicroelectronics.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788" w:type="dxa"/>
        <w:jc w:val="left"/>
        <w:tblInd w:w="0" w:type="dxa"/>
        <w:tblLayout w:type="fixed"/>
        <w:tblCellMar>
          <w:top w:w="0" w:type="dxa"/>
          <w:left w:w="0" w:type="dxa"/>
          <w:bottom w:w="0" w:type="dxa"/>
          <w:right w:w="0" w:type="dxa"/>
        </w:tblCellMar>
      </w:tblPr>
      <w:tblGrid>
        <w:gridCol w:w="38"/>
        <w:gridCol w:w="11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Optoelectronic Components:</w:t>
            </w:r>
            <w:r>
              <w:rPr>
                <w:rFonts w:ascii="Times New Roman" w:hAnsi="Times New Roman"/>
                <w:sz w:val="24"/>
              </w:rPr>
              <w:t xml:space="preserve"> Broadcom, ON Semiconductor, Renesas, Toshiba.</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383" w:type="dxa"/>
        <w:jc w:val="left"/>
        <w:tblInd w:w="0" w:type="dxa"/>
        <w:tblLayout w:type="fixed"/>
        <w:tblCellMar>
          <w:top w:w="0" w:type="dxa"/>
          <w:left w:w="0" w:type="dxa"/>
          <w:bottom w:w="0" w:type="dxa"/>
          <w:right w:w="0" w:type="dxa"/>
        </w:tblCellMar>
      </w:tblPr>
      <w:tblGrid>
        <w:gridCol w:w="38"/>
        <w:gridCol w:w="11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 xml:space="preserve">Resistors: </w:t>
            </w:r>
            <w:r>
              <w:rPr>
                <w:rFonts w:ascii="Times New Roman" w:hAnsi="Times New Roman"/>
                <w:sz w:val="24"/>
              </w:rPr>
              <w:t>Bourns, KOA, Murata, Panasonic, Rohm, TDK-EPCOS, Yageo.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238" w:type="dxa"/>
        <w:jc w:val="left"/>
        <w:tblInd w:w="0" w:type="dxa"/>
        <w:tblLayout w:type="fixed"/>
        <w:tblCellMar>
          <w:top w:w="0" w:type="dxa"/>
          <w:left w:w="0" w:type="dxa"/>
          <w:bottom w:w="0" w:type="dxa"/>
          <w:right w:w="0" w:type="dxa"/>
        </w:tblCellMar>
      </w:tblPr>
      <w:tblGrid>
        <w:gridCol w:w="38"/>
        <w:gridCol w:w="11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 xml:space="preserve">Inductors: </w:t>
            </w:r>
            <w:r>
              <w:rPr>
                <w:rFonts w:ascii="Times New Roman" w:hAnsi="Times New Roman"/>
                <w:sz w:val="24"/>
              </w:rPr>
              <w:t>Bourns, Cyntec, Murata, Panasonic, Taiyo Yuden, TDK-EPCOS, Yageo.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703" w:type="dxa"/>
        <w:jc w:val="left"/>
        <w:tblInd w:w="0" w:type="dxa"/>
        <w:tblLayout w:type="fixed"/>
        <w:tblCellMar>
          <w:top w:w="0" w:type="dxa"/>
          <w:left w:w="0" w:type="dxa"/>
          <w:bottom w:w="0" w:type="dxa"/>
          <w:right w:w="0" w:type="dxa"/>
        </w:tblCellMar>
      </w:tblPr>
      <w:tblGrid>
        <w:gridCol w:w="38"/>
        <w:gridCol w:w="11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4"/>
              </w:rPr>
              <w:t xml:space="preserve">Capacitors: </w:t>
            </w:r>
            <w:r>
              <w:rPr>
                <w:rFonts w:ascii="Times New Roman" w:hAnsi="Times New Roman"/>
                <w:sz w:val="24"/>
              </w:rPr>
              <w:t>Kyocera, Murata, Nichicon, Panasonic, Taiyo Yuden, TDK-EPCOS, Yageo.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There are many other companies that produce products in the markets in which we compete.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competitive position depends on our ability to maintain a competitive advantage on the basis of product quality, know-how, proprietary data, market knowledge, service capability, technological innovation, business reputation, and price competitiveness. Our sales and marketing programs aim to compete by offering our customers a broad range of world-class technologies and products, superior global sales and distribution support, and a secure and multi-location source of product supply.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There has been a considerable amount of consolidation activity in the electronic component industry, some of which involved our primary competitors.  We view the industry consolidation as an opportunity for us to gain business as an independent second-source supplier.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Patents and Licenses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We require all of our </w:t>
      </w:r>
      <w:bookmarkStart w:id="6" w:name="OLE_LINK17"/>
      <w:bookmarkEnd w:id="6"/>
      <w:r>
        <w:rPr>
          <w:rFonts w:ascii="Times New Roman" w:hAnsi="Times New Roman"/>
          <w:color w:val="000000"/>
          <w:sz w:val="24"/>
          <w:shd w:fill="FFFFFF" w:val="clear"/>
        </w:rPr>
        <w:t>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When we believe other companies are misappropriating our intellectual property rights, we vigorously enforce those rights through legal action, and we intend to continue to do so.  See Item 3, “Legal Proceedings.”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Although we have numerous United States and foreign patents covering certain of our products and manufacturing processes, no particular patent is considered individually material to our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Human Capital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a global company, we collaborate internationally and celebrate the diversity of our local cultures.  Employees are encouraged to bring their unique perspectives, help identify opportunities to collaborate, and open themselves to the career development that comes from learning from others.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of December 31, 2023, we employed approximately 23,500 full time employees worldwide.  Reflecting our global business, our executive management team and many leadership positions are dispersed throughout the world.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Employees by location are summarized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3520" w:type="dxa"/>
        <w:jc w:val="left"/>
        <w:tblInd w:w="0" w:type="dxa"/>
        <w:tblLayout w:type="fixed"/>
        <w:tblCellMar>
          <w:top w:w="0" w:type="dxa"/>
          <w:left w:w="0" w:type="dxa"/>
          <w:bottom w:w="0" w:type="dxa"/>
          <w:right w:w="0" w:type="dxa"/>
        </w:tblCellMar>
      </w:tblPr>
      <w:tblGrid>
        <w:gridCol w:w="2645"/>
        <w:gridCol w:w="60"/>
        <w:gridCol w:w="60"/>
        <w:gridCol w:w="680"/>
        <w:gridCol w:w="75"/>
      </w:tblGrid>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United States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sz w:val="24"/>
              </w:rPr>
            </w:pPr>
            <w:r>
              <w:rPr>
                <w:sz w:val="24"/>
              </w:rPr>
              <w:t>2,400</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People’s Republic of 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7,300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Germany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sz w:val="24"/>
              </w:rPr>
            </w:pPr>
            <w:r>
              <w:rPr>
                <w:sz w:val="24"/>
              </w:rPr>
              <w:t>2,300</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Israel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2,300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Taiwan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sz w:val="24"/>
              </w:rPr>
            </w:pPr>
            <w:r>
              <w:rPr>
                <w:sz w:val="24"/>
              </w:rPr>
              <w:t>2,000</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Czech Republic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1,200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India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sz w:val="24"/>
              </w:rPr>
            </w:pPr>
            <w:r>
              <w:rPr>
                <w:sz w:val="24"/>
              </w:rPr>
              <w:t>1,000</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Other Europe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1,600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Other Americas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sz w:val="24"/>
              </w:rPr>
            </w:pPr>
            <w:r>
              <w:rPr>
                <w:sz w:val="24"/>
              </w:rPr>
              <w:t>1,500</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Other Asia</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sz w:val="24"/>
              </w:rPr>
            </w:pPr>
            <w:r>
              <w:rPr>
                <w:sz w:val="24"/>
              </w:rPr>
              <w:t>1,900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Total</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23,500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Many of our employees outside the United States are members of workers councils or unions or otherwise subject to collective bargaining agreements. Employees at one small U.S. facility, representing less than 1% of our U.S. workforce, are represented by a trade union. We consider our relations with our employees positive, fair, and equitable.</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Our greatest assets are our employees, and our continued success depends on our ability to attract, retain, and develop high levels of talent across the organization. Each person and each role plays a critical role in our success.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Vishay continuously invests in its people through diverse training offerings, networking opportunities, and a commitment to developing life and professional skills. Employee development programs offer individual and group learning to maintain profitable business growth while increasing speed and agility.</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Organizationally, Vishay continues to evolve and change to meet or exceed customer and market demands, requiring heightened collaboration and agility. We continue to embed a high-performance culture whereby employees are encouraged to surface ideas, employ continuous improvement attitudes, and work together to achieve our organizational goals. Training and communication efforts have been implemented to ensure all employees know what is expected of them. The first phase of implementing a global human capital management system was completed in late 2023 to support our international workforce's communication, development, and efficient business processes.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During 2023, resources were added to lead the global functions of Talent Acquisition and Total Rewards to refine our focus on attracting and nurturing key talent. Incentive compensation programs have been revised to create a unified focus on profitable growth. Organizational and structural changes that have allowed us to flatten the organizational structure and redefine some leadership roles continue to be implemented. We empower our employees by pushing down decision-making, and in turn, we speed up decision-making across the organization.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Regulatory Compliance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required to comply with numerous regulations that are normal and customary to businesses in our industry and the jurisdictions in which we operate.  These regulations relate to, among other things, environmental health and safety, procurement integrity, export control, government security regulations, employment practices, accuracy of records and the recording of costs, anti-corruption, and privacy.  See Item 1A, “Risk Factors,” for additional discussion of such regulations and the potential consequences for non-compliance.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Environmental Health and Safety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Board of Directors.  In addition, our manufacturing operations are subject to various federal, state, and local laws restricting discharge of materials into the environment.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involved in environmental remediation programs at various sites currently or formerly owned by us and our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Item 3, “Legal Proceedings.”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have in the past and may in the future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Company Information and Website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file annual, quarterly, and current reports, proxy statements, and other documents with the Securities and Exchange Commission (“SEC”) under the Securities Exchange Act of 1934.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corporate governance related documents are also available on our website:</w:t>
      </w:r>
    </w:p>
    <w:p>
      <w:pPr>
        <w:pStyle w:val="TextBody"/>
        <w:bidi w:val="0"/>
        <w:spacing w:before="0" w:after="0"/>
        <w:jc w:val="left"/>
        <w:rPr>
          <w:rFonts w:ascii="Times New Roman" w:hAnsi="Times New Roman"/>
          <w:sz w:val="20"/>
        </w:rPr>
      </w:pPr>
      <w:r>
        <w:rPr>
          <w:rFonts w:ascii="Times New Roman" w:hAnsi="Times New Roman"/>
          <w:sz w:val="20"/>
        </w:rPr>
      </w:r>
    </w:p>
    <w:tbl>
      <w:tblPr>
        <w:tblW w:w="3333" w:type="dxa"/>
        <w:jc w:val="left"/>
        <w:tblInd w:w="0" w:type="dxa"/>
        <w:tblLayout w:type="fixed"/>
        <w:tblCellMar>
          <w:top w:w="0" w:type="dxa"/>
          <w:left w:w="0" w:type="dxa"/>
          <w:bottom w:w="0" w:type="dxa"/>
          <w:right w:w="0" w:type="dxa"/>
        </w:tblCellMar>
      </w:tblPr>
      <w:tblGrid>
        <w:gridCol w:w="38"/>
        <w:gridCol w:w="11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Corporate Governance Principles</w:t>
            </w:r>
          </w:p>
        </w:tc>
      </w:tr>
    </w:tbl>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Code of Business Conduct and Ethics</w:t>
            </w:r>
          </w:p>
        </w:tc>
      </w:tr>
    </w:tbl>
    <w:tbl>
      <w:tblPr>
        <w:tblW w:w="3678" w:type="dxa"/>
        <w:jc w:val="left"/>
        <w:tblInd w:w="0" w:type="dxa"/>
        <w:tblLayout w:type="fixed"/>
        <w:tblCellMar>
          <w:top w:w="0" w:type="dxa"/>
          <w:left w:w="0" w:type="dxa"/>
          <w:bottom w:w="0" w:type="dxa"/>
          <w:right w:w="0" w:type="dxa"/>
        </w:tblCellMar>
      </w:tblPr>
      <w:tblGrid>
        <w:gridCol w:w="38"/>
        <w:gridCol w:w="11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Code of Ethics for Financial Officers</w:t>
            </w:r>
          </w:p>
        </w:tc>
      </w:tr>
    </w:tbl>
    <w:tbl>
      <w:tblPr>
        <w:tblW w:w="2583" w:type="dxa"/>
        <w:jc w:val="left"/>
        <w:tblInd w:w="0" w:type="dxa"/>
        <w:tblLayout w:type="fixed"/>
        <w:tblCellMar>
          <w:top w:w="0" w:type="dxa"/>
          <w:left w:w="0" w:type="dxa"/>
          <w:bottom w:w="0" w:type="dxa"/>
          <w:right w:w="0" w:type="dxa"/>
        </w:tblCellMar>
      </w:tblPr>
      <w:tblGrid>
        <w:gridCol w:w="38"/>
        <w:gridCol w:w="11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Audit Committee Charter</w:t>
            </w:r>
          </w:p>
        </w:tc>
      </w:tr>
    </w:tbl>
    <w:tbl>
      <w:tblPr>
        <w:tblW w:w="5793" w:type="dxa"/>
        <w:jc w:val="left"/>
        <w:tblInd w:w="0" w:type="dxa"/>
        <w:tblLayout w:type="fixed"/>
        <w:tblCellMar>
          <w:top w:w="0" w:type="dxa"/>
          <w:left w:w="0" w:type="dxa"/>
          <w:bottom w:w="0" w:type="dxa"/>
          <w:right w:w="0" w:type="dxa"/>
        </w:tblCellMar>
      </w:tblPr>
      <w:tblGrid>
        <w:gridCol w:w="38"/>
        <w:gridCol w:w="11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Nominating and Corporate Governance Committee Charter</w:t>
            </w:r>
          </w:p>
        </w:tc>
      </w:tr>
    </w:tbl>
    <w:tbl>
      <w:tblPr>
        <w:tblW w:w="3408" w:type="dxa"/>
        <w:jc w:val="left"/>
        <w:tblInd w:w="0" w:type="dxa"/>
        <w:tblLayout w:type="fixed"/>
        <w:tblCellMar>
          <w:top w:w="0" w:type="dxa"/>
          <w:left w:w="0" w:type="dxa"/>
          <w:bottom w:w="0" w:type="dxa"/>
          <w:right w:w="0" w:type="dxa"/>
        </w:tblCellMar>
      </w:tblPr>
      <w:tblGrid>
        <w:gridCol w:w="38"/>
        <w:gridCol w:w="11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Compensation Committee Charter</w:t>
            </w:r>
          </w:p>
        </w:tc>
      </w:tr>
    </w:tbl>
    <w:tbl>
      <w:tblPr>
        <w:tblW w:w="3918" w:type="dxa"/>
        <w:jc w:val="left"/>
        <w:tblInd w:w="0" w:type="dxa"/>
        <w:tblLayout w:type="fixed"/>
        <w:tblCellMar>
          <w:top w:w="0" w:type="dxa"/>
          <w:left w:w="0" w:type="dxa"/>
          <w:bottom w:w="0" w:type="dxa"/>
          <w:right w:w="0" w:type="dxa"/>
        </w:tblCellMar>
      </w:tblPr>
      <w:tblGrid>
        <w:gridCol w:w="38"/>
        <w:gridCol w:w="11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Executive Stock Ownership Guidelines</w:t>
            </w:r>
          </w:p>
        </w:tc>
      </w:tr>
    </w:tbl>
    <w:tbl>
      <w:tblPr>
        <w:tblW w:w="3753" w:type="dxa"/>
        <w:jc w:val="left"/>
        <w:tblInd w:w="0" w:type="dxa"/>
        <w:tblLayout w:type="fixed"/>
        <w:tblCellMar>
          <w:top w:w="0" w:type="dxa"/>
          <w:left w:w="0" w:type="dxa"/>
          <w:bottom w:w="0" w:type="dxa"/>
          <w:right w:w="0" w:type="dxa"/>
        </w:tblCellMar>
      </w:tblPr>
      <w:tblGrid>
        <w:gridCol w:w="38"/>
        <w:gridCol w:w="11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 Stock Ownership Guidelines</w:t>
            </w:r>
          </w:p>
        </w:tc>
      </w:tr>
    </w:tbl>
    <w:tbl>
      <w:tblPr>
        <w:tblW w:w="1803" w:type="dxa"/>
        <w:jc w:val="left"/>
        <w:tblInd w:w="0" w:type="dxa"/>
        <w:tblLayout w:type="fixed"/>
        <w:tblCellMar>
          <w:top w:w="0" w:type="dxa"/>
          <w:left w:w="0" w:type="dxa"/>
          <w:bottom w:w="0" w:type="dxa"/>
          <w:right w:w="0" w:type="dxa"/>
        </w:tblCellMar>
      </w:tblPr>
      <w:tblGrid>
        <w:gridCol w:w="38"/>
        <w:gridCol w:w="11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Clawback Policy</w:t>
            </w:r>
          </w:p>
        </w:tc>
      </w:tr>
    </w:tbl>
    <w:tbl>
      <w:tblPr>
        <w:tblW w:w="2583" w:type="dxa"/>
        <w:jc w:val="left"/>
        <w:tblInd w:w="0" w:type="dxa"/>
        <w:tblLayout w:type="fixed"/>
        <w:tblCellMar>
          <w:top w:w="0" w:type="dxa"/>
          <w:left w:w="0" w:type="dxa"/>
          <w:bottom w:w="0" w:type="dxa"/>
          <w:right w:w="0" w:type="dxa"/>
        </w:tblCellMar>
      </w:tblPr>
      <w:tblGrid>
        <w:gridCol w:w="38"/>
        <w:gridCol w:w="11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Hedging-Pledging Policy</w:t>
            </w:r>
          </w:p>
        </w:tc>
      </w:tr>
    </w:tbl>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Nominating and Corporate Governance Committee Policy Regarding Qualifications of Directors</w:t>
            </w:r>
          </w:p>
        </w:tc>
      </w:tr>
    </w:tbl>
    <w:tbl>
      <w:tblPr>
        <w:tblW w:w="3378" w:type="dxa"/>
        <w:jc w:val="left"/>
        <w:tblInd w:w="0" w:type="dxa"/>
        <w:tblLayout w:type="fixed"/>
        <w:tblCellMar>
          <w:top w:w="0" w:type="dxa"/>
          <w:left w:w="0" w:type="dxa"/>
          <w:bottom w:w="0" w:type="dxa"/>
          <w:right w:w="0" w:type="dxa"/>
        </w:tblCellMar>
      </w:tblPr>
      <w:tblGrid>
        <w:gridCol w:w="38"/>
        <w:gridCol w:w="11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Related Party Transactions Policy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To view these documents, access ir.vishay.com and click on “Corporate Governance.”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Any of the above documents can also be obtained in print by any stockholder upon request to our Investor Relations Department at the following address: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left"/>
        <w:rPr>
          <w:rFonts w:ascii="Times New Roman" w:hAnsi="Times New Roman"/>
          <w:color w:val="000000"/>
          <w:sz w:val="24"/>
          <w:shd w:fill="FFFFFF" w:val="clear"/>
        </w:rPr>
      </w:pPr>
      <w:r>
        <w:rPr>
          <w:rFonts w:ascii="Times New Roman" w:hAnsi="Times New Roman"/>
          <w:color w:val="000000"/>
          <w:sz w:val="24"/>
          <w:shd w:fill="FFFFFF" w:val="clear"/>
        </w:rPr>
        <w:t>Corporate Investor Relations</w:t>
      </w:r>
    </w:p>
    <w:p>
      <w:pPr>
        <w:pStyle w:val="TextBody"/>
        <w:bidi w:val="0"/>
        <w:spacing w:before="0" w:after="0"/>
        <w:ind w:left="1080" w:right="0" w:hanging="0"/>
        <w:jc w:val="left"/>
        <w:rPr>
          <w:rFonts w:ascii="Times New Roman" w:hAnsi="Times New Roman"/>
          <w:color w:val="000000"/>
          <w:sz w:val="24"/>
          <w:shd w:fill="FFFFFF" w:val="clear"/>
        </w:rPr>
      </w:pPr>
      <w:r>
        <w:rPr>
          <w:rFonts w:ascii="Times New Roman" w:hAnsi="Times New Roman"/>
          <w:color w:val="000000"/>
          <w:sz w:val="24"/>
          <w:shd w:fill="FFFFFF" w:val="clear"/>
        </w:rPr>
        <w:t>Vishay Intertechnology, Inc.</w:t>
      </w:r>
    </w:p>
    <w:p>
      <w:pPr>
        <w:pStyle w:val="TextBody"/>
        <w:bidi w:val="0"/>
        <w:spacing w:before="0" w:after="0"/>
        <w:ind w:left="1080" w:right="0" w:hanging="0"/>
        <w:jc w:val="left"/>
        <w:rPr>
          <w:rFonts w:ascii="Times New Roman" w:hAnsi="Times New Roman"/>
          <w:color w:val="000000"/>
          <w:sz w:val="24"/>
          <w:shd w:fill="FFFFFF" w:val="clear"/>
        </w:rPr>
      </w:pPr>
      <w:r>
        <w:rPr>
          <w:rFonts w:ascii="Times New Roman" w:hAnsi="Times New Roman"/>
          <w:color w:val="000000"/>
          <w:sz w:val="24"/>
          <w:shd w:fill="FFFFFF" w:val="clear"/>
        </w:rPr>
        <w:t>63 Lancaster Avenue</w:t>
      </w:r>
    </w:p>
    <w:p>
      <w:pPr>
        <w:pStyle w:val="TextBody"/>
        <w:bidi w:val="0"/>
        <w:spacing w:before="0" w:after="0"/>
        <w:ind w:left="1080" w:right="0" w:hanging="0"/>
        <w:jc w:val="left"/>
        <w:rPr>
          <w:rFonts w:ascii="Times New Roman" w:hAnsi="Times New Roman"/>
          <w:color w:val="000000"/>
          <w:sz w:val="24"/>
          <w:shd w:fill="FFFFFF" w:val="clear"/>
        </w:rPr>
      </w:pPr>
      <w:r>
        <w:rPr>
          <w:rFonts w:ascii="Times New Roman" w:hAnsi="Times New Roman"/>
          <w:color w:val="000000"/>
          <w:sz w:val="24"/>
          <w:shd w:fill="FFFFFF" w:val="clear"/>
        </w:rPr>
        <w:t>Malvern, PA 19355-2143</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14</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7" w:name="Item1A"/>
      <w:bookmarkEnd w:id="7"/>
      <w:r>
        <w:rPr>
          <w:rFonts w:ascii="Times New Roman" w:hAnsi="Times New Roman"/>
          <w:b/>
          <w:color w:val="000000"/>
          <w:sz w:val="24"/>
          <w:u w:val="single"/>
          <w:shd w:fill="FFFFFF" w:val="clear"/>
        </w:rPr>
        <w:t>Item 1A.</w:t>
      </w:r>
      <w:r>
        <w:rPr>
          <w:rFonts w:ascii="Times New Roman" w:hAnsi="Times New Roman"/>
          <w:color w:val="000000"/>
          <w:sz w:val="20"/>
          <w:shd w:fill="FFFFFF" w:val="clear"/>
        </w:rPr>
        <w:t> </w:t>
      </w:r>
      <w:r>
        <w:rPr>
          <w:rFonts w:ascii="Times New Roman" w:hAnsi="Times New Roman"/>
          <w:b/>
          <w:color w:val="000000"/>
          <w:sz w:val="24"/>
          <w:u w:val="single"/>
          <w:shd w:fill="FFFFFF" w:val="clear"/>
        </w:rPr>
        <w:t>RISK FACTORS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 You should understand that it is not possible to predict or identify all such factors. Consequently, you should not consider the following to be a complete discussion of all potential risks or uncertainties.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Risks relating to our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business is cyclical and future periods of decline and increased demand are not predictable.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electronic component industry is highly cyclical and experiences periods of decline from time to time. We and others in the electronic components industry have experienced these conditions in the recent past and cannot predict when we may experience downturns in the future.  Market conditions, such as during a decline in product demand on a global basis, could result in order cancellations and deferrals, lower average selling prices, and a material and adverse impact on our results of operations. These declines in demand are usually driven by market conditions in the end markets for our products, but may also result from distributors not appropriately managing their inventory levels.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may also experience intense demand for our products in periods of a rising economy and we may have difficulty expanding our manufacturing capacity to satisfy demand during such periods.  Factors which could limit such expansion include delays in procurement of manufacturing equipment, shortages of skilled personnel, and physical constraints on expansion of our facilities.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the demand mix, needed technologies, and these end markets may adversely affect our ability to match our products, inventory, and capacity to meet customer demand and could adversely affect our operating results and financial condition.  A slowdown in demand or recessionary trends in the global economy makes it more difficult for us to predict our future sales and manage our operations, and could adversely impact our results of operations. Capacity that we add during upturns in the business cycle may result in excess capacity during periods when demand for our products recede, resulting in inefficient use of capital which could also adversely affect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downturn in our business in general, or isolated to a particular sector, could require us to incur restructuring and severance charges and/or asset write-downs.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i/>
          <w:color w:val="000000"/>
          <w:sz w:val="24"/>
          <w:u w:val="single"/>
          <w:shd w:fill="FFFFFF" w:val="clear"/>
        </w:rPr>
      </w:pPr>
      <w:r>
        <w:rPr>
          <w:rFonts w:ascii="Times New Roman;Times;serif" w:hAnsi="Times New Roman;Times;serif"/>
          <w:i/>
          <w:color w:val="000000"/>
          <w:sz w:val="24"/>
          <w:u w:val="single"/>
          <w:shd w:fill="FFFFFF" w:val="clear"/>
        </w:rPr>
        <w:t>We face significant challenges managing our capacity expansion strategy.</w:t>
      </w:r>
    </w:p>
    <w:p>
      <w:pPr>
        <w:pStyle w:val="TextBody"/>
        <w:bidi w:val="0"/>
        <w:spacing w:before="0" w:after="0"/>
        <w:jc w:val="both"/>
        <w:rPr>
          <w:rFonts w:ascii="Times New Roman;Times;serif" w:hAnsi="Times New Roman;Times;serif"/>
          <w:i/>
          <w:sz w:val="24"/>
          <w:u w:val="single"/>
        </w:rPr>
      </w:pPr>
      <w:r>
        <w:rPr>
          <w:rFonts w:ascii="Times New Roman;Times;serif" w:hAnsi="Times New Roman;Times;serif"/>
          <w:i/>
          <w:sz w:val="24"/>
          <w:u w:val="single"/>
        </w:rPr>
      </w:r>
    </w:p>
    <w:p>
      <w:pPr>
        <w:pStyle w:val="TextBody"/>
        <w:bidi w:val="0"/>
        <w:spacing w:before="0" w:after="0"/>
        <w:jc w:val="both"/>
        <w:rPr>
          <w:rFonts w:ascii="Times New Roman;Times;serif" w:hAnsi="Times New Roman;Times;serif"/>
          <w:i w:val="false"/>
          <w:caps w:val="false"/>
          <w:smallCaps w:val="false"/>
          <w:color w:val="000000"/>
          <w:sz w:val="24"/>
          <w:shd w:fill="FFFFFF" w:val="clear"/>
        </w:rPr>
      </w:pPr>
      <w:r>
        <w:rPr>
          <w:rFonts w:ascii="Times New Roman;Times;serif" w:hAnsi="Times New Roman;Times;serif"/>
          <w:i w:val="false"/>
          <w:caps w:val="false"/>
          <w:smallCaps w:val="false"/>
          <w:color w:val="000000"/>
          <w:sz w:val="24"/>
          <w:shd w:fill="FFFFFF" w:val="clear"/>
        </w:rPr>
        <w:t>As part of our strategy to drive growth and increase capacity, we are increasing internal capacity by investing $329 million in 2023 and plan to invest $1.2 billion total from 2023 to 2025 and plan to increase external capacity by outsourcing additional commodity products to subcontractors.  Our capacity expansion plans include building a 12-inch wafer fab in Itzehoe, Germany adjacent to our existing 8-inch wafer fab, a new power inductor site in Mexico, a resistor manufacturing expansion in Mexico, and expanded diode manufacturing in Taiwan and Turin, Italy.  Additionally, the planned transaction with Nexperia BV will add a wafer fabrication facility and operations in Newport, South Wales, U.K.  There is no assurance that we will be able to close the transaction for the Nexperia wafer fabrication facility.  There are demand-related risks associated with all growth initiatives.  There are also inherent execution risks in building and starting new wafer fabs, acquiring existing wafer fabs, and expanding production capacity at our own facilities or that of new or existing subcontractors that could significantly increase costs and negatively impact our operating results.  The risks include, but are not limited to, the following:</w:t>
      </w:r>
    </w:p>
    <w:p>
      <w:pPr>
        <w:pStyle w:val="TextBody"/>
        <w:bidi w:val="0"/>
        <w:spacing w:before="0" w:after="0"/>
        <w:jc w:val="both"/>
        <w:rPr>
          <w:rFonts w:ascii="Times New Roman;Times;serif" w:hAnsi="Times New Roman;Times;serif"/>
          <w:i w:val="false"/>
          <w:caps w:val="false"/>
          <w:smallCaps w:val="false"/>
          <w:sz w:val="24"/>
        </w:rPr>
      </w:pPr>
      <w:r>
        <w:rPr>
          <w:rFonts w:ascii="Times New Roman;Times;serif" w:hAnsi="Times New Roman;Times;serif"/>
          <w:i w:val="false"/>
          <w:caps w:val="false"/>
          <w:smallCaps w:val="false"/>
          <w:sz w:val="24"/>
        </w:rPr>
      </w:r>
    </w:p>
    <w:tbl>
      <w:tblPr>
        <w:tblW w:w="8200" w:type="dxa"/>
        <w:jc w:val="left"/>
        <w:tblInd w:w="0" w:type="dxa"/>
        <w:tblLayout w:type="fixed"/>
        <w:tblCellMar>
          <w:top w:w="0" w:type="dxa"/>
          <w:left w:w="0" w:type="dxa"/>
          <w:bottom w:w="0" w:type="dxa"/>
          <w:right w:w="0" w:type="dxa"/>
        </w:tblCellMar>
      </w:tblPr>
      <w:tblGrid>
        <w:gridCol w:w="185"/>
        <w:gridCol w:w="8015"/>
      </w:tblGrid>
      <w:tr>
        <w:trPr/>
        <w:tc>
          <w:tcPr>
            <w:tcW w:w="185" w:type="dxa"/>
            <w:tcBorders/>
            <w:vAlign w:val="center"/>
          </w:tcPr>
          <w:p>
            <w:pPr>
              <w:pStyle w:val="TableContents"/>
              <w:bidi w:val="0"/>
              <w:spacing w:before="0" w:after="0"/>
              <w:jc w:val="center"/>
              <w:rPr/>
            </w:pPr>
            <w:r>
              <w:rPr/>
              <w:t>•</w:t>
            </w:r>
          </w:p>
        </w:tc>
        <w:tc>
          <w:tcPr>
            <w:tcW w:w="8015" w:type="dxa"/>
            <w:tcBorders/>
            <w:vAlign w:val="center"/>
          </w:tcPr>
          <w:p>
            <w:pPr>
              <w:pStyle w:val="TableContents"/>
              <w:bidi w:val="0"/>
              <w:spacing w:before="0" w:after="0"/>
              <w:jc w:val="both"/>
              <w:rPr>
                <w:rFonts w:ascii="Times New Roman" w:hAnsi="Times New Roman"/>
                <w:i w:val="false"/>
                <w:caps w:val="false"/>
                <w:smallCaps w:val="false"/>
                <w:sz w:val="24"/>
              </w:rPr>
            </w:pPr>
            <w:r>
              <w:rPr>
                <w:rFonts w:ascii="Times New Roman" w:hAnsi="Times New Roman"/>
                <w:i w:val="false"/>
                <w:caps w:val="false"/>
                <w:smallCaps w:val="false"/>
                <w:sz w:val="24"/>
              </w:rPr>
              <w:t>design and construction delays and cost overruns;</w:t>
            </w:r>
          </w:p>
        </w:tc>
      </w:tr>
      <w:tr>
        <w:trPr/>
        <w:tc>
          <w:tcPr>
            <w:tcW w:w="185" w:type="dxa"/>
            <w:tcBorders/>
            <w:vAlign w:val="center"/>
          </w:tcPr>
          <w:p>
            <w:pPr>
              <w:pStyle w:val="TableContents"/>
              <w:bidi w:val="0"/>
              <w:spacing w:before="0" w:after="283"/>
              <w:jc w:val="center"/>
              <w:rPr/>
            </w:pPr>
            <w:r>
              <w:rPr/>
              <w:t> •</w:t>
            </w:r>
          </w:p>
        </w:tc>
        <w:tc>
          <w:tcPr>
            <w:tcW w:w="8015" w:type="dxa"/>
            <w:tcBorders/>
            <w:vAlign w:val="center"/>
          </w:tcPr>
          <w:p>
            <w:pPr>
              <w:pStyle w:val="TableContents"/>
              <w:bidi w:val="0"/>
              <w:spacing w:before="0" w:after="283"/>
              <w:jc w:val="left"/>
              <w:rPr>
                <w:sz w:val="24"/>
              </w:rPr>
            </w:pPr>
            <w:r>
              <w:rPr>
                <w:sz w:val="24"/>
              </w:rPr>
              <w:t>issues installing and qualifying new equipment and ramping production;</w:t>
            </w:r>
          </w:p>
        </w:tc>
      </w:tr>
      <w:tr>
        <w:trPr/>
        <w:tc>
          <w:tcPr>
            <w:tcW w:w="185" w:type="dxa"/>
            <w:tcBorders/>
            <w:vAlign w:val="center"/>
          </w:tcPr>
          <w:p>
            <w:pPr>
              <w:pStyle w:val="TableContents"/>
              <w:bidi w:val="0"/>
              <w:spacing w:before="0" w:after="283"/>
              <w:jc w:val="center"/>
              <w:rPr/>
            </w:pPr>
            <w:r>
              <w:rPr/>
              <w:t> •</w:t>
            </w:r>
          </w:p>
        </w:tc>
        <w:tc>
          <w:tcPr>
            <w:tcW w:w="8015" w:type="dxa"/>
            <w:tcBorders/>
            <w:vAlign w:val="center"/>
          </w:tcPr>
          <w:p>
            <w:pPr>
              <w:pStyle w:val="TableContents"/>
              <w:bidi w:val="0"/>
              <w:spacing w:before="0" w:after="283"/>
              <w:jc w:val="left"/>
              <w:rPr>
                <w:sz w:val="24"/>
              </w:rPr>
            </w:pPr>
            <w:r>
              <w:rPr>
                <w:sz w:val="24"/>
              </w:rPr>
              <w:t>poor production process yields and reduced quality control; and</w:t>
            </w:r>
          </w:p>
        </w:tc>
      </w:tr>
      <w:tr>
        <w:trPr/>
        <w:tc>
          <w:tcPr>
            <w:tcW w:w="185" w:type="dxa"/>
            <w:tcBorders/>
            <w:vAlign w:val="center"/>
          </w:tcPr>
          <w:p>
            <w:pPr>
              <w:pStyle w:val="TableContents"/>
              <w:bidi w:val="0"/>
              <w:spacing w:before="0" w:after="283"/>
              <w:jc w:val="center"/>
              <w:rPr/>
            </w:pPr>
            <w:r>
              <w:rPr/>
              <w:t> •</w:t>
            </w:r>
          </w:p>
        </w:tc>
        <w:tc>
          <w:tcPr>
            <w:tcW w:w="8015" w:type="dxa"/>
            <w:tcBorders/>
            <w:vAlign w:val="center"/>
          </w:tcPr>
          <w:p>
            <w:pPr>
              <w:pStyle w:val="TableContents"/>
              <w:bidi w:val="0"/>
              <w:spacing w:before="0" w:after="283"/>
              <w:jc w:val="left"/>
              <w:rPr>
                <w:sz w:val="24"/>
              </w:rPr>
            </w:pPr>
            <w:r>
              <w:rPr>
                <w:sz w:val="24"/>
              </w:rPr>
              <w:t>insufficient personnel with requisite expertise and experience to operate the facilities.</w:t>
            </w:r>
          </w:p>
        </w:tc>
      </w:tr>
    </w:tbl>
    <w:p>
      <w:pPr>
        <w:pStyle w:val="TextBody"/>
        <w:bidi w:val="0"/>
        <w:spacing w:before="0" w:after="0"/>
        <w:jc w:val="both"/>
        <w:rPr/>
      </w:pPr>
      <w:r>
        <w:rPr/>
      </w:r>
    </w:p>
    <w:p>
      <w:pPr>
        <w:pStyle w:val="TextBody"/>
        <w:bidi w:val="0"/>
        <w:spacing w:before="60" w:after="6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business may be adversely affected by the widespread outbreak of diseases and the mitigation efforts by governments worldwide to control their spread.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val="false"/>
          <w:caps w:val="false"/>
          <w:smallCaps w:val="false"/>
          <w:color w:val="000000"/>
          <w:sz w:val="24"/>
          <w:shd w:fill="FFFFFF" w:val="clear"/>
        </w:rPr>
      </w:pPr>
      <w:r>
        <w:rPr>
          <w:rFonts w:ascii="Times New Roman" w:hAnsi="Times New Roman"/>
          <w:i w:val="false"/>
          <w:caps w:val="false"/>
          <w:smallCaps w:val="false"/>
          <w:color w:val="000000"/>
          <w:sz w:val="24"/>
          <w:shd w:fill="FFFFFF" w:val="clear"/>
        </w:rPr>
        <w:t>We cannot predict when future disease outbreaks or pandemics will occur.  The potential risks and effects of future disease outbreaks and the related economic impact that could have an adverse effect on our business include, but are not limited to:</w:t>
      </w:r>
    </w:p>
    <w:p>
      <w:pPr>
        <w:pStyle w:val="TextBody"/>
        <w:bidi w:val="0"/>
        <w:spacing w:before="0" w:after="6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Adverse impact on our customers and supply channels;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Decrease in sales, product demand and pricing and unfavorable economic and market conditions;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Increased costs, including higher shipping costs due to reduced shipping capacity;</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Restrictions on our manufacturing, support operations or workforce, or similar limitations for our customers, vendors, and suppliers, that could limit our ability to meet customer demand;</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Potential increased credit risk if customers, distributors, and resellers are unable to pay us, or must delay paying their obligations to us;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Restrictions or disruptions of transportation, such as reduced availability of air transport, port closures, and increased border controls or closures could result in delays;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Impact on our workforce/employees due to the spread of the virus and any shelter-in-place orders; and</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Cybersecurity risks as a result of extended periods of remote work arrangements.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val="false"/>
          <w:caps w:val="false"/>
          <w:smallCaps w:val="false"/>
          <w:color w:val="000000"/>
          <w:sz w:val="24"/>
          <w:shd w:fill="FFFFFF" w:val="clear"/>
        </w:rPr>
      </w:pPr>
      <w:r>
        <w:rPr>
          <w:rFonts w:ascii="Times New Roman" w:hAnsi="Times New Roman"/>
          <w:i w:val="false"/>
          <w:caps w:val="false"/>
          <w:smallCaps w:val="false"/>
          <w:color w:val="000000"/>
          <w:sz w:val="24"/>
          <w:shd w:fill="FFFFFF" w:val="clear"/>
        </w:rPr>
        <w:t>Such effects could result in us being required to record impairment charges related to our property and equipment, intangible assets, or goodwill.</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In the past we have grown through successful integration of acquired businesses, but this may not continue.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long-term historical growth in revenues and net earnings has resulted in large part from our strategy of expansion through acquisitions.  Despite our plan to continue to grow, in part, through targeted acquisitions, we may be unable to continue to identify, have the financial capabilities to acquire, or successfully complete transactions with suitable acquisition candidates. The rapid consolidation that our industry has experienced may further decrease our ability to identify attractive opportunities for acquisition.  We are subject to various U.S. and foreign competition laws and regulations that may affect our ability to complete certain acquisitions. Also, if an acquired business fails to operate as anticipated, cannot be successfully integrated with our other businesses, or we cannot effectively mitigate the assumed, contingent, and unknown liabilities acquired, our results of operations, financial condition, enterprise value, market value, and prospects could all be materially adversely affected.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To remain successful, we must continue to innovate, and our investments in new technologies may not prove successful.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addition to our own research and development initiatives, we periodically invest in technology start-up enterprises, in which we may acquire a controlling or noncontrolling interest but whose technology would be available to be commercialized by us.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Certain of our historical investments in start-up companies have not succeeded, and there can be no assurance that our current and future investments in start-up enterprises will prove successful.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business and our results of operations are sensitive to supply chain disruptions.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recent years have, at times, negatively impacted our ability to manufacture products and to deliver them to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In certain circumstances, we purchase precious metals bullion in excess of our immediate manufacturing needs to mitigate the risk of supply shortages or volatile price fluctuations.  If after entering into these commitments or purchasing the metals bullion, the market prices for these raw materials decline, we must recognize losses on these adverse purchase commitments and metals bullion purchases.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production can be disrupted by the unavailability of resources, such as water, energy, and gases.  The unavailability or reduced availability of these resources could require us to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use third-party foundries and subcontractors for certain of our manufacturing activities, primarily wafer fabrication and the assembly and testing of finished goods.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remain cognizant of these supply chain challenges and seek to minimize their effects whenever possible.  Despite our best efforts, there can be no assurances we will be successful in mitigating these risks and if we are unable to do so, they may have material negative impacts on our business and results of operations.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ability to compete effectively with other companies depends, in part, on our ability to maintain the proprietary nature of our technology and to operate our business without infringing or violating the intellectual property rights of others.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 Also, the legal system in certain countries in which we operate may not provide or may not continue to provide sufficient, intellectual property legal protections and remedies.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Litigation regarding patent and other intellectual property rights is prevalent in the electronic components industry, particularly the discrete semiconductor sector. We have on occasion been notified that we may be infringing on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business environment, electronic component and semiconductor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We face intense competition in our business, and are susceptible to certain concentrations.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is highly competitive worldwide, with low transportation costs and few import barriers. We compete principally on the bases of product quality and reliability, availability, customer service, technological innovation, timely delivery, and price. Our ability to compete successfully also depends on elements out of our control.  We face significant competition within each of our product segments from larger global manufacturers and smaller manufacturers focused on specific market niches.  The electronic component industry has become increasingly concentrated and globalized in recent years as many of our primary competitors have been acquired.  The acquiring companies, most of which are larger than us, have significant financial resources and technological capabilities.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material portion of our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our products, which could have an adverse effect on our results of operations and financial position.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While no customer comprises over 10% of our consolidated net revenues, certain subsidiaries and product lines are susceptible to customer concentrations and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our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backlog is subject to customer cancellation.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the orders that comprise our backlog may be canceled by our customers without penalty. Our customers may on occasion double and triple order components from multiple sources to ensure timely delivery when demand exceeds global supply. They often cancel orders when business is weak and inventories are excessive. Therefore, we cannot be certain that the amount of our backlog accurately reflects the level of orders that we will ultimately deliver. Our results of operations could be adversely impacted if customers cancel a material portion of orders in our backlog.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future success is substantially dependent on our ability to attract and retain highly qualified technical, managerial, marketing, finance, and administrative personnel.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Rapid changes in technologies, frequent new product introductions, and declining average selling prices over product life cycles require us to attract and retain highly qualified personnel to develop and manufacture products that feature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certain of our executives, we have not entered into employment agreements with all of our key personnel.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loss of the services of or the failure to effectively recruit qualified personnel could have a material adverse effect on our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Significant fluctuations in interest rates could adversely affect our results of operations and financial position.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exposed to changes in interest rates as a result of our borrowing activities and our cash balances. Our credit facility bears interest at variable rates based on Secured Overnight Financing Rate ("SOFR") and other currency-specific reference rates.  A significant increase in such reference rates would significantly increase our interest expense. A general increase in interest rates would be largely offset by an increase in interest income earned on our cash and short-term investment balances, which are currently greater than our debt balances. However, there can be no assurance that the interest rate earned on cash and short-term investments will move in tandem with the interest rate paid on our variable rate debt.</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Cyberattacks and other interruptions in our information technology systems could adversely affect our business.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rely on the efficient and uninterrupted operation of complex information technology systems and networks to operate our business. We are exposed to, and may be adversely affected by, potential cyberattacks or other disruptions to our information technology systems and data security.  Any significant system or network disruption, including, but not limited to, new system implementations, computer viruses, security breaches, phishing, spoofing, cyberattacks, facility issues or energy blackouts could have a material adverse impact on our operations and results of operations.  These incidents, which might be related to industrial or other espionage, include covertly introducing malware and spyware to our computers and networks (or to an electronic system operated by a third party for our benefit) and impersonating authorized users, among others.  Such a network disruption could result in a loss of the confidentiality of our intellectual property or the release of sensitive competitive information or customer, supplier or employee personal data. Any loss of such information could harm our competitive position, result in a loss of customer confidence, and cause us to incur significant costs to remedy the damages caused by the disruptions or security breaches. We have implemented protective measures to prevent against and limit the effects of system or network disruptions, but there can be no assurance that such measures will be sufficient to prevent or limit the damage from any disruptions and any such disruption could have a material adverse impact on our business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subject to numerous laws and regulations regarding privacy and data protection. The scope of these laws and regulations is evolving rapidly and is subject to differing interpretations, and thus may be inconsistent among jurisdictions. Such laws and regulations have resulted and will continue to result in significantly greater compliance burdens and costs for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Third-party service providers, such as foundries, subcontractors, distributors, and vendors have access to certain portions of our sensitive data. In the event that these service providers do not properly safeguard our data that they hold, security breaches and loss of our data could result.  Any such loss of data by our third-party service providers could have a material adverse impact on our business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Future acquisitions could require us to issue additional indebtedness or equity.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credit facility, we are required to obtain the lenders’ consent for certain additional debt financing and to comply with other covenants including the application of specific financial ratios. We cannot make any assurances that the necessary acquisition financing would be available to us on acceptable terms if and when required. If we were to undertake an acquisition for equity, the acquisition may have a dilutive effect on the interests of the holders of our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Regulatory and compliance related risks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Future changes in our environmental liability and compliance obligations may harm our ability to operate or increase our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operations, products and/or product packaging are subject to, among other matters, environmental laws and regulations governing, among other matters,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Nevertheless, we have in the past and may in the future inherit certain pre-existing environmental liabilities, generally based on successor liability doctrines, or otherwise incur environmental liabilities. We are involved in remediation programs and related litigation at various current and former properties and at third-party disposal sites both within and outside of the United States, including involvement as a potentially responsible party at Superfund sites. Although we have never been involved in any environmental matter that has had a material adverse impact on our overall operations, there can be no assurance that in connection with any past or future acquisition, future developments, including related to our remediation programs, or otherwise, we will not be obligated to address environmental matters that could have a material adverse impact on our results of operations. In addition, more stringent environmental laws and regulations may be enacted in the future, and we cannot presently determine the modifications, if any, in our operations that any such future regulations might require, or the cost of compliance with current and future laws and regulations. In order to resolve liabilities at various sites, we have entered into various administrative orders and consent decrees, some of which may be, under certain conditions, reopened or subject to renegotiation.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products are sold to or used in goods sold to the U.S. government and other governments. By virtue of such sales, we are subject to various regulatory requirements and risks in the event of non-compliance.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sell products under prime and subprime contracts with the U.S. government and other governments. Many of these products are used in military applications. Government contractors must comply with specific procurement regulations and other requirements. These requirements, although customary in government contracts, impact our performance and compliance costs.  Failure to comply with these regulations and requirements could result in contract modifications or termination, and the assessment of penalties and fines, which could negatively impact our results of operations and financial condition. Our failure to comply with these regulations and requirements could also lead to suspension or debarment, for cause, from government contracting or subcontracting for a period of time. Among the causes for debarment are violations of various statutes, including those related to procurement integrity, export control, government security regulations, employment practices, protection of the environment, accuracy of records and the recording of costs, and foreign corruption. The termination of a government contract as a result of any of these acts could have a negative impact on our results of operations and financial condition and could have a negative impact on our reputation and ability to procure other government contracts in the future.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products and the results of these tests must be reported to governmental agencies. If a product fails to meet the requirements of the applicable classification level, its classification may be reduced to a lower level. A decrease in the classification level for a product with a military application could have an adverse impact on the net revenues and earnings attributable to that product.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credit facility restricts our current and future operations and requires compliance with certain financial covenants.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credit facility includes restrictions on, among other things, incurring indebtedness, incurring liens on assets, making investments and acquisitions, making asset sales, and paying cash dividends and making other restricted payments. Our credit facility also requires us to comply with other covenants, including the maintenance of specific financial ratios. If we are not in compliance with all of such covenants, the credit facility could be terminated by the lenders, and all amounts outstanding pursuant to the credit facility could become immediately payable. Additionally, our convertible debt instruments have cross-default provisions that could accelerate repayment in the event the indebtedness under the credit facility is accelerated.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Risks associated with our operations outside the United States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We are subject to the risks of political, economic, and military instability in countries outside the United States in which we operate.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substantial operations outside the United States, and approximately 74% of our revenues during 2023 were derived from sales to customers outside the United States.  Certain of our assets are located, and certain of our products are produced, in countries which are subject to risks of social, political, economic, and military instability. This instability could result in wars, riots, nationalization of industry, currency fluctuation, and labor unrest. These conditions could have an adverse impact on our ability to operate in these regions and, depending on the extent and severity of these conditions, could materially and adversely affect our overall financial condition, results of operations, and our ability to access our liquidity.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has been in operation in Israel for 53 years, where we have substantial manufacturing operations. Although we have never experienced any material interruption in our operations attributable to these factors, in spite of several Middle East crises, including the current war with Hamas, our financial condition and results of operations might be adversely affected if events were to occur in the Middle East that interfered with our operations in Israel.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global operations are subject to extensive anti-corruption laws and other regulations.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Recent years have seen a substantial increase in the global enforcement of anti-corruption laws. Our continued operation and expansion outside the United States, including in developing countries, could increase the risk of such violations or violations under other regulations relating to limitations on or licenses required for sales made to customers located in certain countries. Violations of these laws may result in severe criminal or civil sanctions, could disrupt our business, and result in a material adverse effect on our reputation, business and results of operations or financial condition.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We attempt to improve profitability by controlling labor costs, but these activities could result in labor unrest or considerable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Historically, our primary labor cost controlling strategy was to transfer manufacturing operations to countries with lower production costs, such as the Dominican Republic, India, Malaysia, Mexico, the People’s Republic of China, and the Philippines. We believe that our manufacturing footprint is suitable to serve our customers and end markets, while maintaining lower manufacturing costs. We do not anticipate further transferring any significant existing operations to lower-labor-cost countries; however, acquired operations may be transferred to lower-labor-cost countries when integrated into Vishay. Currently, our primary labor cost controlling strategy involves reducing hours and limiting the use of subcontractors and foundries when demand for our products decreases. Shifting operations to lower-labor-cost countries, reducing hours, or limiting the use of subcontractors and foundries could result in production inefficiencies, higher costs, and/or strikes or other types of labor unrest.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19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We are subject to foreign currency exchange rate risks which may impact our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situations where, for example, production labor costs are predominantly paid in local currencies while the sales revenue for those products is denominated in U.S. dollars. This is particularly the case for products produced in Israel, the Czech Republic, and China.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change in the mix of the currencies in which we transact our business could have a material effect on results of operations. Furthermore, the timing of cash receipts and disbursements could have a material effect on our results of operations, particularly if there are significant changes in exchange rates in a short period of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Most of our operating cash is generated by our non-U.S. subsidiaries, and our U.S. parent company and U.S. subsidiaries have significant payment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generate a significant amount of cash and profits from our non-U.S. subsidiaries.  As of December 31, 2023, 65.5% of our cash and cash equivalents and short-term investments were held by subsidiaries outside of the United States.  Our revolving credit facility provides us with additional U.S. liquidity.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U.S. tax obligations, cash dividends to stockholders, share repurchases, additional convertible debt repurchases, and principal and interest payments on our debt instruments need to be paid by our U.S. parent company, Vishay Intertechnology, Inc.  A U.S.-domiciled subsidiary is expected to be the acquiring entity of Nexperia's wafer fabrication facility and operations in Newport, South Wales, U.K.  Our U.S. subsidiaries have other operating cash needs.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If our U.S. cash and cash equivalents and short-term investment and other liquidity sources are inadequate to satisfy these obligations, we may be required to repatriate additional cash to the United States and would be required to accrue and pay additional taxes.  If we are unable to repatriate adequate cash to the United States to satisfy these obligations, it could materially and adversely affect our overall financial condition, results of operations and our liquidity.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Changes in U.S. trade policies, and related factors beyond our control, may adversely impact our business, financial condition,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business is subject to risks associated with U.S. and foreign legislation and regulations relating to imports, including quotas, duties, tariffs or taxes, and other import charges or restrictions, which could adversely affect our operations and our ability to import products. The U.S. has taken actions that impact U.S. trade with China, including restricting the export of certain goods and equipment to China, imposing tariffs on certain goods manufactured in China and imported into the U.S., including certain of our products.  Such actions may impact our competitiveness and adversely affect the demand for these products, or if those costs cannot be passed on to our customers, could adversely impact our results of operations for affected segments and the Company as a whole.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Further changes in U.S. trade policy could trigger additional retaliatory actions by affected countries.  If these consequences are realized, it could result in a general economic downturn or otherwise have a material adverse effect on our business.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Risks related to our capital structure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The holders of our Class B common stock have effective voting control of our company, giving them the effective ability to prevent a change in control transaction.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two classes of common stock: common stock and Class B common stock. The holders of common stock are entitled to one vote for each share held, while the holders of Class B common stock are entitled to 10 votes for each share held. At December 31, 2023, the holders of Class B common stock held approximately 49.1% of the voting power of the Company. The ownership of Class B common stock is highly concentrated, and holders of Class B common stock effectively can cause the election of directors and approve other actions as stockholders.  Mrs. Ruta Zandman (a member of our Board of Directors) controls the voting of, solely or on a shared basis with Marc Zandman (our Executive Chairman) and Ziv Shoshani (a member of our Board of Directors), approximately 89.7% of our Class B common stock and 44.0% of the total voting power of our capital stock as of December 31, 2023.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acquisition strategy could be impeded if our Board of Directors were reluctant to authorize the issuance of substantial additional shares.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overall long-term business strategy has historically included a strong focus on acquisitions financed alternatively through cash on hand or the incurrence of indebtedness. We may in the future be presented with attractive investment or strategic opportunities that, because of their size and our financial condition at the time, would require the issuance of substantial additional amounts of our common stock.  If such opportunities were to arise, our Board of Directors may consider the potentially dilutive effect on the interests and voting power of our existing stockholders, including our Class B stockholders, and may therefore be reluctant to authorize the issuance of additional shares. Any such reluctance could impede our ability to complete certain transactions.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Our outstanding convertible debt instruments may impact the trading price of our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our convertible debt instruments, as well as related market regulatory actions, could have a significant impact on the trading prices of our common stock, and the trading prices and liquidity of our convertible debt instruments. The price of our common stock and our convertible debt instruments could also be affected by possible sales of our common stock by investors who view our convertible debt instruments as more attractive means of equity participation in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serif" w:hAnsi="Times New Roman;Times;serif"/>
          <w:b w:val="false"/>
          <w:i/>
          <w:color w:val="000000"/>
          <w:spacing w:val="0"/>
          <w:sz w:val="24"/>
          <w:u w:val="single"/>
          <w:shd w:fill="FFFFFF" w:val="clear"/>
        </w:rPr>
      </w:pPr>
      <w:r>
        <w:rPr>
          <w:rFonts w:ascii="Times New Roman;Times;serif" w:hAnsi="Times New Roman;Times;serif"/>
          <w:b w:val="false"/>
          <w:i/>
          <w:color w:val="000000"/>
          <w:spacing w:val="0"/>
          <w:sz w:val="24"/>
          <w:u w:val="single"/>
          <w:shd w:fill="FFFFFF" w:val="clear"/>
        </w:rPr>
        <w:t>Conversion of our outstanding 2025 Notes and 2030 Notes may dilute the ownership interest of our existing stockholders, including holders who had previously converted their notes.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conversion of some or all of our outstanding 2.25% convertible senior notes due 2025 (the "2025 Notes") or our outstanding 2.25% convertible senior notes due 2030 (the "2030 Notes") may dilute the ownership interests of our existing stockholders. Any sales in the public market of the common stock issuable upon such conversion could adversely affect prevailing market prices of our common stock.</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bidi w:val="0"/>
        <w:spacing w:before="0" w:after="0"/>
        <w:ind w:left="0" w:right="0" w:hanging="0"/>
        <w:jc w:val="both"/>
        <w:rPr>
          <w:rFonts w:ascii="Times New Roman;Times;serif" w:hAnsi="Times New Roman;Times;serif"/>
          <w:b w:val="false"/>
          <w:i/>
          <w:color w:val="000000"/>
          <w:spacing w:val="0"/>
          <w:sz w:val="24"/>
          <w:u w:val="single"/>
          <w:shd w:fill="FFFFFF" w:val="clear"/>
        </w:rPr>
      </w:pPr>
      <w:r>
        <w:rPr>
          <w:rFonts w:ascii="Times New Roman;Times;serif" w:hAnsi="Times New Roman;Times;serif"/>
          <w:b w:val="false"/>
          <w:i/>
          <w:color w:val="000000"/>
          <w:spacing w:val="0"/>
          <w:sz w:val="24"/>
          <w:u w:val="single"/>
          <w:shd w:fill="FFFFFF" w:val="clear"/>
        </w:rPr>
        <w:t>We may not have the ability to raise the funds necessary to settle conversions of our outstanding 2025 Notes and 2030 Notes in cash or to repurchase the notes upon a fundamental change or on a repurchase date, as applicable, and our current debt contains, and our future debt may contain, limitations on our ability to pay cash upon conversion or repurchase of the 2025 Notes or 2030 Notes.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Holders of our outstanding 2025 Notes and 2030 Notes have the right to require us to repurchase all or a portion of their 2025 Notes or 2030 Notes, as the case may be, upon the occurrence of a fundamental change at a fundamental change repurchase price equal to 100% of the principal amount of the 2025 Notes or 2030 Notes, as the case may be, to be repurchased, plus accrued and unpaid interest, if any. In addition, upon conversion of the 2030 Notes, we will be required to make cash payments for each $1,000 in principal amount of 2030 Notes converted of at least the lesser of $1,000 and the sum of the daily conversion values as described in the indenture governing the 2030 Notes.  Our outstanding 2025 Notes contain similar provisions concerning the holders’ rights to require us to repurchase their 2025 Notes upon a fundamental change and to pay cash to settle conversions of their 2025 Notes.  However, we may not have enough available cash or be able to obtain financing at the time we are required to make repurchases of the 2030 Notes or the 2025 Notes surrendered therefor or notes being converted. In addition, our ability to repurchase the 2025 Notes or the 2030 Notes or to pay cash upon conversions of the 2025 Notes or 2030 Notes may be limited by law, by regulatory authority or by agreements governing our existing and future indebtedness, as described below.</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For example, our credit facility in effect from time to time may prohibit us from making any cash payments on the conversion or repurchase of the 2025 Notes or the 2030 Notes, as the case may be, upon a fundamental change repurchase if, after giving effect to such conversion or repurchase (and any additional indebtedness incurred in connection with such conversion or a repurchase), we would not be in pro forma compliance with the applicable financial covenants under that facility.  Any new credit facility into which we may enter may have similar restrictions unless certain conditions are met. Our failure to make cash payments upon the conversion or repurchase of the 2025 Notes or the 2030 Notes, as the case may be, as required under the terms of the applicable indenture governing such notes would permit holders of the 2025 Notes or the 2030 Notes, as the case may be, to accelerate our obligations under the 2025 Notes or the 2030 Notes, as the case may be.</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Our failure to repurchase the 2025 Notes or 2030 Notes at a time when the repurchase is required by the applicable indenture or to pay any cash payable on future conversions of the 2025 Notes or the 2030 Notes as required by the applicable indenture would constitute a default under such indenture. A default under such indenture or the fundamental change itself could also lead to a default under agreements governing our existing and future indebtedness, including our credit facility.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caps w:val="false"/>
          <w:smallCaps w:val="false"/>
          <w:color w:val="000000"/>
          <w:spacing w:val="0"/>
          <w:sz w:val="24"/>
          <w:u w:val="single"/>
          <w:shd w:fill="FFFFFF" w:val="clear"/>
        </w:rPr>
      </w:pPr>
      <w:r>
        <w:rPr>
          <w:rFonts w:ascii="Times New Roman;Times;serif" w:hAnsi="Times New Roman;Times;serif"/>
          <w:b w:val="false"/>
          <w:i/>
          <w:caps w:val="false"/>
          <w:smallCaps w:val="false"/>
          <w:color w:val="000000"/>
          <w:spacing w:val="0"/>
          <w:sz w:val="24"/>
          <w:u w:val="single"/>
          <w:shd w:fill="FFFFFF" w:val="clear"/>
        </w:rPr>
        <w:t>The conditional conversion feature of our outstanding 2025 Notes and 2030 Notes, if triggered, may adversely affect our financial condition and operating results.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In the event the conditional conversion feature of the 2025 Notes or 2030 Notes is triggered, holders of such notes will be entitled to convert the notes at any time during specified periods at their option.  If one or more holders elect to convert their notes, we would be required to settle any converted principal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r>
    </w:p>
    <w:p>
      <w:pPr>
        <w:pStyle w:val="TextBody"/>
        <w:widowControl/>
        <w:bidi w:val="0"/>
        <w:spacing w:before="0" w:after="0"/>
        <w:ind w:left="0" w:right="0" w:hanging="0"/>
        <w:jc w:val="both"/>
        <w:rPr>
          <w:rFonts w:ascii="Times New Roman;Times;serif" w:hAnsi="Times New Roman;Times;serif"/>
          <w:b w:val="false"/>
          <w:i/>
          <w:caps w:val="false"/>
          <w:smallCaps w:val="false"/>
          <w:color w:val="000000"/>
          <w:spacing w:val="0"/>
          <w:sz w:val="24"/>
          <w:u w:val="single"/>
          <w:shd w:fill="FFFFFF" w:val="clear"/>
        </w:rPr>
      </w:pPr>
      <w:r>
        <w:rPr>
          <w:rFonts w:ascii="Times New Roman;Times;serif" w:hAnsi="Times New Roman;Times;serif"/>
          <w:b w:val="false"/>
          <w:i/>
          <w:caps w:val="false"/>
          <w:smallCaps w:val="false"/>
          <w:color w:val="000000"/>
          <w:spacing w:val="0"/>
          <w:sz w:val="24"/>
          <w:u w:val="single"/>
          <w:shd w:fill="FFFFFF" w:val="clear"/>
        </w:rPr>
        <w:t>Certain provisions in the indentures governing the 2025 Notes and 2030 Notes could delay or prevent an otherwise beneficial takeover or takeover attempt of us.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Certain provisions in the 2025 Notes and 2030 Notes and the applicable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applicable indenture could increase the cost of acquiring us or otherwise discourage a third party from acquiring us or removing incumbent management, including in a transaction that holders of the notes or holders of our common stock may view as favorable.</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21</w:t>
      </w:r>
    </w:p>
    <w:p>
      <w:pPr>
        <w:pStyle w:val="HorizontalLine"/>
        <w:bidi w:val="0"/>
        <w:spacing w:before="240" w:after="240"/>
        <w:jc w:val="left"/>
        <w:rPr/>
      </w:pPr>
      <w:r>
        <w:rPr/>
      </w:r>
    </w:p>
    <w:p>
      <w:pPr>
        <w:pStyle w:val="TextBody"/>
        <w:bidi w:val="0"/>
        <w:spacing w:before="240" w:after="24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pPr>
      <w:r>
        <w:rPr/>
      </w:r>
    </w:p>
    <w:p>
      <w:pPr>
        <w:pStyle w:val="TextBody"/>
        <w:widowControl/>
        <w:bidi w:val="0"/>
        <w:spacing w:before="0" w:after="0"/>
        <w:ind w:left="0" w:right="0" w:hanging="0"/>
        <w:jc w:val="both"/>
        <w:rPr>
          <w:rFonts w:ascii="Times New Roman;Times;serif" w:hAnsi="Times New Roman;Times;serif"/>
          <w:b w:val="false"/>
          <w:i/>
          <w:caps w:val="false"/>
          <w:smallCaps w:val="false"/>
          <w:color w:val="000000"/>
          <w:spacing w:val="0"/>
          <w:sz w:val="24"/>
          <w:u w:val="single"/>
          <w:shd w:fill="FFFFFF" w:val="clear"/>
        </w:rPr>
      </w:pPr>
      <w:r>
        <w:rPr>
          <w:rFonts w:ascii="Times New Roman;Times;serif" w:hAnsi="Times New Roman;Times;serif"/>
          <w:b w:val="false"/>
          <w:i/>
          <w:caps w:val="false"/>
          <w:smallCaps w:val="false"/>
          <w:color w:val="000000"/>
          <w:spacing w:val="0"/>
          <w:sz w:val="24"/>
          <w:u w:val="single"/>
          <w:shd w:fill="FFFFFF" w:val="clear"/>
        </w:rPr>
        <w:t>The capped call transactions may affect the market price of our common stock.</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In connection with the pricing of, and the initial purchasers’ exercise in full of their option to purchase additional, 2030 Notes, we entered into capped call transactions with the option counterparties. The capped call transactions are expected generally to reduce potential dilution to our common stock upon conversion of any 2030 Notes and to offset any cash payments made in excess of the principal amount of converted 2030 Notes, as the case may be, with such reduction and/or offset subject to a cap.</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In connection with establishing their initial hedges of the capped call transactions, we expect the option counterparties or their respective affiliates to have purchased shares of our common stock and/or entered into various derivative transactions with respect to our common stock concurrently with or shortly after the pricing of the 2030 Notes. 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2030 Notes and prior to the maturity of the 2030 Notes (and are likely to do so on each exercise date for the capped call transactions or following any termination of any portion of the capped call transactions in connection with any repurchase, redemption or early conversion of the 2030 Notes). This activity could cause or avoid an increase or decrease in the market price of our common stock.</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In addition, if any such capped call transactions fail to become effective, the option counterparties or their respective affiliates may unwind their hedge positions with respect to our common stock, which could adversely affect the value of our common stock.</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do not make any representation or prediction as to the direction or magnitude of any potential effect that the transactions described above may have on the price of our common stock. In addition, we do not make any representation that the option counterparties will engage in these transactions or that these transactions, once commenced, will not be discontinued without notice.</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caps w:val="false"/>
          <w:smallCaps w:val="false"/>
          <w:color w:val="000000"/>
          <w:spacing w:val="0"/>
          <w:sz w:val="24"/>
          <w:u w:val="single"/>
          <w:shd w:fill="FFFFFF" w:val="clear"/>
        </w:rPr>
      </w:pPr>
      <w:r>
        <w:rPr>
          <w:rFonts w:ascii="Times New Roman;Times;serif" w:hAnsi="Times New Roman;Times;serif"/>
          <w:b w:val="false"/>
          <w:i/>
          <w:caps w:val="false"/>
          <w:smallCaps w:val="false"/>
          <w:color w:val="000000"/>
          <w:spacing w:val="0"/>
          <w:sz w:val="24"/>
          <w:u w:val="single"/>
          <w:shd w:fill="FFFFFF" w:val="clear"/>
        </w:rPr>
        <w:t>We are subject to counterparty risk with respect to the capped call transactions.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Anti-takeover defenses in our amended and restated certificate of incorporation, our amended and restated bylaws and under Delaware law may impede or discourage a merger, a takeover attempt or other business combinations, which could also reduce the market price of our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a Delaware corporation, and the anti-takeover provisions of Delaware law impose various impediments to the ability of a third party to acquire control of us, even if a change in control would be beneficial to our existing stockholders. Our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tc>
      </w:tr>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tc>
      </w:tr>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tc>
      </w:tr>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tc>
      </w:tr>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tc>
      </w:tr>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ability of our board of directors or a committee thereof to create and issue a new series of preferred stock and certain provisions of Delaware law and our certificate of incorporation and bylaws could impede a merger, takeover attempt or other business combination involving us or discourage a potential acquirer from making a tender offer for our common stock, which, under certain circumstances, could reduce the market price of our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Risks related to the spin-off of the Vishay Precision Group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i/>
          <w:color w:val="000000"/>
          <w:sz w:val="24"/>
          <w:u w:val="single"/>
          <w:shd w:fill="FFFFFF" w:val="clear"/>
        </w:rPr>
        <w:t>Vishay Precision Group is using the Vishay</w:t>
      </w:r>
      <w:r>
        <w:rPr>
          <w:rFonts w:ascii="Times New Roman" w:hAnsi="Times New Roman"/>
          <w:color w:val="000000"/>
          <w:sz w:val="24"/>
          <w:u w:val="single"/>
          <w:shd w:fill="FFFFFF" w:val="clear"/>
        </w:rPr>
        <w:t> </w:t>
      </w:r>
      <w:r>
        <w:rPr>
          <w:rFonts w:ascii="Times New Roman" w:hAnsi="Times New Roman"/>
          <w:i/>
          <w:color w:val="000000"/>
          <w:sz w:val="24"/>
          <w:u w:val="single"/>
          <w:shd w:fill="FFFFFF" w:val="clear"/>
        </w:rPr>
        <w:t>name under license from us, which could result in product and market confusion or the loss of certain of our rights to the Vishay name</w:t>
      </w:r>
      <w:r>
        <w:rPr>
          <w:rFonts w:ascii="Times New Roman" w:hAnsi="Times New Roman"/>
          <w:color w:val="000000"/>
          <w:sz w:val="24"/>
          <w:u w:val="single"/>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VPG has a worldwide, perpetual and royalty-free license from us to use the “Vishay” mark as part of its corporate name and in connection with the manufacture, sale, and marketing of the products and services that comprise its measurements and foil resistors businesses. The license of the Vishay name to VPG is important to VPG because the success of VPG depends on the reputation of the Vishay brand for these products and services built over many years.  Nonetheless, there exists the risk that the use by VPG could cause confusion in the marketplace over the products of the two companies, that any negative publicity associated with a product or service of VPG following the spin-off could be mistakenly attributed to our company or that we could lose our own rights to the “Vishay” mark if we fail to impose sufficient controls on VPG’s use of the mark.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General Risk Factors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addition to the risks relating specifically to our business, a variety of other factors relating to general conditions could cause actual results, performance, or achievements to differ materially from those expressed in any of our forward-looking statements. These factors include:</w:t>
      </w:r>
    </w:p>
    <w:p>
      <w:pPr>
        <w:pStyle w:val="TextBody"/>
        <w:bidi w:val="0"/>
        <w:spacing w:before="0" w:after="0"/>
        <w:jc w:val="left"/>
        <w:rPr>
          <w:rFonts w:ascii="Times New Roman" w:hAnsi="Times New Roman"/>
          <w:sz w:val="20"/>
        </w:rPr>
      </w:pPr>
      <w:r>
        <w:rPr>
          <w:rFonts w:ascii="Times New Roman" w:hAnsi="Times New Roman"/>
          <w:sz w:val="20"/>
        </w:rPr>
      </w:r>
    </w:p>
    <w:tbl>
      <w:tblPr>
        <w:tblW w:w="4158" w:type="dxa"/>
        <w:jc w:val="left"/>
        <w:tblInd w:w="0" w:type="dxa"/>
        <w:tblLayout w:type="fixed"/>
        <w:tblCellMar>
          <w:top w:w="0" w:type="dxa"/>
          <w:left w:w="0" w:type="dxa"/>
          <w:bottom w:w="0" w:type="dxa"/>
          <w:right w:w="0" w:type="dxa"/>
        </w:tblCellMar>
      </w:tblPr>
      <w:tblGrid>
        <w:gridCol w:w="38"/>
        <w:gridCol w:w="11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overall economic and business conditions;</w:t>
            </w:r>
          </w:p>
        </w:tc>
      </w:tr>
    </w:tbl>
    <w:tbl>
      <w:tblPr>
        <w:tblW w:w="6843" w:type="dxa"/>
        <w:jc w:val="left"/>
        <w:tblInd w:w="0" w:type="dxa"/>
        <w:tblLayout w:type="fixed"/>
        <w:tblCellMar>
          <w:top w:w="0" w:type="dxa"/>
          <w:left w:w="0" w:type="dxa"/>
          <w:bottom w:w="0" w:type="dxa"/>
          <w:right w:w="0" w:type="dxa"/>
        </w:tblCellMar>
      </w:tblPr>
      <w:tblGrid>
        <w:gridCol w:w="38"/>
        <w:gridCol w:w="11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competitive factors in the industries in which we conduct our business;</w:t>
            </w:r>
          </w:p>
        </w:tc>
      </w:tr>
    </w:tbl>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changes in governmental regulation;</w:t>
            </w:r>
          </w:p>
        </w:tc>
      </w:tr>
    </w:tbl>
    <w:tbl>
      <w:tblPr>
        <w:tblW w:w="10158" w:type="dxa"/>
        <w:jc w:val="left"/>
        <w:tblInd w:w="0" w:type="dxa"/>
        <w:tblLayout w:type="fixed"/>
        <w:tblCellMar>
          <w:top w:w="0" w:type="dxa"/>
          <w:left w:w="0" w:type="dxa"/>
          <w:bottom w:w="0" w:type="dxa"/>
          <w:right w:w="0" w:type="dxa"/>
        </w:tblCellMar>
      </w:tblPr>
      <w:tblGrid>
        <w:gridCol w:w="38"/>
        <w:gridCol w:w="110"/>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changes in tax requirements, including tax rate changes, new tax laws, and revised tax law interpretations;</w:t>
            </w:r>
          </w:p>
        </w:tc>
      </w:tr>
    </w:tbl>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changes in GAAP or interpretations of GAAP by governmental agencies and self-regulatory groups;</w:t>
            </w:r>
          </w:p>
        </w:tc>
      </w:tr>
    </w:tbl>
    <w:tbl>
      <w:tblPr>
        <w:tblW w:w="9543" w:type="dxa"/>
        <w:jc w:val="left"/>
        <w:tblInd w:w="0" w:type="dxa"/>
        <w:tblLayout w:type="fixed"/>
        <w:tblCellMar>
          <w:top w:w="0" w:type="dxa"/>
          <w:left w:w="0" w:type="dxa"/>
          <w:bottom w:w="0" w:type="dxa"/>
          <w:right w:w="0" w:type="dxa"/>
        </w:tblCellMar>
      </w:tblPr>
      <w:tblGrid>
        <w:gridCol w:w="38"/>
        <w:gridCol w:w="11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interest rate fluctuations, foreign currency rate fluctuations, and other capital market conditions;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economic and political conditions in international markets, including governmental changes and restrictions on the ability to transfer capital across borders.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industry could cause the price of our common stock to fluctuate substantially without regard to our operating performance.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operate in a continually changing business environment, and new factors emerge from time to time.  Other unknown and unpredictable factors also could have a material adverse effect on our future financial condition and results of operations.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24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4"/>
          <w:shd w:fill="FFFFFF" w:val="clear"/>
        </w:rPr>
      </w:pPr>
      <w:bookmarkStart w:id="8" w:name="Item1B"/>
      <w:bookmarkEnd w:id="8"/>
      <w:r>
        <w:rPr>
          <w:rFonts w:ascii="Times New Roman;Times;serif" w:hAnsi="Times New Roman;Times;serif"/>
          <w:b/>
          <w:color w:val="000000"/>
          <w:sz w:val="24"/>
          <w:u w:val="single"/>
          <w:shd w:fill="FFFFFF" w:val="clear"/>
        </w:rPr>
        <w:t>Item 1B.</w:t>
      </w:r>
      <w:r>
        <w:rPr>
          <w:rFonts w:ascii="Times New Roman" w:hAnsi="Times New Roman"/>
          <w:color w:val="000000"/>
          <w:sz w:val="24"/>
          <w:shd w:fill="FFFFFF" w:val="clear"/>
        </w:rPr>
        <w:t> </w:t>
      </w:r>
      <w:r>
        <w:rPr>
          <w:rFonts w:ascii="Times New Roman;Times;serif" w:hAnsi="Times New Roman;Times;serif"/>
          <w:b/>
          <w:color w:val="000000"/>
          <w:sz w:val="24"/>
          <w:u w:val="single"/>
          <w:shd w:fill="FFFFFF" w:val="clear"/>
        </w:rPr>
        <w:t>UNRESOLVED STAFF COMMENTS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None.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4"/>
          <w:shd w:fill="FFFFFF" w:val="clear"/>
        </w:rPr>
      </w:pPr>
      <w:r>
        <w:rPr>
          <w:rFonts w:ascii="Times New Roman;Times;serif" w:hAnsi="Times New Roman;Times;serif"/>
          <w:b/>
          <w:color w:val="000000"/>
          <w:sz w:val="24"/>
          <w:u w:val="single"/>
          <w:shd w:fill="FFFFFF" w:val="clear"/>
        </w:rPr>
        <w:t>Item 1C.</w:t>
      </w:r>
      <w:r>
        <w:rPr>
          <w:rFonts w:ascii="Times New Roman" w:hAnsi="Times New Roman"/>
          <w:color w:val="000000"/>
          <w:sz w:val="24"/>
          <w:shd w:fill="FFFFFF" w:val="clear"/>
        </w:rPr>
        <w:t xml:space="preserve"> </w:t>
      </w:r>
      <w:bookmarkStart w:id="9" w:name="CYBERSECURITY"/>
      <w:bookmarkEnd w:id="9"/>
      <w:r>
        <w:rPr>
          <w:rFonts w:ascii="Times New Roman;Times;serif" w:hAnsi="Times New Roman;Times;serif"/>
          <w:b/>
          <w:color w:val="000000"/>
          <w:sz w:val="24"/>
          <w:u w:val="single"/>
          <w:shd w:fill="FFFFFF" w:val="clear"/>
        </w:rPr>
        <w:t>CYBERSECURITY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We recognize the importance of assessing, identifying, and managing material risks associated with cybersecurity threats.  These risks include, among other things: operational risks, intellectual property theft, fraud, extortion, harm to employees or customers and violation of data privacy or security laws.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We are committed to maintaining robust governance and oversight of these risks and to implementing mechanisms, controls, technologies, and processes designed to help us assess, identify, and manage these risks. 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us incurring significant costs related to, for example, rebuilding our internal systems, writing down inventory value,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Based on media reports and other surveys, we believe there is a general increase in cyberattack volume, frequency, and sophistication.  We have experienced the same in our own business.  We seek to detect and investigate unauthorized attempts and attacks against our network and to prevent their occurrence and recurrence where practicable through changes or updates to our internal processes and tools; however, we remain potentially vulnerable to known or unknown threats.  In some instances, we, our suppliers, and our customers can be unaware of a threat or incident or its magnitude and effects.  Further, there is increasing regulation regarding responses to cybersecurity incidents, including reporting to regulators, which could subject us to additional liability and reputational harm. See "Risk Factors" for more information on our cybersecurity risks.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We aim to incorporate industry best practices throughout our cybersecurity program. Identifying and assessing cybersecurity risk is integrated into our overall risk management program. Our cybersecurity strategy focuses on implementing effective and efficient controls, technologies, and other processes to assess, identify, and manage material cybersecurity risks. Our cybersecurity program is designed to be aligned with applicable industry standards and is tested annually by independent third-party consultants.  We have processes in place to assess, identify, manage, and address material cybersecurity threats and incidents.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us, and have processes to assess those issues for potential cybersecurity impact or risk.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Cybersecurity is an important part of our risk management processes and an area of focus for our Board and management. Our Audit Committee is responsible for the oversight of risks from cybersecurity threats.  Members of the Audit Committee receive updates on at least an annual basis from senior management, including leaders from our Information Technology, Internal Audit,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Our cybersecurity risk management and strategy processes are overseen by leaders from our Information Technology, Internal Audit, and Legal teams.  Such individuals have an average of over 20 years of prior work experience in various roles involving information technology, security, auditing, legal,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24</w:t>
      </w:r>
    </w:p>
    <w:p>
      <w:pPr>
        <w:pStyle w:val="HorizontalLine"/>
        <w:bidi w:val="0"/>
        <w:spacing w:before="240" w:after="240"/>
        <w:jc w:val="left"/>
        <w:rPr/>
      </w:pPr>
      <w: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bookmarkStart w:id="10" w:name="Item2"/>
      <w:bookmarkEnd w:id="10"/>
      <w:r>
        <w:rPr>
          <w:rFonts w:ascii="Times New Roman;Times;serif" w:hAnsi="Times New Roman;Times;serif"/>
          <w:b/>
          <w:color w:val="000000"/>
          <w:sz w:val="24"/>
          <w:u w:val="single"/>
          <w:shd w:fill="FFFFFF" w:val="clear"/>
        </w:rPr>
        <w:t>Item 2.</w:t>
      </w:r>
      <w:r>
        <w:rPr>
          <w:rFonts w:ascii="Times New Roman" w:hAnsi="Times New Roman"/>
          <w:color w:val="000000"/>
          <w:sz w:val="20"/>
          <w:shd w:fill="FFFFFF" w:val="clear"/>
        </w:rPr>
        <w:t xml:space="preserve"> </w:t>
      </w:r>
      <w:r>
        <w:rPr>
          <w:rFonts w:ascii="Times New Roman;Times;serif" w:hAnsi="Times New Roman;Times;serif"/>
          <w:b/>
          <w:color w:val="000000"/>
          <w:sz w:val="24"/>
          <w:u w:val="single"/>
          <w:shd w:fill="FFFFFF" w:val="clear"/>
        </w:rPr>
        <w:t>PROPERTIES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At December 31, 2023, our business had 57 manufacturing locations. Our manufacturing facilities include owned and leased locations. Some locations include both owned and leased facilities in the same location. The list of manufacturing facilities below excludes former manufacturing facilities that are not presently used for manufacturing activities.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the opinion of management, our properties and equipment generally are in good operating condition and are adequate for our present needs. Owning many of our manufacturing facilities provides us meaningful financial and operating benefits, including long-term stability and a necessary buffer for economic downturns. We do not anticipate difficulty in renewing existing leases as they expire or in finding alternative facilities.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principal locations of our owned manufacturing facilities, along with available space including administrative offices,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610" w:type="dxa"/>
        <w:jc w:val="left"/>
        <w:tblInd w:w="0" w:type="dxa"/>
        <w:tblLayout w:type="fixed"/>
        <w:tblCellMar>
          <w:top w:w="0" w:type="dxa"/>
          <w:left w:w="0" w:type="dxa"/>
          <w:bottom w:w="0" w:type="dxa"/>
          <w:right w:w="0" w:type="dxa"/>
        </w:tblCellMar>
      </w:tblPr>
      <w:tblGrid>
        <w:gridCol w:w="2705"/>
        <w:gridCol w:w="3350"/>
        <w:gridCol w:w="60"/>
        <w:gridCol w:w="2495"/>
      </w:tblGrid>
      <w:tr>
        <w:trPr/>
        <w:tc>
          <w:tcPr>
            <w:tcW w:w="270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Owned Locations</w:t>
            </w:r>
          </w:p>
        </w:tc>
        <w:tc>
          <w:tcPr>
            <w:tcW w:w="3350"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Business Segment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right"/>
              <w:rPr>
                <w:rFonts w:ascii="Times New Roman" w:hAnsi="Times New Roman"/>
                <w:sz w:val="24"/>
                <w:u w:val="single"/>
              </w:rPr>
            </w:pPr>
            <w:r>
              <w:rPr>
                <w:rFonts w:ascii="Times New Roman" w:hAnsi="Times New Roman"/>
                <w:sz w:val="24"/>
                <w:u w:val="single"/>
              </w:rPr>
              <w:t xml:space="preserve">Approx. Available Space </w:t>
            </w:r>
          </w:p>
          <w:p>
            <w:pPr>
              <w:pStyle w:val="TableContents"/>
              <w:bidi w:val="0"/>
              <w:spacing w:before="0" w:after="0"/>
              <w:jc w:val="right"/>
              <w:rPr>
                <w:rFonts w:ascii="Times New Roman" w:hAnsi="Times New Roman"/>
                <w:sz w:val="24"/>
                <w:u w:val="single"/>
              </w:rPr>
            </w:pPr>
            <w:r>
              <w:rPr>
                <w:rFonts w:ascii="Times New Roman" w:hAnsi="Times New Roman"/>
                <w:sz w:val="24"/>
                <w:u w:val="single"/>
              </w:rPr>
              <w:t>(Square Feet)</w:t>
            </w:r>
          </w:p>
        </w:tc>
      </w:tr>
      <w:tr>
        <w:trPr/>
        <w:tc>
          <w:tcPr>
            <w:tcW w:w="270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ind w:left="144" w:right="0" w:hanging="144"/>
              <w:jc w:val="center"/>
              <w:rPr>
                <w:rFonts w:ascii="Times New Roman" w:hAnsi="Times New Roman"/>
                <w:sz w:val="24"/>
                <w:u w:val="single"/>
              </w:rPr>
            </w:pPr>
            <w:r>
              <w:rPr>
                <w:rFonts w:ascii="Times New Roman" w:hAnsi="Times New Roman"/>
                <w:sz w:val="24"/>
                <w:u w:val="single"/>
              </w:rPr>
              <w:t>United States</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Columbus, NE</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201,000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Bennington, VT</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64,000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Yankton, SD</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60,000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Warwick, RI</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56,000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Niagara Falls, NY</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34,000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Marshall, MN</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22,000</w:t>
            </w:r>
          </w:p>
        </w:tc>
      </w:tr>
      <w:tr>
        <w:trPr/>
        <w:tc>
          <w:tcPr>
            <w:tcW w:w="2705"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144" w:right="0" w:hanging="144"/>
              <w:jc w:val="center"/>
              <w:rPr>
                <w:rFonts w:ascii="Times New Roman" w:hAnsi="Times New Roman"/>
                <w:sz w:val="24"/>
                <w:u w:val="single"/>
              </w:rPr>
            </w:pPr>
            <w:r>
              <w:rPr>
                <w:rFonts w:ascii="Times New Roman" w:hAnsi="Times New Roman"/>
                <w:sz w:val="24"/>
                <w:u w:val="single"/>
              </w:rPr>
              <w:t>Non-U.S.</w:t>
            </w:r>
          </w:p>
        </w:tc>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Vocklabruck, Austria</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100,000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People's Republic of China</w:t>
            </w:r>
          </w:p>
        </w:tc>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Tianjin</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397,000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Shanghai</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195,000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Xi'an</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MOSFETs and Diodes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133,000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Czech Republic</w:t>
            </w:r>
          </w:p>
        </w:tc>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Blatna</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and 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276,000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Dolni Rychnov</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and 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183,000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Prachatice</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92,000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Volary</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35,000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France</w:t>
            </w:r>
          </w:p>
        </w:tc>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Nice</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221,000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Chateau Gontier</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82,000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Hyeres</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59,000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Germany</w:t>
            </w:r>
          </w:p>
        </w:tc>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Selb</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and 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472,000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Heide</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264,000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Landshut</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Fichtelberg</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Budapest, Hungary</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101,000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Loni, India</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and 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405,000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Israel</w:t>
            </w:r>
          </w:p>
        </w:tc>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Dimona</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and 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404,000</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Migdal Ha'Emek</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288,000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Be'er Sheva</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 Inductors and 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276,000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Turin, Italy</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102,000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Miharu, Japan</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165,000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Melaka, Malaysia</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Optoelectronic Components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156,000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Juarez, Mexico</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75,000</w:t>
            </w:r>
          </w:p>
        </w:tc>
      </w:tr>
      <w:tr>
        <w:trPr/>
        <w:tc>
          <w:tcPr>
            <w:tcW w:w="2705" w:type="dxa"/>
            <w:tcBorders/>
            <w:shd w:fill="FFFF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Famalicao, Portugal</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222,000</w:t>
            </w:r>
          </w:p>
        </w:tc>
      </w:tr>
      <w:tr>
        <w:trPr/>
        <w:tc>
          <w:tcPr>
            <w:tcW w:w="2705"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Republic of China (Taiwan)</w:t>
            </w:r>
          </w:p>
        </w:tc>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144" w:right="0" w:hanging="144"/>
              <w:jc w:val="left"/>
              <w:rPr/>
            </w:pPr>
            <w:r>
              <w:rPr/>
              <w:t>   </w:t>
            </w:r>
            <w:r>
              <w:rPr>
                <w:rFonts w:ascii="Times New Roman" w:hAnsi="Times New Roman"/>
                <w:sz w:val="24"/>
              </w:rPr>
              <w:t>Taipei</w:t>
            </w:r>
          </w:p>
        </w:tc>
        <w:tc>
          <w:tcPr>
            <w:tcW w:w="3350" w:type="dxa"/>
            <w:tcBorders/>
            <w:shd w:fill="FFFF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366,000</w:t>
            </w:r>
          </w:p>
        </w:tc>
      </w:tr>
      <w:tr>
        <w:trPr/>
        <w:tc>
          <w:tcPr>
            <w:tcW w:w="2705"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Kaohsiung</w:t>
            </w:r>
          </w:p>
        </w:tc>
        <w:tc>
          <w:tcPr>
            <w:tcW w:w="33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MOSFETs</w:t>
            </w:r>
          </w:p>
        </w:tc>
        <w:tc>
          <w:tcPr>
            <w:tcW w:w="60"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105,000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principal locations of our leased manufacturing facilities, along with available space including administrative offices,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0170" w:type="dxa"/>
        <w:jc w:val="left"/>
        <w:tblInd w:w="0" w:type="dxa"/>
        <w:tblLayout w:type="fixed"/>
        <w:tblCellMar>
          <w:top w:w="0" w:type="dxa"/>
          <w:left w:w="0" w:type="dxa"/>
          <w:bottom w:w="0" w:type="dxa"/>
          <w:right w:w="0" w:type="dxa"/>
        </w:tblCellMar>
      </w:tblPr>
      <w:tblGrid>
        <w:gridCol w:w="3860"/>
        <w:gridCol w:w="3815"/>
        <w:gridCol w:w="60"/>
        <w:gridCol w:w="2435"/>
      </w:tblGrid>
      <w:tr>
        <w:trPr/>
        <w:tc>
          <w:tcPr>
            <w:tcW w:w="3860"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Leased Locations</w:t>
            </w:r>
          </w:p>
        </w:tc>
        <w:tc>
          <w:tcPr>
            <w:tcW w:w="38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Business Segment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u w:val="single"/>
              </w:rPr>
            </w:pPr>
            <w:r>
              <w:rPr>
                <w:rFonts w:ascii="Times New Roman" w:hAnsi="Times New Roman"/>
                <w:sz w:val="24"/>
                <w:u w:val="single"/>
              </w:rPr>
              <w:t>Approx. Available Space</w:t>
            </w:r>
          </w:p>
          <w:p>
            <w:pPr>
              <w:pStyle w:val="TableContents"/>
              <w:bidi w:val="0"/>
              <w:spacing w:before="0" w:after="0"/>
              <w:jc w:val="right"/>
              <w:rPr>
                <w:rFonts w:ascii="Times New Roman" w:hAnsi="Times New Roman"/>
                <w:sz w:val="24"/>
                <w:u w:val="single"/>
              </w:rPr>
            </w:pPr>
            <w:r>
              <w:rPr>
                <w:rFonts w:ascii="Times New Roman" w:hAnsi="Times New Roman"/>
                <w:sz w:val="24"/>
                <w:u w:val="single"/>
              </w:rPr>
              <w:t>(Square Feet)</w:t>
            </w:r>
          </w:p>
        </w:tc>
      </w:tr>
      <w:tr>
        <w:trPr/>
        <w:tc>
          <w:tcPr>
            <w:tcW w:w="38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center"/>
              <w:rPr>
                <w:rFonts w:ascii="Times New Roman" w:hAnsi="Times New Roman"/>
                <w:sz w:val="24"/>
                <w:u w:val="single"/>
              </w:rPr>
            </w:pPr>
            <w:r>
              <w:rPr>
                <w:rFonts w:ascii="Times New Roman" w:hAnsi="Times New Roman"/>
                <w:sz w:val="24"/>
                <w:u w:val="single"/>
              </w:rPr>
              <w:t>United States</w:t>
            </w:r>
          </w:p>
        </w:tc>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Columbus, NE</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87,000</w:t>
            </w:r>
          </w:p>
        </w:tc>
      </w:tr>
      <w:tr>
        <w:trPr/>
        <w:tc>
          <w:tcPr>
            <w:tcW w:w="3860" w:type="dxa"/>
            <w:tcBorders/>
            <w:vAlign w:val="center"/>
          </w:tcPr>
          <w:p>
            <w:pPr>
              <w:pStyle w:val="TableContents"/>
              <w:bidi w:val="0"/>
              <w:spacing w:before="0" w:after="283"/>
              <w:jc w:val="left"/>
              <w:rPr>
                <w:sz w:val="24"/>
              </w:rPr>
            </w:pPr>
            <w:r>
              <w:rPr>
                <w:sz w:val="24"/>
              </w:rPr>
              <w:t>Attleboro, MA</w:t>
            </w:r>
          </w:p>
        </w:tc>
        <w:tc>
          <w:tcPr>
            <w:tcW w:w="3815" w:type="dxa"/>
            <w:tcBorders/>
            <w:vAlign w:val="center"/>
          </w:tcPr>
          <w:p>
            <w:pPr>
              <w:pStyle w:val="TableContents"/>
              <w:bidi w:val="0"/>
              <w:spacing w:before="0" w:after="283"/>
              <w:jc w:val="left"/>
              <w:rPr>
                <w:sz w:val="24"/>
              </w:rPr>
            </w:pPr>
            <w:r>
              <w:rPr>
                <w:sz w:val="24"/>
              </w:rPr>
              <w:t>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right"/>
              <w:rPr/>
            </w:pPr>
            <w:r>
              <w:rPr/>
              <w:t> </w:t>
            </w:r>
            <w:r>
              <w:rPr>
                <w:sz w:val="24"/>
              </w:rPr>
              <w:t>40,000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Ontario, CA</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38,000</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Dover, NH</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35,000</w:t>
            </w:r>
          </w:p>
        </w:tc>
      </w:tr>
      <w:tr>
        <w:trPr/>
        <w:tc>
          <w:tcPr>
            <w:tcW w:w="3860" w:type="dxa"/>
            <w:tcBorders/>
            <w:shd w:fill="CCEEFF" w:val="clear"/>
            <w:vAlign w:val="center"/>
          </w:tcPr>
          <w:p>
            <w:pPr>
              <w:pStyle w:val="TableContents"/>
              <w:bidi w:val="0"/>
              <w:spacing w:before="0" w:after="283"/>
              <w:jc w:val="left"/>
              <w:rPr>
                <w:sz w:val="24"/>
              </w:rPr>
            </w:pPr>
            <w:r>
              <w:rPr>
                <w:sz w:val="24"/>
              </w:rPr>
              <w:t>East Windsor, CT</w:t>
            </w:r>
          </w:p>
        </w:tc>
        <w:tc>
          <w:tcPr>
            <w:tcW w:w="3815" w:type="dxa"/>
            <w:tcBorders/>
            <w:shd w:fill="CCEEFF" w:val="clear"/>
            <w:vAlign w:val="center"/>
          </w:tcPr>
          <w:p>
            <w:pPr>
              <w:pStyle w:val="TableContents"/>
              <w:bidi w:val="0"/>
              <w:spacing w:before="0" w:after="283"/>
              <w:jc w:val="left"/>
              <w:rPr>
                <w:sz w:val="24"/>
              </w:rPr>
            </w:pPr>
            <w:r>
              <w:rPr>
                <w:sz w:val="24"/>
              </w:rPr>
              <w:t>Resistors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 </w:t>
            </w:r>
            <w:r>
              <w:rPr>
                <w:sz w:val="24"/>
              </w:rPr>
              <w:t>30,000</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Hollis, NH</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25,000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Fremont, CA</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18,000</w:t>
            </w:r>
          </w:p>
        </w:tc>
      </w:tr>
      <w:tr>
        <w:trPr/>
        <w:tc>
          <w:tcPr>
            <w:tcW w:w="3860" w:type="dxa"/>
            <w:tcBorders/>
            <w:vAlign w:val="center"/>
          </w:tcPr>
          <w:p>
            <w:pPr>
              <w:pStyle w:val="TableContents"/>
              <w:bidi w:val="0"/>
              <w:spacing w:before="0" w:after="283"/>
              <w:jc w:val="left"/>
              <w:rPr>
                <w:sz w:val="24"/>
              </w:rPr>
            </w:pPr>
            <w:r>
              <w:rPr>
                <w:sz w:val="24"/>
              </w:rPr>
              <w:t>Glendale, WI</w:t>
            </w:r>
          </w:p>
        </w:tc>
        <w:tc>
          <w:tcPr>
            <w:tcW w:w="3815" w:type="dxa"/>
            <w:tcBorders/>
            <w:vAlign w:val="center"/>
          </w:tcPr>
          <w:p>
            <w:pPr>
              <w:pStyle w:val="TableContents"/>
              <w:bidi w:val="0"/>
              <w:spacing w:before="0" w:after="283"/>
              <w:jc w:val="left"/>
              <w:rPr>
                <w:sz w:val="24"/>
              </w:rPr>
            </w:pPr>
            <w:r>
              <w:rPr>
                <w:sz w:val="24"/>
              </w:rPr>
              <w:t xml:space="preserve">Resistors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right"/>
              <w:rPr/>
            </w:pPr>
            <w:r>
              <w:rPr/>
              <w:t> </w:t>
            </w:r>
            <w:r>
              <w:rPr>
                <w:sz w:val="24"/>
              </w:rPr>
              <w:t>14,000</w:t>
            </w:r>
          </w:p>
        </w:tc>
      </w:tr>
      <w:tr>
        <w:trPr/>
        <w:tc>
          <w:tcPr>
            <w:tcW w:w="3860" w:type="dxa"/>
            <w:tcBorders/>
            <w:shd w:fill="CCEEFF" w:val="clear"/>
            <w:vAlign w:val="center"/>
          </w:tcPr>
          <w:p>
            <w:pPr>
              <w:pStyle w:val="TableContents"/>
              <w:bidi w:val="0"/>
              <w:spacing w:before="0" w:after="283"/>
              <w:jc w:val="left"/>
              <w:rPr>
                <w:sz w:val="24"/>
              </w:rPr>
            </w:pPr>
            <w:r>
              <w:rPr>
                <w:sz w:val="24"/>
              </w:rPr>
              <w:t>Hudson, MA</w:t>
            </w:r>
          </w:p>
        </w:tc>
        <w:tc>
          <w:tcPr>
            <w:tcW w:w="3815" w:type="dxa"/>
            <w:tcBorders/>
            <w:shd w:fill="CCEEFF" w:val="clear"/>
            <w:vAlign w:val="center"/>
          </w:tcPr>
          <w:p>
            <w:pPr>
              <w:pStyle w:val="TableContents"/>
              <w:bidi w:val="0"/>
              <w:spacing w:before="0" w:after="283"/>
              <w:jc w:val="left"/>
              <w:rPr>
                <w:sz w:val="24"/>
              </w:rPr>
            </w:pPr>
            <w:r>
              <w:rPr>
                <w:sz w:val="24"/>
              </w:rPr>
              <w:t xml:space="preserve">Resistors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sz w:val="24"/>
              </w:rPr>
            </w:pPr>
            <w:r>
              <w:rPr>
                <w:sz w:val="24"/>
              </w:rPr>
              <w:t xml:space="preserve">13,000 </w:t>
            </w:r>
          </w:p>
        </w:tc>
      </w:tr>
      <w:tr>
        <w:trPr/>
        <w:tc>
          <w:tcPr>
            <w:tcW w:w="3860" w:type="dxa"/>
            <w:tcBorders/>
            <w:vAlign w:val="center"/>
          </w:tcPr>
          <w:p>
            <w:pPr>
              <w:pStyle w:val="TableContents"/>
              <w:bidi w:val="0"/>
              <w:spacing w:before="0" w:after="283"/>
              <w:jc w:val="left"/>
              <w:rPr>
                <w:sz w:val="24"/>
              </w:rPr>
            </w:pPr>
            <w:r>
              <w:rPr>
                <w:sz w:val="24"/>
              </w:rPr>
              <w:t>Montevideo, MN</w:t>
            </w:r>
          </w:p>
        </w:tc>
        <w:tc>
          <w:tcPr>
            <w:tcW w:w="3815" w:type="dxa"/>
            <w:tcBorders/>
            <w:vAlign w:val="center"/>
          </w:tcPr>
          <w:p>
            <w:pPr>
              <w:pStyle w:val="TableContents"/>
              <w:bidi w:val="0"/>
              <w:spacing w:before="0" w:after="283"/>
              <w:jc w:val="left"/>
              <w:rPr>
                <w:sz w:val="24"/>
              </w:rPr>
            </w:pPr>
            <w:r>
              <w:rPr>
                <w:sz w:val="24"/>
              </w:rPr>
              <w:t xml:space="preserve">Inductors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right"/>
              <w:rPr>
                <w:sz w:val="24"/>
              </w:rPr>
            </w:pPr>
            <w:r>
              <w:rPr>
                <w:sz w:val="24"/>
              </w:rPr>
              <w:t xml:space="preserve">11,000 </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Duluth, MN</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10,000</w:t>
            </w:r>
          </w:p>
        </w:tc>
      </w:tr>
      <w:tr>
        <w:trPr/>
        <w:tc>
          <w:tcPr>
            <w:tcW w:w="38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44" w:right="0" w:hanging="144"/>
              <w:jc w:val="center"/>
              <w:rPr>
                <w:rFonts w:ascii="Times New Roman" w:hAnsi="Times New Roman"/>
                <w:sz w:val="24"/>
                <w:u w:val="single"/>
              </w:rPr>
            </w:pPr>
            <w:r>
              <w:rPr>
                <w:rFonts w:ascii="Times New Roman" w:hAnsi="Times New Roman"/>
                <w:sz w:val="24"/>
                <w:u w:val="single"/>
              </w:rPr>
              <w:t>Non-U.S.</w:t>
            </w:r>
          </w:p>
        </w:tc>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Klagenfurt, Austria</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150,000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People’s Republic of China</w:t>
            </w:r>
          </w:p>
        </w:tc>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ind w:left="144" w:right="0" w:hanging="144"/>
              <w:jc w:val="left"/>
              <w:rPr/>
            </w:pPr>
            <w:r>
              <w:rPr/>
              <w:t>   </w:t>
            </w:r>
            <w:r>
              <w:rPr>
                <w:rFonts w:ascii="Times New Roman" w:hAnsi="Times New Roman"/>
                <w:sz w:val="24"/>
              </w:rPr>
              <w:t>Danshui</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Capacitors, Inductors, and 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446,000</w:t>
            </w:r>
          </w:p>
        </w:tc>
      </w:tr>
      <w:tr>
        <w:trPr/>
        <w:tc>
          <w:tcPr>
            <w:tcW w:w="3860"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Shanghai</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MOSFETs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300,000</w:t>
            </w:r>
          </w:p>
        </w:tc>
      </w:tr>
      <w:tr>
        <w:trPr/>
        <w:tc>
          <w:tcPr>
            <w:tcW w:w="3860" w:type="dxa"/>
            <w:tcBorders/>
            <w:vAlign w:val="center"/>
          </w:tcPr>
          <w:p>
            <w:pPr>
              <w:pStyle w:val="TableContents"/>
              <w:bidi w:val="0"/>
              <w:spacing w:before="0" w:after="0"/>
              <w:ind w:left="144" w:right="0" w:hanging="144"/>
              <w:jc w:val="left"/>
              <w:rPr/>
            </w:pPr>
            <w:r>
              <w:rPr/>
              <w:t>   </w:t>
            </w:r>
            <w:r>
              <w:rPr>
                <w:rFonts w:ascii="Times New Roman" w:hAnsi="Times New Roman"/>
                <w:sz w:val="24"/>
              </w:rPr>
              <w:t>Shatian</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Capacitors and 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218,000</w:t>
            </w:r>
          </w:p>
        </w:tc>
      </w:tr>
      <w:tr>
        <w:trPr/>
        <w:tc>
          <w:tcPr>
            <w:tcW w:w="3860"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Zhuhai</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179,000</w:t>
            </w:r>
          </w:p>
        </w:tc>
      </w:tr>
      <w:tr>
        <w:trPr/>
        <w:tc>
          <w:tcPr>
            <w:tcW w:w="3860" w:type="dxa"/>
            <w:tcBorders/>
            <w:vAlign w:val="center"/>
          </w:tcPr>
          <w:p>
            <w:pPr>
              <w:pStyle w:val="TableContents"/>
              <w:bidi w:val="0"/>
              <w:spacing w:before="0" w:after="0"/>
              <w:ind w:left="144" w:right="0" w:hanging="144"/>
              <w:jc w:val="left"/>
              <w:rPr/>
            </w:pPr>
            <w:r>
              <w:rPr/>
              <w:t>   </w:t>
            </w:r>
            <w:r>
              <w:rPr>
                <w:rFonts w:ascii="Times New Roman" w:hAnsi="Times New Roman"/>
                <w:sz w:val="24"/>
              </w:rPr>
              <w:t>Long Xi</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36,000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Santo Domingo, Dominican Republic</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44,000</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Germany</w:t>
            </w:r>
          </w:p>
        </w:tc>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Itzehoe</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MOSFETs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217,000</w:t>
            </w:r>
          </w:p>
        </w:tc>
      </w:tr>
      <w:tr>
        <w:trPr/>
        <w:tc>
          <w:tcPr>
            <w:tcW w:w="3860" w:type="dxa"/>
            <w:tcBorders/>
            <w:vAlign w:val="center"/>
          </w:tcPr>
          <w:p>
            <w:pPr>
              <w:pStyle w:val="TableContents"/>
              <w:bidi w:val="0"/>
              <w:spacing w:before="0" w:after="0"/>
              <w:ind w:left="144" w:right="0" w:hanging="144"/>
              <w:jc w:val="left"/>
              <w:rPr/>
            </w:pPr>
            <w:r>
              <w:rPr/>
              <w:t>   </w:t>
            </w:r>
            <w:r>
              <w:rPr>
                <w:rFonts w:ascii="Times New Roman" w:hAnsi="Times New Roman"/>
                <w:sz w:val="24"/>
              </w:rPr>
              <w:t>Heilbronn</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Diodes and Optoelectronic Components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163,000</w:t>
            </w:r>
          </w:p>
        </w:tc>
      </w:tr>
      <w:tr>
        <w:trPr/>
        <w:tc>
          <w:tcPr>
            <w:tcW w:w="3860" w:type="dxa"/>
            <w:tcBorders/>
            <w:shd w:fill="CCEEFF" w:val="clear"/>
            <w:vAlign w:val="center"/>
          </w:tcPr>
          <w:p>
            <w:pPr>
              <w:pStyle w:val="TableContents"/>
              <w:bidi w:val="0"/>
              <w:spacing w:before="0" w:after="0"/>
              <w:ind w:left="144" w:right="0" w:hanging="144"/>
              <w:jc w:val="left"/>
              <w:rPr/>
            </w:pPr>
            <w:r>
              <w:rPr/>
              <w:t>   </w:t>
            </w:r>
            <w:r>
              <w:rPr>
                <w:rFonts w:ascii="Times New Roman" w:hAnsi="Times New Roman"/>
                <w:sz w:val="24"/>
              </w:rPr>
              <w:t>Selb</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Capacitors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47,000</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Mumbai, India</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34,000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Mexico</w:t>
            </w:r>
          </w:p>
        </w:tc>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xml:space="preserve">   </w:t>
            </w:r>
            <w:r>
              <w:rPr>
                <w:sz w:val="24"/>
              </w:rPr>
              <w:t>Juarez</w:t>
            </w:r>
          </w:p>
        </w:tc>
        <w:tc>
          <w:tcPr>
            <w:tcW w:w="3815" w:type="dxa"/>
            <w:tcBorders/>
            <w:vAlign w:val="center"/>
          </w:tcPr>
          <w:p>
            <w:pPr>
              <w:pStyle w:val="TableContents"/>
              <w:bidi w:val="0"/>
              <w:spacing w:before="0" w:after="283"/>
              <w:jc w:val="left"/>
              <w:rPr>
                <w:sz w:val="24"/>
              </w:rPr>
            </w:pPr>
            <w:r>
              <w:rPr>
                <w:sz w:val="24"/>
              </w:rPr>
              <w:t>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right"/>
              <w:rPr/>
            </w:pPr>
            <w:r>
              <w:rPr/>
              <w:t> </w:t>
            </w:r>
            <w:r>
              <w:rPr>
                <w:sz w:val="24"/>
              </w:rPr>
              <w:t>314,000</w:t>
            </w:r>
          </w:p>
        </w:tc>
      </w:tr>
      <w:tr>
        <w:trPr/>
        <w:tc>
          <w:tcPr>
            <w:tcW w:w="3860" w:type="dxa"/>
            <w:tcBorders/>
            <w:shd w:fill="CCEEFF" w:val="clear"/>
            <w:vAlign w:val="center"/>
          </w:tcPr>
          <w:p>
            <w:pPr>
              <w:pStyle w:val="TableContents"/>
              <w:bidi w:val="0"/>
              <w:spacing w:before="0" w:after="0"/>
              <w:ind w:left="144" w:right="0" w:hanging="144"/>
              <w:jc w:val="left"/>
              <w:rPr/>
            </w:pPr>
            <w:r>
              <w:rPr/>
              <w:t xml:space="preserve">   </w:t>
            </w:r>
            <w:r>
              <w:rPr>
                <w:rFonts w:ascii="Times New Roman" w:hAnsi="Times New Roman"/>
                <w:sz w:val="24"/>
              </w:rPr>
              <w:t>Durango</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Inductors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200,000</w:t>
            </w:r>
          </w:p>
        </w:tc>
      </w:tr>
      <w:tr>
        <w:trPr/>
        <w:tc>
          <w:tcPr>
            <w:tcW w:w="3860" w:type="dxa"/>
            <w:tcBorders/>
            <w:vAlign w:val="center"/>
          </w:tcPr>
          <w:p>
            <w:pPr>
              <w:pStyle w:val="TableContents"/>
              <w:bidi w:val="0"/>
              <w:spacing w:before="0" w:after="0"/>
              <w:ind w:left="144" w:right="0" w:hanging="144"/>
              <w:jc w:val="left"/>
              <w:rPr/>
            </w:pPr>
            <w:r>
              <w:rPr/>
              <w:t>   </w:t>
            </w:r>
            <w:r>
              <w:rPr>
                <w:rFonts w:ascii="Times New Roman" w:hAnsi="Times New Roman"/>
                <w:sz w:val="24"/>
              </w:rPr>
              <w:t>Mexicali</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Resistors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15,000</w:t>
            </w:r>
          </w:p>
        </w:tc>
      </w:tr>
      <w:tr>
        <w:trPr/>
        <w:tc>
          <w:tcPr>
            <w:tcW w:w="3860" w:type="dxa"/>
            <w:tcBorders/>
            <w:shd w:fill="CCEEFF" w:val="clear"/>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Manila, Philippines</w:t>
            </w:r>
          </w:p>
        </w:tc>
        <w:tc>
          <w:tcPr>
            <w:tcW w:w="38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Optoelectronic Components</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149,000</w:t>
            </w:r>
          </w:p>
        </w:tc>
      </w:tr>
      <w:tr>
        <w:trPr/>
        <w:tc>
          <w:tcPr>
            <w:tcW w:w="3860" w:type="dxa"/>
            <w:tcBorders/>
            <w:vAlign w:val="center"/>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Kaohsiung, Republic of China (Taiwan)</w:t>
            </w:r>
          </w:p>
        </w:tc>
        <w:tc>
          <w:tcPr>
            <w:tcW w:w="38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Diodes</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130,000</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bookmarkStart w:id="11" w:name="Item3"/>
      <w:bookmarkEnd w:id="11"/>
      <w:r>
        <w:rPr>
          <w:rFonts w:ascii="Times New Roman;Times;serif" w:hAnsi="Times New Roman;Times;serif"/>
          <w:b/>
          <w:color w:val="000000"/>
          <w:sz w:val="24"/>
          <w:u w:val="single"/>
          <w:shd w:fill="FFFFFF" w:val="clear"/>
        </w:rPr>
        <w:t>Item 3.</w:t>
      </w:r>
      <w:r>
        <w:rPr>
          <w:rFonts w:ascii="Times New Roman" w:hAnsi="Times New Roman"/>
          <w:color w:val="000000"/>
          <w:sz w:val="20"/>
          <w:shd w:fill="FFFFFF" w:val="clear"/>
        </w:rPr>
        <w:t xml:space="preserve"> </w:t>
      </w:r>
      <w:r>
        <w:rPr>
          <w:rFonts w:ascii="Times New Roman;Times;serif" w:hAnsi="Times New Roman;Times;serif"/>
          <w:b/>
          <w:color w:val="000000"/>
          <w:sz w:val="24"/>
          <w:u w:val="single"/>
          <w:shd w:fill="FFFFFF" w:val="clear"/>
        </w:rPr>
        <w:t>LEGAL PROCEEDINGS</w:t>
      </w:r>
    </w:p>
    <w:p>
      <w:pPr>
        <w:pStyle w:val="TextBody"/>
        <w:bidi w:val="0"/>
        <w:spacing w:before="0" w:after="0"/>
        <w:jc w:val="both"/>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From time to time we are involved in routine litigation incidental to our business. Management believes that such matters, either individually or in the aggregate, should not have a material adverse effect on our business or financial condition.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Intellectual Property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engaged in discussions with various parties regarding patent licensing and cross patent licensing issues. In addition, we have observed that in the current business environment, electronic component and semiconductor companies have become more aggressive in asserting and defending patent claims against competitors.  When we believe other companies are misappropriating our intellectual property rights, we vigorously enforce those rights through legal action, and we intend to continue to do so.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Environmental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is involved in environmental remediation programs at various sites currently or formerly owned by Vishay and its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also Note 13 to our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Vishay GSI, Inc. (“VGSI”), a wholly owned subsidiary of the Company, is a direct defendant in two separate, but related, litigation matters: (1) </w:t>
      </w:r>
      <w:r>
        <w:rPr>
          <w:rFonts w:ascii="Times New Roman" w:hAnsi="Times New Roman"/>
          <w:i/>
          <w:color w:val="000000"/>
          <w:sz w:val="24"/>
          <w:shd w:fill="FFFFFF" w:val="clear"/>
        </w:rPr>
        <w:t>101 Frost Street Associates, L.P. v. United States Department of Energy et al</w:t>
      </w:r>
      <w:r>
        <w:rPr>
          <w:rFonts w:ascii="Times New Roman" w:hAnsi="Times New Roman"/>
          <w:color w:val="000000"/>
          <w:sz w:val="24"/>
          <w:shd w:fill="FFFFFF" w:val="clear"/>
        </w:rPr>
        <w:t>.; and (2) </w:t>
      </w:r>
      <w:r>
        <w:rPr>
          <w:rFonts w:ascii="Times New Roman" w:hAnsi="Times New Roman"/>
          <w:i/>
          <w:color w:val="000000"/>
          <w:sz w:val="24"/>
          <w:shd w:fill="FFFFFF" w:val="clear"/>
        </w:rPr>
        <w:t>Hicksville Water District v. United States Department of Energy, et al</w:t>
      </w:r>
      <w:r>
        <w:rPr>
          <w:rFonts w:ascii="Times New Roman" w:hAnsi="Times New Roman"/>
          <w:color w:val="000000"/>
          <w:sz w:val="24"/>
          <w:shd w:fill="FFFFFF" w:val="clear"/>
        </w:rPr>
        <w:t>.  VGSI was also a third-party defendant in a third related matter, </w:t>
      </w:r>
      <w:r>
        <w:rPr>
          <w:rFonts w:ascii="Times New Roman" w:hAnsi="Times New Roman"/>
          <w:i/>
          <w:color w:val="000000"/>
          <w:sz w:val="24"/>
          <w:shd w:fill="FFFFFF" w:val="clear"/>
        </w:rPr>
        <w:t>United States v Island Transportation Corp. et al.</w:t>
      </w:r>
      <w:r>
        <w:rPr>
          <w:rFonts w:ascii="Times New Roman" w:hAnsi="Times New Roman"/>
          <w:color w:val="000000"/>
          <w:sz w:val="24"/>
          <w:shd w:fill="FFFFFF" w:val="clear"/>
        </w:rPr>
        <w:t xml:space="preserve">  </w:t>
      </w:r>
      <w:r>
        <w:rPr>
          <w:rFonts w:ascii="Times New Roman;Times;serif" w:hAnsi="Times New Roman;Times;serif"/>
          <w:b w:val="false"/>
          <w:i w:val="false"/>
          <w:caps w:val="false"/>
          <w:smallCaps w:val="false"/>
          <w:color w:val="000000"/>
          <w:spacing w:val="0"/>
          <w:sz w:val="24"/>
          <w:shd w:fill="FFFFFF" w:val="clear"/>
        </w:rPr>
        <w:t xml:space="preserve">On September 12, 2022, the United States District Court for the Eastern District of New York dismissed all third-party complaints commenced by Island Transportation Corp. against nineteen third-party defendants including VGSI.  </w:t>
      </w:r>
      <w:r>
        <w:rPr>
          <w:rFonts w:ascii="Times New Roman" w:hAnsi="Times New Roman"/>
          <w:color w:val="000000"/>
          <w:sz w:val="24"/>
          <w:shd w:fill="FFFFFF" w:val="clear"/>
        </w:rPr>
        <w:t>The two remaining cases are pending in the United States District Court for the Eastern District of New York.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two remaining cases contain claims for recovery of response costs under the Comprehensive Environmental Response, Compensation and Liability Act (“CERCLA”), and allege that a predecessor’s manufacturing operations in Hicksville, New York (the “Site”), between 1960 and 1993, impacted groundwater beneath and downgradient of the Site.  The groundwater beneath and downgradient of the Site is part of the New Cassel/Hicksville Groundwater Contamination Site, which was added to the National Priorities List pursuant to CERCLA on September 15, 2011.  The Company is vigorously contesting plaintiff’s claims and will aggressively prosecute its affirmative claims.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Times;serif" w:hAnsi="Times New Roman;Times;serif"/>
          <w:b w:val="false"/>
          <w:i w:val="false"/>
          <w:caps w:val="false"/>
          <w:smallCaps w:val="false"/>
          <w:color w:val="000000"/>
          <w:spacing w:val="0"/>
          <w:sz w:val="24"/>
          <w:shd w:fill="FFFFFF" w:val="clear"/>
        </w:rPr>
        <w:t>VGSI was served in August 2023 with a complaint brought by the Hicksville Water District against multiple defendants.  The matter, </w:t>
      </w:r>
      <w:r>
        <w:rPr>
          <w:rFonts w:ascii="Times New Roman;Times;serif" w:hAnsi="Times New Roman;Times;serif"/>
          <w:b w:val="false"/>
          <w:color w:val="000000"/>
          <w:spacing w:val="0"/>
          <w:sz w:val="24"/>
          <w:shd w:fill="FFFFFF" w:val="clear"/>
        </w:rPr>
        <w:t>Hicksville Water District v.</w:t>
      </w:r>
      <w:r>
        <w:rPr>
          <w:rFonts w:ascii="Times New Roman" w:hAnsi="Times New Roman"/>
          <w:caps w:val="false"/>
          <w:smallCaps w:val="false"/>
          <w:color w:val="000000"/>
          <w:spacing w:val="0"/>
          <w:sz w:val="24"/>
          <w:shd w:fill="FFFFFF" w:val="clear"/>
        </w:rPr>
        <w:t> </w:t>
      </w:r>
      <w:r>
        <w:rPr>
          <w:rFonts w:ascii="Times New Roman;Times;serif" w:hAnsi="Times New Roman;Times;serif"/>
          <w:b w:val="false"/>
          <w:color w:val="000000"/>
          <w:spacing w:val="0"/>
          <w:sz w:val="24"/>
          <w:shd w:fill="FFFFFF" w:val="clear"/>
        </w:rPr>
        <w:t>Alsy Manufacturing, Inc., </w:t>
      </w:r>
      <w:r>
        <w:rPr>
          <w:rFonts w:ascii="Times New Roman;Times;serif" w:hAnsi="Times New Roman;Times;serif"/>
          <w:b w:val="false"/>
          <w:i w:val="false"/>
          <w:caps w:val="false"/>
          <w:smallCaps w:val="false"/>
          <w:color w:val="000000"/>
          <w:spacing w:val="0"/>
          <w:sz w:val="24"/>
          <w:shd w:fill="FFFFFF" w:val="clear"/>
        </w:rPr>
        <w:t>is pending in the Supreme Court of the State of New York, County of Nassau.  As with two other previously reported cases pending in the United States District Court for the Eastern District of New York, the newest case contains claims for recovery of response costs under CERCLA, and alleges that a predecessor’s manufacturing operations in the Site, between 1960 and 1993, impacted groundwater beneath and downgradient of the Site.  VGSI is vigorously contesting plaintiff’s claims and will aggressively prosecute its affirmative claims.</w:t>
      </w:r>
      <w:r>
        <w:rPr>
          <w:rFonts w:ascii="Times New Roman" w:hAnsi="Times New Roman"/>
          <w:color w:val="000000"/>
          <w:sz w:val="24"/>
          <w:shd w:fill="FFFFFF" w:val="clear"/>
        </w:rPr>
        <w:t xml:space="preserve"> </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On August 31, 2023, Vishay was notified by the U.S. Environmental Protection Agency ("EPA") of potential violations of the Resource Conservation and Recovery Act and the Solid Waste Disposal Act.  The alleged violations relate to the handling, storage, inspection, and labeling of hazardous waste at Vishay's facility located in Columbus, Nebraska.  Vishay has reached an agreement with the EPA, subject to execution of and finalization of the Consent Agreement, including the filing and ratification of the Consent Agreement, including the filing and ratification of the Consent Agreement by the Regional Hearing Clerk for EPA, Region 7, to settle this matter for a civil penalty of </w:t>
      </w:r>
      <w:r>
        <w:rPr>
          <w:rFonts w:ascii="Times New Roman;Times;serif" w:hAnsi="Times New Roman;Times;serif"/>
          <w:b w:val="false"/>
          <w:i w:val="false"/>
          <w:caps w:val="false"/>
          <w:smallCaps w:val="false"/>
          <w:color w:val="000000"/>
          <w:spacing w:val="0"/>
          <w:sz w:val="24"/>
          <w:shd w:fill="FFFFFF" w:val="clear"/>
        </w:rPr>
        <w:t>$387,000 and committing to submit quarterly compliance reports to the EPA for one year.  Vishay admits no violation of any law or regulation under the agreement.  The Company does not expect the matter or its settlement as proposed to have a material effect on its financial condition or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bookmarkStart w:id="12" w:name="Item4"/>
      <w:bookmarkEnd w:id="12"/>
      <w:r>
        <w:rPr>
          <w:rFonts w:ascii="Times New Roman" w:hAnsi="Times New Roman"/>
          <w:b/>
          <w:color w:val="000000"/>
          <w:sz w:val="24"/>
          <w:u w:val="single"/>
          <w:shd w:fill="FFFFFF" w:val="clear"/>
        </w:rPr>
        <w:t>Item 4.</w:t>
      </w:r>
      <w:r>
        <w:rPr>
          <w:rFonts w:ascii="Times New Roman" w:hAnsi="Times New Roman"/>
          <w:color w:val="000000"/>
          <w:sz w:val="20"/>
          <w:shd w:fill="FFFFFF" w:val="clear"/>
        </w:rPr>
        <w:t xml:space="preserve"> </w:t>
      </w:r>
      <w:r>
        <w:rPr>
          <w:rFonts w:ascii="Times New Roman" w:hAnsi="Times New Roman"/>
          <w:b/>
          <w:color w:val="000000"/>
          <w:sz w:val="24"/>
          <w:u w:val="single"/>
          <w:shd w:fill="FFFFFF" w:val="clear"/>
        </w:rPr>
        <w:t>MINE SAFETY DISCLOSURES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187" w:right="1080" w:hanging="187"/>
        <w:jc w:val="both"/>
        <w:rPr>
          <w:rFonts w:ascii="Times New Roman" w:hAnsi="Times New Roman"/>
          <w:color w:val="000000"/>
          <w:sz w:val="24"/>
          <w:shd w:fill="FFFFFF" w:val="clear"/>
        </w:rPr>
      </w:pPr>
      <w:r>
        <w:rPr>
          <w:rFonts w:ascii="Times New Roman" w:hAnsi="Times New Roman"/>
          <w:color w:val="000000"/>
          <w:sz w:val="24"/>
          <w:shd w:fill="FFFFFF" w:val="clear"/>
        </w:rPr>
        <w:t>None.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INFORMATION ABOUT OUR EXECUTIVE OFFICERS</w:t>
      </w:r>
    </w:p>
    <w:p>
      <w:pPr>
        <w:pStyle w:val="TextBody"/>
        <w:bidi w:val="0"/>
        <w:spacing w:before="0" w:after="0"/>
        <w:jc w:val="both"/>
        <w:rPr>
          <w:rFonts w:ascii="Times New Roman" w:hAnsi="Times New Roman"/>
          <w:sz w:val="24"/>
        </w:rPr>
      </w:pPr>
      <w:r>
        <w:rPr>
          <w:rFonts w:ascii="Times New Roman" w:hAnsi="Times New Roman"/>
          <w:sz w:val="24"/>
        </w:rPr>
      </w:r>
      <w:bookmarkStart w:id="13" w:name="Execs"/>
      <w:bookmarkStart w:id="14" w:name="Execs"/>
      <w:bookmarkEnd w:id="14"/>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certain information regarding our executive officers as of February 16, 2024:</w:t>
      </w:r>
    </w:p>
    <w:p>
      <w:pPr>
        <w:pStyle w:val="TextBody"/>
        <w:bidi w:val="0"/>
        <w:spacing w:before="0" w:after="0"/>
        <w:jc w:val="left"/>
        <w:rPr>
          <w:rFonts w:ascii="Times New Roman" w:hAnsi="Times New Roman"/>
          <w:sz w:val="24"/>
        </w:rPr>
      </w:pPr>
      <w:r>
        <w:rPr>
          <w:rFonts w:ascii="Times New Roman" w:hAnsi="Times New Roman"/>
          <w:sz w:val="24"/>
        </w:rPr>
      </w:r>
    </w:p>
    <w:tbl>
      <w:tblPr>
        <w:tblW w:w="10205" w:type="dxa"/>
        <w:jc w:val="left"/>
        <w:tblInd w:w="0" w:type="dxa"/>
        <w:tblLayout w:type="fixed"/>
        <w:tblCellMar>
          <w:top w:w="0" w:type="dxa"/>
          <w:left w:w="0" w:type="dxa"/>
          <w:bottom w:w="0" w:type="dxa"/>
          <w:right w:w="0" w:type="dxa"/>
        </w:tblCellMar>
      </w:tblPr>
      <w:tblGrid>
        <w:gridCol w:w="1679"/>
        <w:gridCol w:w="425"/>
        <w:gridCol w:w="60"/>
        <w:gridCol w:w="8041"/>
      </w:tblGrid>
      <w:tr>
        <w:trPr/>
        <w:tc>
          <w:tcPr>
            <w:tcW w:w="1679" w:type="dxa"/>
            <w:tcBorders/>
            <w:vAlign w:val="center"/>
          </w:tcPr>
          <w:p>
            <w:pPr>
              <w:pStyle w:val="TableContents"/>
              <w:bidi w:val="0"/>
              <w:spacing w:before="0" w:after="0"/>
              <w:jc w:val="left"/>
              <w:rPr>
                <w:rFonts w:ascii="Times New Roman" w:hAnsi="Times New Roman"/>
                <w:b/>
                <w:sz w:val="24"/>
                <w:u w:val="single"/>
              </w:rPr>
            </w:pPr>
            <w:r>
              <w:rPr>
                <w:rFonts w:ascii="Times New Roman" w:hAnsi="Times New Roman"/>
                <w:b/>
                <w:sz w:val="24"/>
                <w:u w:val="single"/>
              </w:rPr>
              <w:t>Name</w:t>
            </w:r>
          </w:p>
        </w:tc>
        <w:tc>
          <w:tcPr>
            <w:tcW w:w="425" w:type="dxa"/>
            <w:tcBorders/>
            <w:vAlign w:val="center"/>
          </w:tcPr>
          <w:p>
            <w:pPr>
              <w:pStyle w:val="TableContents"/>
              <w:bidi w:val="0"/>
              <w:spacing w:before="0" w:after="0"/>
              <w:jc w:val="left"/>
              <w:rPr>
                <w:rFonts w:ascii="Times New Roman" w:hAnsi="Times New Roman"/>
                <w:b/>
                <w:sz w:val="24"/>
                <w:u w:val="single"/>
              </w:rPr>
            </w:pPr>
            <w:r>
              <w:rPr>
                <w:rFonts w:ascii="Times New Roman" w:hAnsi="Times New Roman"/>
                <w:b/>
                <w:sz w:val="24"/>
                <w:u w:val="single"/>
              </w:rPr>
              <w:t>Age</w:t>
            </w:r>
          </w:p>
        </w:tc>
        <w:tc>
          <w:tcPr>
            <w:tcW w:w="60" w:type="dxa"/>
            <w:tcBorders/>
            <w:vAlign w:val="center"/>
          </w:tcPr>
          <w:p>
            <w:pPr>
              <w:pStyle w:val="TableContents"/>
              <w:bidi w:val="0"/>
              <w:spacing w:before="0" w:after="283"/>
              <w:jc w:val="left"/>
              <w:rPr/>
            </w:pPr>
            <w:r>
              <w:rPr/>
              <w:t> </w:t>
            </w:r>
          </w:p>
        </w:tc>
        <w:tc>
          <w:tcPr>
            <w:tcW w:w="8041" w:type="dxa"/>
            <w:tcBorders/>
            <w:vAlign w:val="center"/>
          </w:tcPr>
          <w:p>
            <w:pPr>
              <w:pStyle w:val="TableContents"/>
              <w:bidi w:val="0"/>
              <w:spacing w:before="0" w:after="0"/>
              <w:ind w:left="42" w:right="0" w:hanging="42"/>
              <w:jc w:val="left"/>
              <w:rPr>
                <w:rFonts w:ascii="Times New Roman" w:hAnsi="Times New Roman"/>
                <w:b/>
                <w:sz w:val="24"/>
                <w:u w:val="single"/>
              </w:rPr>
            </w:pPr>
            <w:r>
              <w:rPr>
                <w:rFonts w:ascii="Times New Roman" w:hAnsi="Times New Roman"/>
                <w:b/>
                <w:sz w:val="24"/>
                <w:u w:val="single"/>
              </w:rPr>
              <w:t>Positions Held</w:t>
            </w:r>
          </w:p>
        </w:tc>
      </w:tr>
      <w:tr>
        <w:trPr/>
        <w:tc>
          <w:tcPr>
            <w:tcW w:w="1679"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Marc Zandman*</w:t>
            </w:r>
          </w:p>
        </w:tc>
        <w:tc>
          <w:tcPr>
            <w:tcW w:w="42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62</w:t>
            </w:r>
          </w:p>
        </w:tc>
        <w:tc>
          <w:tcPr>
            <w:tcW w:w="60" w:type="dxa"/>
            <w:tcBorders/>
            <w:shd w:fill="CCEEFF" w:val="clear"/>
            <w:vAlign w:val="center"/>
          </w:tcPr>
          <w:p>
            <w:pPr>
              <w:pStyle w:val="TableContents"/>
              <w:bidi w:val="0"/>
              <w:spacing w:before="0" w:after="283"/>
              <w:jc w:val="left"/>
              <w:rPr/>
            </w:pPr>
            <w:r>
              <w:rPr/>
              <w:t> </w:t>
            </w:r>
          </w:p>
        </w:tc>
        <w:tc>
          <w:tcPr>
            <w:tcW w:w="8041" w:type="dxa"/>
            <w:tcBorders/>
            <w:shd w:fill="CCEEFF" w:val="clear"/>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Executive Chairman of the Board, Chief Business Development Officer, and President, Vishay Israel Ltd.</w:t>
            </w:r>
          </w:p>
        </w:tc>
      </w:tr>
      <w:tr>
        <w:trPr/>
        <w:tc>
          <w:tcPr>
            <w:tcW w:w="1679"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Joel Smejkal*</w:t>
            </w:r>
          </w:p>
        </w:tc>
        <w:tc>
          <w:tcPr>
            <w:tcW w:w="4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57</w:t>
            </w:r>
          </w:p>
        </w:tc>
        <w:tc>
          <w:tcPr>
            <w:tcW w:w="60" w:type="dxa"/>
            <w:tcBorders/>
            <w:vAlign w:val="center"/>
          </w:tcPr>
          <w:p>
            <w:pPr>
              <w:pStyle w:val="TableContents"/>
              <w:bidi w:val="0"/>
              <w:spacing w:before="0" w:after="283"/>
              <w:jc w:val="left"/>
              <w:rPr/>
            </w:pPr>
            <w:r>
              <w:rPr/>
              <w:t> </w:t>
            </w:r>
          </w:p>
        </w:tc>
        <w:tc>
          <w:tcPr>
            <w:tcW w:w="8041" w:type="dxa"/>
            <w:tcBorders/>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Chief Executive Officer, President, and Director</w:t>
            </w:r>
          </w:p>
        </w:tc>
      </w:tr>
      <w:tr>
        <w:trPr/>
        <w:tc>
          <w:tcPr>
            <w:tcW w:w="1679"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Lori Lipcaman</w:t>
            </w:r>
          </w:p>
        </w:tc>
        <w:tc>
          <w:tcPr>
            <w:tcW w:w="42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66</w:t>
            </w:r>
          </w:p>
        </w:tc>
        <w:tc>
          <w:tcPr>
            <w:tcW w:w="60" w:type="dxa"/>
            <w:tcBorders/>
            <w:shd w:fill="CCEEFF" w:val="clear"/>
            <w:vAlign w:val="center"/>
          </w:tcPr>
          <w:p>
            <w:pPr>
              <w:pStyle w:val="TableContents"/>
              <w:bidi w:val="0"/>
              <w:spacing w:before="0" w:after="283"/>
              <w:jc w:val="left"/>
              <w:rPr/>
            </w:pPr>
            <w:r>
              <w:rPr/>
              <w:t> </w:t>
            </w:r>
          </w:p>
        </w:tc>
        <w:tc>
          <w:tcPr>
            <w:tcW w:w="8041" w:type="dxa"/>
            <w:tcBorders/>
            <w:shd w:fill="CCEEFF" w:val="clear"/>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Executive Vice President and Chief Financial Officer</w:t>
            </w:r>
          </w:p>
        </w:tc>
      </w:tr>
      <w:tr>
        <w:trPr/>
        <w:tc>
          <w:tcPr>
            <w:tcW w:w="1679" w:type="dxa"/>
            <w:tcBorders/>
            <w:vAlign w:val="center"/>
          </w:tcPr>
          <w:p>
            <w:pPr>
              <w:pStyle w:val="TableContents"/>
              <w:bidi w:val="0"/>
              <w:spacing w:before="0" w:after="283"/>
              <w:jc w:val="left"/>
              <w:rPr>
                <w:sz w:val="24"/>
              </w:rPr>
            </w:pPr>
            <w:r>
              <w:rPr>
                <w:sz w:val="24"/>
              </w:rPr>
              <w:t>Jeff Webster</w:t>
            </w:r>
          </w:p>
        </w:tc>
        <w:tc>
          <w:tcPr>
            <w:tcW w:w="425" w:type="dxa"/>
            <w:tcBorders/>
            <w:vAlign w:val="center"/>
          </w:tcPr>
          <w:p>
            <w:pPr>
              <w:pStyle w:val="TableContents"/>
              <w:bidi w:val="0"/>
              <w:spacing w:before="0" w:after="283"/>
              <w:jc w:val="left"/>
              <w:rPr>
                <w:sz w:val="24"/>
              </w:rPr>
            </w:pPr>
            <w:r>
              <w:rPr>
                <w:sz w:val="24"/>
              </w:rPr>
              <w:t xml:space="preserve">53 </w:t>
            </w:r>
          </w:p>
        </w:tc>
        <w:tc>
          <w:tcPr>
            <w:tcW w:w="60" w:type="dxa"/>
            <w:tcBorders/>
            <w:vAlign w:val="center"/>
          </w:tcPr>
          <w:p>
            <w:pPr>
              <w:pStyle w:val="TableContents"/>
              <w:bidi w:val="0"/>
              <w:spacing w:before="0" w:after="283"/>
              <w:jc w:val="left"/>
              <w:rPr/>
            </w:pPr>
            <w:r>
              <w:rPr/>
              <w:t> </w:t>
            </w:r>
          </w:p>
        </w:tc>
        <w:tc>
          <w:tcPr>
            <w:tcW w:w="8041" w:type="dxa"/>
            <w:tcBorders/>
            <w:vAlign w:val="center"/>
          </w:tcPr>
          <w:p>
            <w:pPr>
              <w:pStyle w:val="TableContents"/>
              <w:bidi w:val="0"/>
              <w:spacing w:before="0" w:after="283"/>
              <w:jc w:val="left"/>
              <w:rPr>
                <w:sz w:val="24"/>
              </w:rPr>
            </w:pPr>
            <w:r>
              <w:rPr>
                <w:sz w:val="24"/>
              </w:rPr>
              <w:t xml:space="preserve">Executive Vice President - Chief Operating Officer </w:t>
            </w:r>
          </w:p>
        </w:tc>
      </w:tr>
      <w:tr>
        <w:trPr/>
        <w:tc>
          <w:tcPr>
            <w:tcW w:w="1679"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Roy Shoshani</w:t>
            </w:r>
          </w:p>
        </w:tc>
        <w:tc>
          <w:tcPr>
            <w:tcW w:w="42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50</w:t>
            </w:r>
          </w:p>
        </w:tc>
        <w:tc>
          <w:tcPr>
            <w:tcW w:w="60" w:type="dxa"/>
            <w:tcBorders/>
            <w:shd w:fill="CCEEFF" w:val="clear"/>
            <w:vAlign w:val="center"/>
          </w:tcPr>
          <w:p>
            <w:pPr>
              <w:pStyle w:val="TableContents"/>
              <w:bidi w:val="0"/>
              <w:spacing w:before="0" w:after="283"/>
              <w:jc w:val="left"/>
              <w:rPr/>
            </w:pPr>
            <w:r>
              <w:rPr/>
              <w:t> </w:t>
            </w:r>
          </w:p>
        </w:tc>
        <w:tc>
          <w:tcPr>
            <w:tcW w:w="8041" w:type="dxa"/>
            <w:tcBorders/>
            <w:shd w:fill="CCEEFF" w:val="clear"/>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Executive Vice President - Chief Technical Officer</w:t>
            </w:r>
          </w:p>
        </w:tc>
      </w:tr>
      <w:tr>
        <w:trPr/>
        <w:tc>
          <w:tcPr>
            <w:tcW w:w="1679"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Peter Henrici</w:t>
            </w:r>
          </w:p>
        </w:tc>
        <w:tc>
          <w:tcPr>
            <w:tcW w:w="4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68</w:t>
            </w:r>
          </w:p>
        </w:tc>
        <w:tc>
          <w:tcPr>
            <w:tcW w:w="60" w:type="dxa"/>
            <w:tcBorders/>
            <w:vAlign w:val="center"/>
          </w:tcPr>
          <w:p>
            <w:pPr>
              <w:pStyle w:val="TableContents"/>
              <w:bidi w:val="0"/>
              <w:spacing w:before="0" w:after="283"/>
              <w:jc w:val="left"/>
              <w:rPr/>
            </w:pPr>
            <w:r>
              <w:rPr/>
              <w:t> </w:t>
            </w:r>
          </w:p>
        </w:tc>
        <w:tc>
          <w:tcPr>
            <w:tcW w:w="8041" w:type="dxa"/>
            <w:tcBorders/>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Executive Vice President - Corporate Development</w:t>
            </w:r>
          </w:p>
        </w:tc>
      </w:tr>
      <w:tr>
        <w:trPr/>
        <w:tc>
          <w:tcPr>
            <w:tcW w:w="1679"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Michael O'Sullivan</w:t>
            </w:r>
          </w:p>
        </w:tc>
        <w:tc>
          <w:tcPr>
            <w:tcW w:w="42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49</w:t>
            </w:r>
          </w:p>
        </w:tc>
        <w:tc>
          <w:tcPr>
            <w:tcW w:w="60" w:type="dxa"/>
            <w:tcBorders/>
            <w:shd w:fill="CCEEFF" w:val="clear"/>
            <w:vAlign w:val="center"/>
          </w:tcPr>
          <w:p>
            <w:pPr>
              <w:pStyle w:val="TableContents"/>
              <w:bidi w:val="0"/>
              <w:spacing w:before="0" w:after="283"/>
              <w:jc w:val="left"/>
              <w:rPr/>
            </w:pPr>
            <w:r>
              <w:rPr/>
              <w:t> </w:t>
            </w:r>
          </w:p>
        </w:tc>
        <w:tc>
          <w:tcPr>
            <w:tcW w:w="8041" w:type="dxa"/>
            <w:tcBorders/>
            <w:shd w:fill="CCEEFF" w:val="clear"/>
            <w:vAlign w:val="center"/>
          </w:tcPr>
          <w:p>
            <w:pPr>
              <w:pStyle w:val="TableContents"/>
              <w:bidi w:val="0"/>
              <w:spacing w:before="0" w:after="0"/>
              <w:ind w:left="282" w:right="0" w:hanging="282"/>
              <w:jc w:val="left"/>
              <w:rPr>
                <w:rFonts w:ascii="Times New Roman" w:hAnsi="Times New Roman"/>
                <w:sz w:val="24"/>
              </w:rPr>
            </w:pPr>
            <w:r>
              <w:rPr>
                <w:rFonts w:ascii="Times New Roman" w:hAnsi="Times New Roman"/>
                <w:sz w:val="24"/>
              </w:rPr>
              <w:t>Executive Vice President - Chief Administrative and Legal Officer</w:t>
            </w:r>
          </w:p>
        </w:tc>
      </w:tr>
    </w:tbl>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Member of the Executive Committee of the Board of Directors.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Marc Zandman was appointed Executive Chairman of the Board and Chief Business Development Officer effective June 5, 2011. Mr. Zandman has served as a Director of Vishay since 2001 and President of Vishay Israel Ltd. since 1998. Mr. Zandman previously was Vice Chairman of the Board from 2003 to June 2011, and Chief Administration Officer from 2007 to June 2011. Mr. Zandman was Group Vice President of Vishay Measurements Group from 2002 to 2004. Mr. Zandman has served in various other capacities with Vishay since 1984. He is the son of the late Dr. Felix Zandman, Vishay’s Founder. Mr. Zandman controls, on a shared basis with Ruta Zandman and Ziv Shoshani, approximately 35.0% of the total voting power of our capital stock as of December 31, 2023.  He also serves on the Board of Directors of Vishay Precision Group, Inc., an independent, publicly-traded company spun-off from Vishay Intertechnology in 2010 (including as non-executive Chair from 2010 - 2022).</w:t>
      </w:r>
    </w:p>
    <w:p>
      <w:pPr>
        <w:pStyle w:val="TextBody"/>
        <w:bidi w:val="0"/>
        <w:spacing w:before="0" w:after="0"/>
        <w:jc w:val="left"/>
        <w:rPr>
          <w:rFonts w:ascii="Times New Roman" w:hAnsi="Times New Roman"/>
          <w:sz w:val="24"/>
        </w:rPr>
      </w:pPr>
      <w:r>
        <w:rPr>
          <w:rFonts w:ascii="Times New Roman" w:hAnsi="Times New Roman"/>
          <w:sz w:val="24"/>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4"/>
          <w:shd w:fill="FFFFFF" w:val="clear"/>
        </w:rPr>
        <w:t xml:space="preserve">Joel Smejkal was appointed President and Chief Executive Officer effective January 1, 2023.  </w:t>
      </w:r>
      <w:r>
        <w:rPr>
          <w:rFonts w:ascii="Times New Roman;Times;serif" w:hAnsi="Times New Roman;Times;serif"/>
          <w:b w:val="false"/>
          <w:i w:val="false"/>
          <w:caps w:val="false"/>
          <w:smallCaps w:val="false"/>
          <w:color w:val="000000"/>
          <w:spacing w:val="0"/>
          <w:sz w:val="24"/>
          <w:shd w:fill="FFFFFF" w:val="clear"/>
        </w:rPr>
        <w:t>Mr. Smejkal served as Executive Vice President, Corporate Business Development from 2020-2022.  He has held various positions of increasing responsibility since joining Vishay in 1990, including Executive Vice President, Business Head Passive Components (2017-2020) and Senior Vice President Global Distribution Sales (2012-2016). His experience with Vishay includes worldwide and divisional leadership roles in engineering, marketing, operations, and sales.</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Lori Lipcaman was appointed Executive Vice President and Chief Financial Officer of the Company effective September 1, 2011.  Ms. Lipcaman had been appointed Executive Vice President Finance and Chief Accounting Officer in September 2008.  Previously, she served as Vishay’s Corporate Senior Vice President, Operations Controller, from March 1998 to September 2008.  Prior to that, she served in various positions of increasing responsibility in finance and controlling since joining the Company in May 1989.</w:t>
      </w:r>
    </w:p>
    <w:p>
      <w:pPr>
        <w:pStyle w:val="TextBody"/>
        <w:bidi w:val="0"/>
        <w:spacing w:before="0" w:after="0"/>
        <w:jc w:val="left"/>
        <w:rPr>
          <w:sz w:val="24"/>
        </w:rPr>
      </w:pPr>
      <w:r>
        <w:rPr>
          <w:sz w:val="24"/>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Jeff Webster was appointed Executive Vice President - Chief Operating Officer effective January 1, 2023.  </w:t>
      </w:r>
      <w:r>
        <w:rPr>
          <w:rFonts w:ascii="Times New Roman;Times;serif" w:hAnsi="Times New Roman;Times;serif"/>
          <w:b w:val="false"/>
          <w:i w:val="false"/>
          <w:caps w:val="false"/>
          <w:smallCaps w:val="false"/>
          <w:color w:val="000000"/>
          <w:spacing w:val="0"/>
          <w:sz w:val="24"/>
          <w:shd w:fill="FFFFFF" w:val="clear"/>
        </w:rPr>
        <w:t>Mr. Webster served as Executive Vice President, Business Head Passive Components from 2020-2022. He has held various positions of increasing responsibility since joining Vishay in 2000, including Senior Vice President Global Quality (2014-2019) and Vice President Global Quality – Actives (2000-2014).  </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Roy Shoshani was appointed Executive Vice President – Chief Technical Officer effective January 1, 2023.  Mr. Shoshani has held various positions of increasing responsibility since joining Vishay in 2004, including Deputy to the Chief Technical Officer (2021-2022), Vice President Integrated Circuits Division (2009-2022), and Vice President R&amp;D – Semiconductors (2019-2021).  Prior to joining Vishay, Mr. Shoshani worked for Harmonic.  Mr. Shoshani’s experience with Vishay includes divisional leadership roles in R&amp;D, marketing, business development and operations.</w:t>
      </w:r>
    </w:p>
    <w:p>
      <w:pPr>
        <w:pStyle w:val="TextBody"/>
        <w:bidi w:val="0"/>
        <w:spacing w:before="0" w:after="0"/>
        <w:jc w:val="left"/>
        <w:rPr/>
      </w:pPr>
      <w:r>
        <w:rPr/>
      </w:r>
    </w:p>
    <w:p>
      <w:pPr>
        <w:pStyle w:val="TextBody"/>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Peter Henrici was appointed Executive Vice President – Corporate Development effective January 1, 2023 and has served as Corporate Secretary since 2012. Mr. Henrici has held various positions in marketing communications, investor relations, and corporate treasury departments since joining Vishay in 1998.  Mr. Henrici has been responsible for corporate communications since 2005.</w:t>
      </w:r>
    </w:p>
    <w:p>
      <w:pPr>
        <w:pStyle w:val="TextBody"/>
        <w:widowControl/>
        <w:bidi w:val="0"/>
        <w:spacing w:before="0" w:after="0"/>
        <w:ind w:left="0" w:right="0" w:hanging="0"/>
        <w:jc w:val="both"/>
        <w:rPr>
          <w:b w:val="false"/>
          <w:i w:val="false"/>
          <w:caps w:val="false"/>
          <w:smallCaps w:val="false"/>
          <w:color w:val="000000"/>
          <w:spacing w:val="0"/>
          <w:sz w:val="24"/>
        </w:rPr>
      </w:pPr>
      <w:r>
        <w:rPr>
          <w:b w:val="false"/>
          <w:i w:val="false"/>
          <w:caps w:val="false"/>
          <w:smallCaps w:val="false"/>
          <w:color w:val="000000"/>
          <w:spacing w:val="0"/>
          <w:sz w:val="24"/>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Michael O'Sullivan was appointed Executive Vice President - Chief Administrative and Legal Officer effective January 1, 2024.  </w:t>
      </w:r>
      <w:r>
        <w:rPr>
          <w:rFonts w:ascii="Times New Roman;Times;serif" w:hAnsi="Times New Roman;Times;serif"/>
          <w:b w:val="false"/>
          <w:i w:val="false"/>
          <w:caps w:val="false"/>
          <w:smallCaps w:val="false"/>
          <w:color w:val="000000"/>
          <w:spacing w:val="0"/>
          <w:sz w:val="24"/>
          <w:shd w:fill="FFFFFF" w:val="clear"/>
        </w:rPr>
        <w:t xml:space="preserve">Mr. O’Sullivan previously served as Corporate General Counsel since joining the Company in 2012.  </w:t>
      </w:r>
      <w:r>
        <w:rPr>
          <w:rFonts w:ascii="Times New Roman" w:hAnsi="Times New Roman"/>
          <w:color w:val="000000"/>
          <w:sz w:val="24"/>
          <w:shd w:fill="FFFFFF" w:val="clear"/>
        </w:rPr>
        <w:t>In July 2016, Mr. O'Sullivan was appointed Regional Country Manager - The Americas.  Prior to joining Vishay, Mr. O'Sullivan worked as an in-house corporate attorney for a subsidiary of Koch Industries, Inc., and in private practice at DLA Piper.</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ind w:left="1080" w:right="0" w:hanging="1080"/>
        <w:jc w:val="center"/>
        <w:rPr>
          <w:rFonts w:ascii="Times New Roman" w:hAnsi="Times New Roman"/>
          <w:b/>
          <w:color w:val="000000"/>
          <w:sz w:val="24"/>
          <w:u w:val="single"/>
          <w:shd w:fill="FFFFFF" w:val="clear"/>
        </w:rPr>
      </w:pPr>
      <w:bookmarkStart w:id="15" w:name="PARTII"/>
      <w:bookmarkEnd w:id="15"/>
      <w:r>
        <w:rPr>
          <w:rFonts w:ascii="Times New Roman" w:hAnsi="Times New Roman"/>
          <w:b/>
          <w:color w:val="000000"/>
          <w:sz w:val="24"/>
          <w:u w:val="single"/>
          <w:shd w:fill="FFFFFF" w:val="clear"/>
        </w:rPr>
        <w:t>PART 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bookmarkStart w:id="16" w:name="Item5"/>
      <w:bookmarkEnd w:id="16"/>
      <w:r>
        <w:rPr>
          <w:rFonts w:ascii="Times New Roman" w:hAnsi="Times New Roman"/>
          <w:b/>
          <w:color w:val="000000"/>
          <w:sz w:val="24"/>
          <w:u w:val="single"/>
          <w:shd w:fill="FFFFFF" w:val="clear"/>
        </w:rPr>
        <w:t>Item 5.</w:t>
      </w:r>
      <w:r>
        <w:rPr>
          <w:rFonts w:ascii="Times New Roman" w:hAnsi="Times New Roman"/>
          <w:b/>
          <w:color w:val="000000"/>
          <w:sz w:val="24"/>
          <w:shd w:fill="FFFFFF" w:val="clear"/>
        </w:rPr>
        <w:t xml:space="preserve"> </w:t>
      </w:r>
      <w:r>
        <w:rPr>
          <w:rFonts w:ascii="Times New Roman" w:hAnsi="Times New Roman"/>
          <w:b/>
          <w:color w:val="000000"/>
          <w:sz w:val="24"/>
          <w:u w:val="single"/>
          <w:shd w:fill="FFFFFF" w:val="clear"/>
        </w:rPr>
        <w:t>MARKET FOR REGISTRANT'S COMMON EQUITY, RELATED STOCKHOLDER MATTERS, AND ISSUER PURCHASES OF EQUITY SECURITIES</w:t>
      </w:r>
      <w:r>
        <w:rPr>
          <w:rFonts w:ascii="Times New Roman" w:hAnsi="Times New Roman"/>
          <w:color w:val="000000"/>
          <w:sz w:val="24"/>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common stock is listed on the New York Stock Exchange under the symbol VSH. The following table sets forth the high and low sales prices for our common stock as reported on the New York Stock Exchange composite tape for the indicated fiscal quarters. Holders of record of our common stock totaled approximately 1,000 at February 14, 2024. Because many of the shares of our common stock are held by brokers and other institutions on behalf of stockholders, we are unable to estimate the total number of beneficial owners represented by these stockholders of record.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2014, the Company's Board of Directors instituted a quarterly cash dividend program and declared the first cash dividend in the history of Vishay. Quarterly cash dividends have been paid in each quarter since the first fiscal quarter of 2014.  We expect to continue to pay quarterly dividends, although the amount and timing of any future dividends remains subject to authorization of our Board of Directors.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for the indicated periods, the high and low sales prices of our common stock and the quarterly cash dividends declared.</w:t>
      </w:r>
    </w:p>
    <w:p>
      <w:pPr>
        <w:pStyle w:val="TextBody"/>
        <w:bidi w:val="0"/>
        <w:spacing w:before="0" w:after="0"/>
        <w:jc w:val="left"/>
        <w:rPr>
          <w:rFonts w:ascii="Times New Roman" w:hAnsi="Times New Roman"/>
          <w:sz w:val="20"/>
        </w:rPr>
      </w:pPr>
      <w:r>
        <w:rPr>
          <w:rFonts w:ascii="Times New Roman" w:hAnsi="Times New Roman"/>
          <w:sz w:val="20"/>
        </w:rPr>
      </w:r>
    </w:p>
    <w:tbl>
      <w:tblPr>
        <w:tblW w:w="6781" w:type="dxa"/>
        <w:jc w:val="left"/>
        <w:tblInd w:w="0" w:type="dxa"/>
        <w:tblLayout w:type="fixed"/>
        <w:tblCellMar>
          <w:top w:w="0" w:type="dxa"/>
          <w:left w:w="0" w:type="dxa"/>
          <w:bottom w:w="0" w:type="dxa"/>
          <w:right w:w="0" w:type="dxa"/>
        </w:tblCellMar>
      </w:tblPr>
      <w:tblGrid>
        <w:gridCol w:w="1460"/>
        <w:gridCol w:w="60"/>
        <w:gridCol w:w="140"/>
        <w:gridCol w:w="560"/>
        <w:gridCol w:w="60"/>
        <w:gridCol w:w="60"/>
        <w:gridCol w:w="140"/>
        <w:gridCol w:w="560"/>
        <w:gridCol w:w="60"/>
        <w:gridCol w:w="60"/>
        <w:gridCol w:w="140"/>
        <w:gridCol w:w="560"/>
        <w:gridCol w:w="60"/>
        <w:gridCol w:w="60"/>
        <w:gridCol w:w="140"/>
        <w:gridCol w:w="560"/>
        <w:gridCol w:w="60"/>
        <w:gridCol w:w="88"/>
        <w:gridCol w:w="205"/>
        <w:gridCol w:w="646"/>
        <w:gridCol w:w="88"/>
        <w:gridCol w:w="88"/>
        <w:gridCol w:w="205"/>
        <w:gridCol w:w="646"/>
        <w:gridCol w:w="75"/>
      </w:tblGrid>
      <w:tr>
        <w:trPr/>
        <w:tc>
          <w:tcPr>
            <w:tcW w:w="1460" w:type="dxa"/>
            <w:tcBorders/>
            <w:vAlign w:val="bottom"/>
          </w:tcPr>
          <w:p>
            <w:pPr>
              <w:pStyle w:val="TableContents"/>
              <w:bidi w:val="0"/>
              <w:spacing w:before="0" w:after="283"/>
              <w:jc w:val="left"/>
              <w:rPr>
                <w:sz w:val="4"/>
                <w:szCs w:val="4"/>
              </w:rPr>
            </w:pPr>
            <w:r>
              <w:rPr>
                <w:sz w:val="4"/>
                <w:szCs w:val="4"/>
              </w:rPr>
            </w:r>
          </w:p>
        </w:tc>
        <w:tc>
          <w:tcPr>
            <w:tcW w:w="3220" w:type="dxa"/>
            <w:gridSpan w:val="15"/>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Common stock price range</w:t>
            </w:r>
          </w:p>
        </w:tc>
        <w:tc>
          <w:tcPr>
            <w:tcW w:w="60" w:type="dxa"/>
            <w:tcBorders/>
            <w:vAlign w:val="bottom"/>
          </w:tcPr>
          <w:p>
            <w:pPr>
              <w:pStyle w:val="TableContents"/>
              <w:bidi w:val="0"/>
              <w:spacing w:before="0" w:after="283"/>
              <w:jc w:val="left"/>
              <w:rPr/>
            </w:pPr>
            <w:r>
              <w:rPr/>
              <w:t> </w:t>
            </w:r>
          </w:p>
        </w:tc>
        <w:tc>
          <w:tcPr>
            <w:tcW w:w="1966" w:type="dxa"/>
            <w:gridSpan w:val="7"/>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Dividends declared</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158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158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1966"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per share</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760"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High</w:t>
            </w:r>
          </w:p>
        </w:tc>
        <w:tc>
          <w:tcPr>
            <w:tcW w:w="60" w:type="dxa"/>
            <w:tcBorders/>
            <w:vAlign w:val="bottom"/>
          </w:tcPr>
          <w:p>
            <w:pPr>
              <w:pStyle w:val="TableContents"/>
              <w:bidi w:val="0"/>
              <w:spacing w:before="0" w:after="283"/>
              <w:jc w:val="left"/>
              <w:rPr/>
            </w:pPr>
            <w:r>
              <w:rPr/>
              <w:t> </w:t>
            </w:r>
          </w:p>
        </w:tc>
        <w:tc>
          <w:tcPr>
            <w:tcW w:w="760"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Low</w:t>
            </w:r>
          </w:p>
        </w:tc>
        <w:tc>
          <w:tcPr>
            <w:tcW w:w="60" w:type="dxa"/>
            <w:tcBorders/>
            <w:vAlign w:val="bottom"/>
          </w:tcPr>
          <w:p>
            <w:pPr>
              <w:pStyle w:val="TableContents"/>
              <w:bidi w:val="0"/>
              <w:spacing w:before="0" w:after="283"/>
              <w:jc w:val="left"/>
              <w:rPr/>
            </w:pPr>
            <w:r>
              <w:rPr/>
              <w:t> </w:t>
            </w:r>
          </w:p>
        </w:tc>
        <w:tc>
          <w:tcPr>
            <w:tcW w:w="760"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High</w:t>
            </w:r>
          </w:p>
        </w:tc>
        <w:tc>
          <w:tcPr>
            <w:tcW w:w="60" w:type="dxa"/>
            <w:tcBorders/>
            <w:vAlign w:val="bottom"/>
          </w:tcPr>
          <w:p>
            <w:pPr>
              <w:pStyle w:val="TableContents"/>
              <w:bidi w:val="0"/>
              <w:spacing w:before="0" w:after="283"/>
              <w:jc w:val="left"/>
              <w:rPr/>
            </w:pPr>
            <w:r>
              <w:rPr/>
              <w:t> </w:t>
            </w:r>
          </w:p>
        </w:tc>
        <w:tc>
          <w:tcPr>
            <w:tcW w:w="760"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Low</w:t>
            </w:r>
          </w:p>
        </w:tc>
        <w:tc>
          <w:tcPr>
            <w:tcW w:w="60" w:type="dxa"/>
            <w:tcBorders/>
            <w:vAlign w:val="bottom"/>
          </w:tcPr>
          <w:p>
            <w:pPr>
              <w:pStyle w:val="TableContents"/>
              <w:bidi w:val="0"/>
              <w:spacing w:before="0" w:after="283"/>
              <w:jc w:val="left"/>
              <w:rPr/>
            </w:pPr>
            <w:r>
              <w:rPr/>
              <w:t> </w:t>
            </w:r>
          </w:p>
        </w:tc>
        <w:tc>
          <w:tcPr>
            <w:tcW w:w="939"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88" w:type="dxa"/>
            <w:tcBorders/>
            <w:vAlign w:val="bottom"/>
          </w:tcPr>
          <w:p>
            <w:pPr>
              <w:pStyle w:val="TableContents"/>
              <w:bidi w:val="0"/>
              <w:spacing w:before="0" w:after="283"/>
              <w:jc w:val="left"/>
              <w:rPr/>
            </w:pPr>
            <w:r>
              <w:rPr/>
              <w:t> </w:t>
            </w:r>
          </w:p>
        </w:tc>
        <w:tc>
          <w:tcPr>
            <w:tcW w:w="939" w:type="dxa"/>
            <w:gridSpan w:val="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 xml:space="preserve">Fourth quarter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17.63</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Third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16.73</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Second quarter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17.13</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First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17.58</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4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0.10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At February 14, 2024, we had outstanding 12,097,148 shares of Class B common stock, par value $.10 per share, each of which entitles the holder to ten votes. </w:t>
      </w:r>
      <w:bookmarkStart w:id="17" w:name="OLE_LINK16"/>
      <w:bookmarkEnd w:id="17"/>
      <w:r>
        <w:rPr>
          <w:rFonts w:ascii="Times New Roman" w:hAnsi="Times New Roman"/>
          <w:color w:val="000000"/>
          <w:sz w:val="24"/>
          <w:shd w:fill="FFFFFF" w:val="clear"/>
        </w:rPr>
        <w:t>The Class B common stock generally is not transferable except in certain very limited instances, and there is no market for those shares. The Class B common stock is convertible, at the option of the holder, into common stock on a share for share basis.  As a result of the passing of our founder and former Executive Chairman, Dr. Felix Zandman, Mrs. Ruta Zandman (a member of our Board of Directors) controls the voting of, solely or on a shared basis with Marc Zandman (our Executive Chairman) and Ziv Shoshani (a member of our Board of Directors) approximately 89.7% of our Class B common stock and 44.0% of the total voting power of our capital stock as of December 31, 2023.</w:t>
      </w:r>
      <w:bookmarkStart w:id="18" w:name="OLE_LINK7"/>
      <w:bookmarkEnd w:id="18"/>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Certain of our debt obligations contain restrictions as to the payment of cash dividends.  See "Financial Condition, Liquidity, and Capital Resources" included in Item 7, "Management's Discussion and Analysis of Financial Condition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2022, our Board of Directors adopted a Stockholder Return Policy that will remain in effect until such time as the Board votes to amend or rescind the policy.  The Stockholder Return Policy calls for us to return a prescribed amount of cash flows on an annual basis. We intend to return such amounts directly, in the form of dividends, or indirectly, in the form of stock repurchases.  We paid $55.6 million of dividends to stockholders and repurchased $78.7 million of our stock pursuant to the Stockholder Return Policy in 2023.</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To enable the operation of the Stockholder Return Policy, Vishay's Board of Directors approves the repurchase of a stated number of shares of common stock from time-to-time.  As of September 30, 2023, approximately 1.3 million shares remained from the previous repurchase authorization of 6.0 million shares.  On November 28, 2023, Vishay's Board of Directors approved the repurchase of an additional 2.5 million shares of common stock, to enable the operation of the Stockholder Return Policy for the foreseeable future.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provides information regarding repurchases of our common stock during the fiscal quarter ended December 31, 2023:</w:t>
      </w:r>
    </w:p>
    <w:p>
      <w:pPr>
        <w:pStyle w:val="TextBody"/>
        <w:bidi w:val="0"/>
        <w:spacing w:before="0" w:after="0"/>
        <w:jc w:val="both"/>
        <w:rPr>
          <w:rFonts w:ascii="Times New Roman" w:hAnsi="Times New Roman"/>
          <w:sz w:val="24"/>
        </w:rPr>
      </w:pPr>
      <w:r>
        <w:rPr>
          <w:rFonts w:ascii="Times New Roman" w:hAnsi="Times New Roman"/>
          <w:sz w:val="24"/>
        </w:rPr>
      </w:r>
    </w:p>
    <w:tbl>
      <w:tblPr>
        <w:tblW w:w="10205" w:type="dxa"/>
        <w:jc w:val="left"/>
        <w:tblInd w:w="0" w:type="dxa"/>
        <w:tblLayout w:type="fixed"/>
        <w:tblCellMar>
          <w:top w:w="0" w:type="dxa"/>
          <w:left w:w="0" w:type="dxa"/>
          <w:bottom w:w="0" w:type="dxa"/>
          <w:right w:w="0" w:type="dxa"/>
        </w:tblCellMar>
      </w:tblPr>
      <w:tblGrid>
        <w:gridCol w:w="1324"/>
        <w:gridCol w:w="60"/>
        <w:gridCol w:w="93"/>
        <w:gridCol w:w="1260"/>
        <w:gridCol w:w="60"/>
        <w:gridCol w:w="60"/>
        <w:gridCol w:w="323"/>
        <w:gridCol w:w="1293"/>
        <w:gridCol w:w="60"/>
        <w:gridCol w:w="60"/>
        <w:gridCol w:w="129"/>
        <w:gridCol w:w="1734"/>
        <w:gridCol w:w="60"/>
        <w:gridCol w:w="60"/>
        <w:gridCol w:w="186"/>
        <w:gridCol w:w="1469"/>
        <w:gridCol w:w="60"/>
        <w:gridCol w:w="60"/>
        <w:gridCol w:w="102"/>
        <w:gridCol w:w="1686"/>
        <w:gridCol w:w="66"/>
      </w:tblGrid>
      <w:tr>
        <w:trPr/>
        <w:tc>
          <w:tcPr>
            <w:tcW w:w="1324" w:type="dxa"/>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Period</w:t>
            </w:r>
          </w:p>
        </w:tc>
        <w:tc>
          <w:tcPr>
            <w:tcW w:w="60" w:type="dxa"/>
            <w:tcBorders/>
            <w:vAlign w:val="bottom"/>
          </w:tcPr>
          <w:p>
            <w:pPr>
              <w:pStyle w:val="TableContents"/>
              <w:bidi w:val="0"/>
              <w:spacing w:before="0" w:after="283"/>
              <w:jc w:val="center"/>
              <w:rPr/>
            </w:pPr>
            <w:r>
              <w:rPr/>
              <w:t> </w:t>
            </w:r>
          </w:p>
        </w:tc>
        <w:tc>
          <w:tcPr>
            <w:tcW w:w="13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Total Number of Shares 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1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Average Price Paid per Share (including commission)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86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Total Number of Shares Purchased as Part of Publicly Announced Program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Total Dollar Amount Purchased Under the Program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78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Maximum Number of Shares that May Yet Be Purchased Under the Program</w:t>
            </w:r>
          </w:p>
        </w:tc>
        <w:tc>
          <w:tcPr>
            <w:tcW w:w="66" w:type="dxa"/>
            <w:tcBorders/>
            <w:vAlign w:val="bottom"/>
          </w:tcPr>
          <w:p>
            <w:pPr>
              <w:pStyle w:val="TableContents"/>
              <w:bidi w:val="0"/>
              <w:spacing w:before="0" w:after="283"/>
              <w:jc w:val="left"/>
              <w:rPr/>
            </w:pPr>
            <w:r>
              <w:rPr/>
              <w:t> </w:t>
            </w:r>
          </w:p>
        </w:tc>
      </w:tr>
      <w:tr>
        <w:trPr/>
        <w:tc>
          <w:tcPr>
            <w:tcW w:w="13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1324"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October 1 - October 28</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254,985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1293"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254,985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1469"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6,099,333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1,023,839</w:t>
            </w:r>
          </w:p>
        </w:tc>
        <w:tc>
          <w:tcPr>
            <w:tcW w:w="66" w:type="dxa"/>
            <w:tcBorders/>
            <w:shd w:fill="CCEEFF" w:val="clear"/>
            <w:vAlign w:val="bottom"/>
          </w:tcPr>
          <w:p>
            <w:pPr>
              <w:pStyle w:val="TableContents"/>
              <w:bidi w:val="0"/>
              <w:spacing w:before="0" w:after="283"/>
              <w:jc w:val="left"/>
              <w:rPr/>
            </w:pPr>
            <w:r>
              <w:rPr/>
              <w:t> </w:t>
            </w:r>
          </w:p>
        </w:tc>
      </w:tr>
      <w:tr>
        <w:trPr/>
        <w:tc>
          <w:tcPr>
            <w:tcW w:w="1324"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October 29 - November 25</w:t>
            </w:r>
          </w:p>
        </w:tc>
        <w:tc>
          <w:tcPr>
            <w:tcW w:w="60"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309,914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22.63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309,914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7,013,513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713,925</w:t>
            </w:r>
          </w:p>
        </w:tc>
        <w:tc>
          <w:tcPr>
            <w:tcW w:w="66" w:type="dxa"/>
            <w:tcBorders/>
            <w:vAlign w:val="bottom"/>
          </w:tcPr>
          <w:p>
            <w:pPr>
              <w:pStyle w:val="TableContents"/>
              <w:bidi w:val="0"/>
              <w:spacing w:before="0" w:after="283"/>
              <w:jc w:val="left"/>
              <w:rPr/>
            </w:pPr>
            <w:r>
              <w:rPr/>
              <w:t> </w:t>
            </w:r>
          </w:p>
        </w:tc>
      </w:tr>
      <w:tr>
        <w:trPr/>
        <w:tc>
          <w:tcPr>
            <w:tcW w:w="1324"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November 26 - December 31</w:t>
            </w:r>
          </w:p>
        </w:tc>
        <w:tc>
          <w:tcPr>
            <w:tcW w:w="60" w:type="dxa"/>
            <w:tcBorders/>
            <w:shd w:fill="CCEEFF" w:val="clear"/>
            <w:vAlign w:val="bottom"/>
          </w:tcPr>
          <w:p>
            <w:pPr>
              <w:pStyle w:val="TableContents"/>
              <w:bidi w:val="0"/>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336,540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336,540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7,910,080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2,877,385</w:t>
            </w:r>
          </w:p>
        </w:tc>
        <w:tc>
          <w:tcPr>
            <w:tcW w:w="66" w:type="dxa"/>
            <w:tcBorders/>
            <w:shd w:fill="CCEEFF" w:val="clear"/>
            <w:vAlign w:val="bottom"/>
          </w:tcPr>
          <w:p>
            <w:pPr>
              <w:pStyle w:val="TableContents"/>
              <w:bidi w:val="0"/>
              <w:spacing w:before="0" w:after="283"/>
              <w:jc w:val="left"/>
              <w:rPr/>
            </w:pPr>
            <w:r>
              <w:rPr/>
              <w:t> </w:t>
            </w:r>
          </w:p>
        </w:tc>
      </w:tr>
      <w:tr>
        <w:trPr/>
        <w:tc>
          <w:tcPr>
            <w:tcW w:w="1324" w:type="dxa"/>
            <w:tcBorders/>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Total</w:t>
            </w:r>
          </w:p>
        </w:tc>
        <w:tc>
          <w:tcPr>
            <w:tcW w:w="60" w:type="dxa"/>
            <w:tcBorders/>
            <w:vAlign w:val="bottom"/>
          </w:tcPr>
          <w:p>
            <w:pPr>
              <w:pStyle w:val="TableContents"/>
              <w:bidi w:val="0"/>
              <w:spacing w:before="0" w:after="283"/>
              <w:jc w:val="right"/>
              <w:rPr/>
            </w:pPr>
            <w:r>
              <w:rPr/>
              <w:t> </w:t>
            </w:r>
          </w:p>
        </w:tc>
        <w:tc>
          <w:tcPr>
            <w:tcW w:w="93" w:type="dxa"/>
            <w:tcBorders>
              <w:bottom w:val="double" w:sz="8" w:space="0" w:color="000000"/>
            </w:tcBorders>
            <w:tcMar>
              <w:bottom w:w="28" w:type="dxa"/>
            </w:tcMar>
            <w:vAlign w:val="bottom"/>
          </w:tcPr>
          <w:p>
            <w:pPr>
              <w:pStyle w:val="TableContents"/>
              <w:bidi w:val="0"/>
              <w:spacing w:before="0" w:after="283"/>
              <w:jc w:val="left"/>
              <w:rPr/>
            </w:pPr>
            <w:r>
              <w:rPr/>
              <w:t> </w:t>
            </w:r>
          </w:p>
        </w:tc>
        <w:tc>
          <w:tcPr>
            <w:tcW w:w="126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901,439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129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23.32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9" w:type="dxa"/>
            <w:tcBorders>
              <w:bottom w:val="double" w:sz="8" w:space="0" w:color="000000"/>
            </w:tcBorders>
            <w:tcMar>
              <w:bottom w:w="28" w:type="dxa"/>
            </w:tcMar>
            <w:vAlign w:val="bottom"/>
          </w:tcPr>
          <w:p>
            <w:pPr>
              <w:pStyle w:val="TableContents"/>
              <w:bidi w:val="0"/>
              <w:spacing w:before="0" w:after="283"/>
              <w:jc w:val="left"/>
              <w:rPr/>
            </w:pPr>
            <w:r>
              <w:rPr/>
              <w:t> </w:t>
            </w:r>
          </w:p>
        </w:tc>
        <w:tc>
          <w:tcPr>
            <w:tcW w:w="173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901,439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146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21,022,926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bottom w:val="double" w:sz="8" w:space="0" w:color="000000"/>
            </w:tcBorders>
            <w:tcMar>
              <w:bottom w:w="28" w:type="dxa"/>
            </w:tcMar>
            <w:vAlign w:val="bottom"/>
          </w:tcPr>
          <w:p>
            <w:pPr>
              <w:pStyle w:val="TableContents"/>
              <w:bidi w:val="0"/>
              <w:spacing w:before="0" w:after="283"/>
              <w:jc w:val="left"/>
              <w:rPr/>
            </w:pPr>
            <w:r>
              <w:rPr/>
              <w:t> </w:t>
            </w:r>
          </w:p>
        </w:tc>
        <w:tc>
          <w:tcPr>
            <w:tcW w:w="168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2,877,385</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29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Stock Performance Graph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line graph below compares the cumulative total stockholder return on Vishay’s common stock over a 5-year period with the returns on the Standard &amp; Poor’s MidCap 400 Stock Index (of which Vishay is a component), the Standard &amp; Poor’s 500 Stock Index, and the Philadelphia Semiconductor Index. The line graph assumes that $100 had been invested at December 31, 2018 and assumes that all dividends were reinvested.</w:t>
      </w:r>
    </w:p>
    <w:p>
      <w:pPr>
        <w:pStyle w:val="TextBody"/>
        <w:bidi w:val="0"/>
        <w:spacing w:before="0" w:after="0"/>
        <w:jc w:val="left"/>
        <w:rPr>
          <w:rFonts w:ascii="Times New Roman" w:hAnsi="Times New Roman"/>
          <w:sz w:val="20"/>
        </w:rPr>
      </w:pPr>
      <w:r>
        <w:rPr>
          <w:rFonts w:ascii="Times New Roman" w:hAnsi="Times New Roman"/>
          <w:sz w:val="20"/>
        </w:rPr>
      </w:r>
    </w:p>
    <w:tbl>
      <w:tblPr>
        <w:tblW w:w="7955" w:type="dxa"/>
        <w:jc w:val="left"/>
        <w:tblInd w:w="0" w:type="dxa"/>
        <w:tblLayout w:type="fixed"/>
        <w:tblCellMar>
          <w:top w:w="0" w:type="dxa"/>
          <w:left w:w="0" w:type="dxa"/>
          <w:bottom w:w="0" w:type="dxa"/>
          <w:right w:w="0" w:type="dxa"/>
        </w:tblCellMar>
      </w:tblPr>
      <w:tblGrid>
        <w:gridCol w:w="3545"/>
        <w:gridCol w:w="695"/>
        <w:gridCol w:w="60"/>
        <w:gridCol w:w="680"/>
        <w:gridCol w:w="60"/>
        <w:gridCol w:w="680"/>
        <w:gridCol w:w="60"/>
        <w:gridCol w:w="680"/>
        <w:gridCol w:w="60"/>
        <w:gridCol w:w="680"/>
        <w:gridCol w:w="60"/>
        <w:gridCol w:w="695"/>
      </w:tblGrid>
      <w:tr>
        <w:trPr/>
        <w:tc>
          <w:tcPr>
            <w:tcW w:w="35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Base</w:t>
            </w:r>
          </w:p>
        </w:tc>
        <w:tc>
          <w:tcPr>
            <w:tcW w:w="60" w:type="dxa"/>
            <w:tcBorders/>
            <w:vAlign w:val="center"/>
          </w:tcPr>
          <w:p>
            <w:pPr>
              <w:pStyle w:val="TableContents"/>
              <w:bidi w:val="0"/>
              <w:spacing w:before="0" w:after="283"/>
              <w:jc w:val="left"/>
              <w:rPr/>
            </w:pPr>
            <w:r>
              <w:rPr/>
              <w:t> </w:t>
            </w:r>
          </w:p>
        </w:tc>
        <w:tc>
          <w:tcPr>
            <w:tcW w:w="3655" w:type="dxa"/>
            <w:gridSpan w:val="9"/>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Years Ending December 31,</w:t>
            </w:r>
          </w:p>
        </w:tc>
      </w:tr>
      <w:tr>
        <w:trPr/>
        <w:tc>
          <w:tcPr>
            <w:tcW w:w="354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Period</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4"/>
              </w:rPr>
            </w:pPr>
            <w:r>
              <w:rPr>
                <w:rFonts w:ascii="Times New Roman" w:hAnsi="Times New Roman"/>
                <w:b/>
                <w:sz w:val="24"/>
              </w:rPr>
              <w:t>Company Name / Index</w:t>
            </w:r>
          </w:p>
        </w:tc>
        <w:tc>
          <w:tcPr>
            <w:tcW w:w="6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2018</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2019</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2020</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2023</w:t>
            </w:r>
          </w:p>
        </w:tc>
      </w:tr>
      <w:tr>
        <w:trPr/>
        <w:tc>
          <w:tcPr>
            <w:tcW w:w="354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Vishay Intertechnology, Inc.</w:t>
            </w:r>
          </w:p>
        </w:tc>
        <w:tc>
          <w:tcPr>
            <w:tcW w:w="695" w:type="dxa"/>
            <w:tcBorders/>
            <w:shd w:fill="CCEEFF" w:val="clear"/>
            <w:vAlign w:val="center"/>
          </w:tcPr>
          <w:p>
            <w:pPr>
              <w:pStyle w:val="TableContents"/>
              <w:bidi w:val="0"/>
              <w:spacing w:before="0" w:after="0"/>
              <w:jc w:val="center"/>
              <w:rPr>
                <w:rFonts w:ascii="Times New Roman" w:hAnsi="Times New Roman"/>
                <w:b/>
                <w:sz w:val="24"/>
              </w:rPr>
            </w:pPr>
            <w:r>
              <w:rPr>
                <w:rFonts w:ascii="Times New Roman" w:hAnsi="Times New Roman"/>
                <w:b/>
                <w:sz w:val="24"/>
              </w:rPr>
              <w:t>100</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4"/>
              </w:rPr>
            </w:pPr>
            <w:r>
              <w:rPr>
                <w:sz w:val="24"/>
              </w:rPr>
              <w:t>120.66</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120.03</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128.98</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129.84</w:t>
            </w:r>
          </w:p>
        </w:tc>
        <w:tc>
          <w:tcPr>
            <w:tcW w:w="60" w:type="dxa"/>
            <w:tcBorders/>
            <w:shd w:fill="CCEEFF" w:val="clear"/>
            <w:vAlign w:val="center"/>
          </w:tcPr>
          <w:p>
            <w:pPr>
              <w:pStyle w:val="TableContents"/>
              <w:bidi w:val="0"/>
              <w:spacing w:before="0" w:after="283"/>
              <w:jc w:val="left"/>
              <w:rPr/>
            </w:pPr>
            <w:r>
              <w:rPr/>
            </w:r>
          </w:p>
        </w:tc>
        <w:tc>
          <w:tcPr>
            <w:tcW w:w="695" w:type="dxa"/>
            <w:tcBorders/>
            <w:shd w:fill="CCEEFF" w:val="clear"/>
            <w:vAlign w:val="center"/>
          </w:tcPr>
          <w:p>
            <w:pPr>
              <w:pStyle w:val="TableContents"/>
              <w:bidi w:val="0"/>
              <w:spacing w:before="0" w:after="283"/>
              <w:jc w:val="center"/>
              <w:rPr>
                <w:sz w:val="24"/>
              </w:rPr>
            </w:pPr>
            <w:r>
              <w:rPr>
                <w:sz w:val="24"/>
              </w:rPr>
              <w:t>146.67</w:t>
            </w:r>
          </w:p>
        </w:tc>
      </w:tr>
      <w:tr>
        <w:trPr/>
        <w:tc>
          <w:tcPr>
            <w:tcW w:w="3545" w:type="dxa"/>
            <w:tcBorders/>
            <w:shd w:fill="FFFFFF" w:val="clear"/>
            <w:vAlign w:val="center"/>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S&amp;P 500 Index</w:t>
            </w:r>
          </w:p>
        </w:tc>
        <w:tc>
          <w:tcPr>
            <w:tcW w:w="695" w:type="dxa"/>
            <w:tcBorders/>
            <w:shd w:fill="FFFFFF" w:val="clear"/>
            <w:vAlign w:val="center"/>
          </w:tcPr>
          <w:p>
            <w:pPr>
              <w:pStyle w:val="TableContents"/>
              <w:bidi w:val="0"/>
              <w:spacing w:before="0" w:after="0"/>
              <w:jc w:val="center"/>
              <w:rPr>
                <w:rFonts w:ascii="Times New Roman" w:hAnsi="Times New Roman"/>
                <w:b/>
                <w:sz w:val="24"/>
              </w:rPr>
            </w:pPr>
            <w:r>
              <w:rPr>
                <w:rFonts w:ascii="Times New Roman" w:hAnsi="Times New Roman"/>
                <w:b/>
                <w:sz w:val="24"/>
              </w:rPr>
              <w:t>100</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0"/>
              <w:jc w:val="center"/>
              <w:rPr>
                <w:sz w:val="24"/>
              </w:rPr>
            </w:pPr>
            <w:r>
              <w:rPr>
                <w:sz w:val="24"/>
              </w:rPr>
              <w:t>131.49</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155.68</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200.37</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164.08</w:t>
            </w:r>
          </w:p>
        </w:tc>
        <w:tc>
          <w:tcPr>
            <w:tcW w:w="60" w:type="dxa"/>
            <w:tcBorders/>
            <w:shd w:fill="FFFFFF" w:val="clear"/>
            <w:vAlign w:val="center"/>
          </w:tcPr>
          <w:p>
            <w:pPr>
              <w:pStyle w:val="TableContents"/>
              <w:bidi w:val="0"/>
              <w:spacing w:before="0" w:after="283"/>
              <w:jc w:val="left"/>
              <w:rPr/>
            </w:pPr>
            <w:r>
              <w:rPr/>
            </w:r>
          </w:p>
        </w:tc>
        <w:tc>
          <w:tcPr>
            <w:tcW w:w="695" w:type="dxa"/>
            <w:tcBorders/>
            <w:shd w:fill="FFFFFF" w:val="clear"/>
            <w:vAlign w:val="center"/>
          </w:tcPr>
          <w:p>
            <w:pPr>
              <w:pStyle w:val="TableContents"/>
              <w:bidi w:val="0"/>
              <w:spacing w:before="0" w:after="283"/>
              <w:jc w:val="center"/>
              <w:rPr>
                <w:sz w:val="24"/>
              </w:rPr>
            </w:pPr>
            <w:r>
              <w:rPr>
                <w:sz w:val="24"/>
              </w:rPr>
              <w:t>207.21</w:t>
            </w:r>
          </w:p>
        </w:tc>
      </w:tr>
      <w:tr>
        <w:trPr/>
        <w:tc>
          <w:tcPr>
            <w:tcW w:w="3545" w:type="dxa"/>
            <w:tcBorders/>
            <w:shd w:fill="CCEEFF" w:val="clear"/>
            <w:vAlign w:val="center"/>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S&amp;P MidCap 400 Index</w:t>
            </w:r>
          </w:p>
        </w:tc>
        <w:tc>
          <w:tcPr>
            <w:tcW w:w="695" w:type="dxa"/>
            <w:tcBorders/>
            <w:shd w:fill="CCEEFF" w:val="clear"/>
            <w:vAlign w:val="center"/>
          </w:tcPr>
          <w:p>
            <w:pPr>
              <w:pStyle w:val="TableContents"/>
              <w:bidi w:val="0"/>
              <w:spacing w:before="0" w:after="0"/>
              <w:jc w:val="center"/>
              <w:rPr>
                <w:rFonts w:ascii="Times New Roman" w:hAnsi="Times New Roman"/>
                <w:b/>
                <w:sz w:val="24"/>
              </w:rPr>
            </w:pPr>
            <w:r>
              <w:rPr>
                <w:rFonts w:ascii="Times New Roman" w:hAnsi="Times New Roman"/>
                <w:b/>
                <w:sz w:val="24"/>
              </w:rPr>
              <w:t>100</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4"/>
              </w:rPr>
            </w:pPr>
            <w:r>
              <w:rPr>
                <w:sz w:val="24"/>
              </w:rPr>
              <w:t>126.20</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143.44</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178.95</w:t>
            </w:r>
          </w:p>
        </w:tc>
        <w:tc>
          <w:tcPr>
            <w:tcW w:w="60" w:type="dxa"/>
            <w:tcBorders/>
            <w:shd w:fill="CCEEFF" w:val="clear"/>
            <w:vAlign w:val="center"/>
          </w:tcPr>
          <w:p>
            <w:pPr>
              <w:pStyle w:val="TableContents"/>
              <w:bidi w:val="0"/>
              <w:spacing w:before="0" w:after="283"/>
              <w:jc w:val="left"/>
              <w:rPr/>
            </w:pPr>
            <w:r>
              <w:rPr/>
            </w:r>
          </w:p>
        </w:tc>
        <w:tc>
          <w:tcPr>
            <w:tcW w:w="680" w:type="dxa"/>
            <w:tcBorders/>
            <w:shd w:fill="CCEEFF" w:val="clear"/>
            <w:vAlign w:val="center"/>
          </w:tcPr>
          <w:p>
            <w:pPr>
              <w:pStyle w:val="TableContents"/>
              <w:bidi w:val="0"/>
              <w:spacing w:before="0" w:after="283"/>
              <w:jc w:val="center"/>
              <w:rPr>
                <w:sz w:val="24"/>
              </w:rPr>
            </w:pPr>
            <w:r>
              <w:rPr>
                <w:sz w:val="24"/>
              </w:rPr>
              <w:t>155.58</w:t>
            </w:r>
          </w:p>
        </w:tc>
        <w:tc>
          <w:tcPr>
            <w:tcW w:w="60" w:type="dxa"/>
            <w:tcBorders/>
            <w:shd w:fill="CCEEFF" w:val="clear"/>
            <w:vAlign w:val="center"/>
          </w:tcPr>
          <w:p>
            <w:pPr>
              <w:pStyle w:val="TableContents"/>
              <w:bidi w:val="0"/>
              <w:spacing w:before="0" w:after="283"/>
              <w:jc w:val="left"/>
              <w:rPr/>
            </w:pPr>
            <w:r>
              <w:rPr/>
            </w:r>
          </w:p>
        </w:tc>
        <w:tc>
          <w:tcPr>
            <w:tcW w:w="695" w:type="dxa"/>
            <w:tcBorders/>
            <w:shd w:fill="CCEEFF" w:val="clear"/>
            <w:vAlign w:val="center"/>
          </w:tcPr>
          <w:p>
            <w:pPr>
              <w:pStyle w:val="TableContents"/>
              <w:bidi w:val="0"/>
              <w:spacing w:before="0" w:after="283"/>
              <w:jc w:val="center"/>
              <w:rPr>
                <w:sz w:val="24"/>
              </w:rPr>
            </w:pPr>
            <w:r>
              <w:rPr>
                <w:sz w:val="24"/>
              </w:rPr>
              <w:t>181.15</w:t>
            </w:r>
          </w:p>
        </w:tc>
      </w:tr>
      <w:tr>
        <w:trPr/>
        <w:tc>
          <w:tcPr>
            <w:tcW w:w="3545" w:type="dxa"/>
            <w:tcBorders/>
            <w:shd w:fill="FFFFFF" w:val="clear"/>
            <w:vAlign w:val="center"/>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Philadelphia Semiconductor Index</w:t>
            </w:r>
          </w:p>
        </w:tc>
        <w:tc>
          <w:tcPr>
            <w:tcW w:w="695" w:type="dxa"/>
            <w:tcBorders/>
            <w:shd w:fill="FFFFFF" w:val="clear"/>
            <w:vAlign w:val="center"/>
          </w:tcPr>
          <w:p>
            <w:pPr>
              <w:pStyle w:val="TableContents"/>
              <w:bidi w:val="0"/>
              <w:spacing w:before="0" w:after="0"/>
              <w:jc w:val="center"/>
              <w:rPr>
                <w:rFonts w:ascii="Times New Roman" w:hAnsi="Times New Roman"/>
                <w:b/>
                <w:sz w:val="24"/>
              </w:rPr>
            </w:pPr>
            <w:r>
              <w:rPr>
                <w:rFonts w:ascii="Times New Roman" w:hAnsi="Times New Roman"/>
                <w:b/>
                <w:sz w:val="24"/>
              </w:rPr>
              <w:t>100</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4"/>
              </w:rPr>
            </w:pPr>
            <w:r>
              <w:rPr>
                <w:sz w:val="24"/>
              </w:rPr>
              <w:t>163.26</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250.87</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358.37</w:t>
            </w:r>
          </w:p>
        </w:tc>
        <w:tc>
          <w:tcPr>
            <w:tcW w:w="60" w:type="dxa"/>
            <w:tcBorders/>
            <w:shd w:fill="FFFFFF" w:val="clear"/>
            <w:vAlign w:val="center"/>
          </w:tcPr>
          <w:p>
            <w:pPr>
              <w:pStyle w:val="TableContents"/>
              <w:bidi w:val="0"/>
              <w:spacing w:before="0" w:after="283"/>
              <w:jc w:val="left"/>
              <w:rPr/>
            </w:pPr>
            <w:r>
              <w:rPr/>
            </w:r>
          </w:p>
        </w:tc>
        <w:tc>
          <w:tcPr>
            <w:tcW w:w="680" w:type="dxa"/>
            <w:tcBorders/>
            <w:shd w:fill="FFFFFF" w:val="clear"/>
            <w:vAlign w:val="center"/>
          </w:tcPr>
          <w:p>
            <w:pPr>
              <w:pStyle w:val="TableContents"/>
              <w:bidi w:val="0"/>
              <w:spacing w:before="0" w:after="283"/>
              <w:jc w:val="center"/>
              <w:rPr>
                <w:sz w:val="24"/>
              </w:rPr>
            </w:pPr>
            <w:r>
              <w:rPr>
                <w:sz w:val="24"/>
              </w:rPr>
              <w:t>233.37</w:t>
            </w:r>
          </w:p>
        </w:tc>
        <w:tc>
          <w:tcPr>
            <w:tcW w:w="60" w:type="dxa"/>
            <w:tcBorders/>
            <w:shd w:fill="FFFFFF" w:val="clear"/>
            <w:vAlign w:val="center"/>
          </w:tcPr>
          <w:p>
            <w:pPr>
              <w:pStyle w:val="TableContents"/>
              <w:bidi w:val="0"/>
              <w:spacing w:before="0" w:after="283"/>
              <w:jc w:val="left"/>
              <w:rPr/>
            </w:pPr>
            <w:r>
              <w:rPr/>
            </w:r>
          </w:p>
        </w:tc>
        <w:tc>
          <w:tcPr>
            <w:tcW w:w="695" w:type="dxa"/>
            <w:tcBorders/>
            <w:shd w:fill="FFFFFF" w:val="clear"/>
            <w:vAlign w:val="center"/>
          </w:tcPr>
          <w:p>
            <w:pPr>
              <w:pStyle w:val="TableContents"/>
              <w:bidi w:val="0"/>
              <w:spacing w:before="0" w:after="283"/>
              <w:jc w:val="center"/>
              <w:rPr>
                <w:sz w:val="24"/>
              </w:rPr>
            </w:pPr>
            <w:r>
              <w:rPr>
                <w:sz w:val="24"/>
              </w:rPr>
              <w:t>389.74</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shd w:fill="FFFFFF" w:val="clear"/>
        </w:rPr>
      </w:pPr>
      <w:r>
        <w:rPr>
          <w:color w:val="000000"/>
          <w:shd w:fill="FFFFFF" w:val="clear"/>
        </w:rPr>
        <w:drawing>
          <wp:inline distT="0" distB="0" distL="0" distR="0">
            <wp:extent cx="5715000"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3429000"/>
                    </a:xfrm>
                    <a:prstGeom prst="rect">
                      <a:avLst/>
                    </a:prstGeom>
                  </pic:spPr>
                </pic:pic>
              </a:graphicData>
            </a:graphic>
          </wp:inline>
        </w:drawing>
      </w:r>
      <w:r>
        <w:rPr>
          <w:color w:val="000000"/>
          <w:shd w:fill="FFFFFF" w:val="clear"/>
        </w:rPr>
        <w:t xml:space="preserve">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u w:val="single"/>
          <w:shd w:fill="FFFFFF" w:val="clear"/>
        </w:rPr>
      </w:pPr>
      <w:bookmarkStart w:id="19" w:name="Item6."/>
      <w:bookmarkEnd w:id="19"/>
      <w:r>
        <w:rPr>
          <w:rFonts w:ascii="Times New Roman" w:hAnsi="Times New Roman"/>
          <w:b/>
          <w:color w:val="000000"/>
          <w:sz w:val="24"/>
          <w:u w:val="single"/>
          <w:shd w:fill="FFFFFF" w:val="clear"/>
        </w:rPr>
        <w:t>Item 6.  RESERVED</w:t>
      </w:r>
    </w:p>
    <w:p>
      <w:pPr>
        <w:pStyle w:val="TextBody"/>
        <w:bidi w:val="0"/>
        <w:spacing w:before="0" w:after="0"/>
        <w:ind w:left="1080" w:right="0" w:hanging="1080"/>
        <w:jc w:val="left"/>
        <w:rPr>
          <w:rFonts w:ascii="Times New Roman" w:hAnsi="Times New Roman"/>
          <w:sz w:val="20"/>
        </w:rPr>
      </w:pPr>
      <w:r>
        <w:rPr>
          <w:rFonts w:ascii="Times New Roman" w:hAnsi="Times New Roman"/>
          <w:sz w:val="20"/>
        </w:rPr>
      </w:r>
      <w:bookmarkStart w:id="20" w:name="Item6A"/>
      <w:bookmarkStart w:id="21" w:name="Item6A"/>
      <w:bookmarkEnd w:id="21"/>
    </w:p>
    <w:p>
      <w:pPr>
        <w:pStyle w:val="TextBody"/>
        <w:bidi w:val="0"/>
        <w:spacing w:before="0" w:after="0"/>
        <w:ind w:left="1080" w:right="0" w:hanging="1080"/>
        <w:jc w:val="left"/>
        <w:rPr>
          <w:rFonts w:ascii="Times New Roman" w:hAnsi="Times New Roman"/>
          <w:color w:val="000000"/>
          <w:sz w:val="24"/>
          <w:shd w:fill="FFFFFF" w:val="clear"/>
        </w:rPr>
      </w:pPr>
      <w:r>
        <w:rPr>
          <w:rFonts w:ascii="Times New Roman" w:hAnsi="Times New Roman"/>
          <w:color w:val="000000"/>
          <w:sz w:val="24"/>
          <w:shd w:fill="FFFFFF" w:val="clear"/>
        </w:rPr>
        <w:t>Not applicable.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bookmarkStart w:id="22" w:name="Item7."/>
      <w:bookmarkEnd w:id="22"/>
      <w:r>
        <w:rPr>
          <w:rFonts w:ascii="Times New Roman" w:hAnsi="Times New Roman"/>
          <w:b/>
          <w:color w:val="000000"/>
          <w:sz w:val="24"/>
          <w:u w:val="single"/>
          <w:shd w:fill="FFFFFF" w:val="clear"/>
        </w:rPr>
        <w:t>Item 7.</w:t>
      </w:r>
      <w:r>
        <w:rPr>
          <w:rFonts w:ascii="Times New Roman" w:hAnsi="Times New Roman"/>
          <w:b/>
          <w:color w:val="000000"/>
          <w:sz w:val="24"/>
          <w:shd w:fill="FFFFFF" w:val="clear"/>
        </w:rPr>
        <w:t xml:space="preserve">  </w:t>
      </w:r>
      <w:r>
        <w:rPr>
          <w:rFonts w:ascii="Times New Roman" w:hAnsi="Times New Roman"/>
          <w:b/>
          <w:color w:val="000000"/>
          <w:sz w:val="24"/>
          <w:u w:val="single"/>
          <w:shd w:fill="FFFFFF" w:val="clear"/>
        </w:rPr>
        <w:t>MANAGEMENT'S DISCUSSION AND ANALYSIS OF FINANCIAL CONDITION AND RESULTS OF OPERATIONS</w:t>
      </w:r>
      <w:r>
        <w:rPr>
          <w:rFonts w:ascii="Times New Roman" w:hAnsi="Times New Roman"/>
          <w:color w:val="000000"/>
          <w:sz w:val="24"/>
          <w:shd w:fill="FFFFFF" w:val="clear"/>
        </w:rPr>
        <w:t xml:space="preserve"> </w:t>
      </w:r>
    </w:p>
    <w:p>
      <w:pPr>
        <w:pStyle w:val="TextBody"/>
        <w:bidi w:val="0"/>
        <w:spacing w:before="0" w:after="0"/>
        <w:jc w:val="both"/>
        <w:rPr>
          <w:rFonts w:ascii="Times New Roman" w:hAnsi="Times New Roman"/>
          <w:i/>
          <w:sz w:val="24"/>
        </w:rPr>
      </w:pPr>
      <w:r>
        <w:rPr>
          <w:rFonts w:ascii="Times New Roman" w:hAnsi="Times New Roman"/>
          <w:i/>
          <w:sz w:val="24"/>
        </w:rPr>
      </w:r>
    </w:p>
    <w:p>
      <w:pPr>
        <w:pStyle w:val="TextBody"/>
        <w:bidi w:val="0"/>
        <w:spacing w:before="0" w:after="0"/>
        <w:jc w:val="both"/>
        <w:rPr>
          <w:rFonts w:ascii="Times New Roman" w:hAnsi="Times New Roman"/>
          <w:i/>
          <w:color w:val="000000"/>
          <w:sz w:val="24"/>
          <w:shd w:fill="FFFFFF" w:val="clear"/>
        </w:rPr>
      </w:pPr>
      <w:r>
        <w:rPr>
          <w:rFonts w:ascii="Times New Roman" w:hAnsi="Times New Roman"/>
          <w:i/>
          <w:color w:val="000000"/>
          <w:sz w:val="24"/>
          <w:shd w:fill="FFFFFF" w:val="clear"/>
        </w:rPr>
        <w:t>This Management's Discussion and Analysis (“MD&amp;A”) is intended to provide an understanding of Vishay's financial condition, results of operations and cash flows by focusing on changes in certain key measures from year to year. The MD&amp;A should be read in conjunction with our Consolidated Financial Statements and accompanying Notes filed herewith, commencing on page F-1 of this report.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Overview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medical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operate in six segments based on product functionality: MOSFETs, Diodes, Optoelectronic Components, Resistors, Inductors, and Capacitors.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are focused on enhancing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To drive growth and optimize stockholder value, we plan to capitalize on the mega trends of e-mobility, sustainability, and connectivity through initiatives.  We are developing go-to-market strategies and investing in and expanding the key product lines for growth that we have identified.  We have increased our capacity internally by investing approximately $329 million in 2023 and plan to invest approximately $1.2 billion in total from 2023 - 2025 primarily for capital expansion projects outside of China.  In addition, we are strategically expanding our outsourced production of commodity products to subcontractors.  At the same time, we are enhancing our channel management while investing in internal resources by adding customer-facing engineers and filling gaps in technology and market coverage.  Taken together, each of these initiatives supports our Think Customer First organizational culture.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On November 8, 2023, we and Nexperia BV announced that we have entered into an agreement whereby we will acquire Nexperia’s wafer fabrication facility and operations located in Newport, South Wales, U.K. for approximately $177 million in cash, subject to customary post-closing adjustments.  The closing of the transaction is subject to U.K. government review and customary closing conditions, and is expected to occur in the first quarter of 2024.</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addition to enhancing stockholder value through growing our business, in 2022, our Board of Directors adopted a Stockholder Return Policy, which calls for us to return at least 70% of free cash flow, net of scheduled principal payments of long-term debt, on an annual basis.  See further discussion in “Stockholder Return Policy” below.</w:t>
      </w:r>
    </w:p>
    <w:p>
      <w:pPr>
        <w:pStyle w:val="TextBody"/>
        <w:bidi w:val="0"/>
        <w:spacing w:before="0" w:after="0"/>
        <w:jc w:val="left"/>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On September 12, 2023, we issued $750 million convertible senior notes due 2030.  We used the net proceeds from the issuance of these notes to repurchase $370.2 million principal amount of convertible senior notes due 2025, $94.2 million to enter into capped call transactions intended to mitigate the dilution risk of convertible senior notes due 2030 by synthetically increasing the conversion price of the notes to approximately $43.98 per share, to repay amounts outstanding on our amended and restated credit facility, and for other general corporate purposes.  We recognized a loss of $18.9 million due to the early extinguishment of the repurchased convertible senior notes due 2025.</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On May 8, 2023, we amended and restated our $750 million revolving credit agreement, which replaced our credit agreement that was scheduled to mature in June 2024.  The amendment and restatement extended the maturity date of the revolving credit agreement until May 8, 2028, replaced the previous total leverage ratio used for financial covenant compliance measurement with a net leverage ratio, and replaced the LIBOR-based interest rate and related LIBOR-based mechanics applicable to U.S. dollar borrowings under the revolving credit agreement with an interest rate based on the Secured Overnight Financing Rate ("SOFR") (including a customary spread adjustment) and related SOFR-based mechanics.  The maturity date of the credit facility will accelerate if within ninety-one days prior to the maturity of our convertible senior notes due 2025, the outstanding principal amount of such notes exceeds a defined liquidity measure as set forth in the credit facility.  The repurchase of $370.2 million principal amount of convertible senior notes due 2025 in September 2023 substantially reduces the risk of maturity date acceleration.  Other terms and conditions are substantially unchanged.</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will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  See additional information regarding our competitive strengths and key challenges as disclosed in Part I.</w:t>
      </w:r>
    </w:p>
    <w:p>
      <w:pPr>
        <w:pStyle w:val="TextBody"/>
        <w:widowControl/>
        <w:bidi w:val="0"/>
        <w:spacing w:before="0" w:after="0"/>
        <w:jc w:val="both"/>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utilize several financial metrics, including net revenues, gross profit margin, segment operating income,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The key financial metrics decreased in the fourth fiscal quarter of 2023 primarily due to the negative impacts of an on-going distributor inventory correction that resulted in lower orders.  Net revenues and margins decreased versus the prior year period primarily due to lower volume.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for the year ended December 31, 2023 were $3.402 billion, compared to net revenues of $3.497 billion and $3.240 billion for the years ended December 31, 2022 and 2021, respectively.  Net earnings attributable to Vishay stockholders for the year ended December 31, 2023 were $323.8 million, or $2.31 per diluted share, compared to $428.8 million, or $2.98 per diluted share, and $298.0 million, or $2.05 per share, for the years ended December 31, 2022 and 2021,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define adjusted net earnings as net earnings determined in accordance with GAAP adjusted for various items that management believes are not indicative of the intrinsic operating performance of our business.  We define free cash as the cash flows generated from continuing operations less capital expenditures plus net proceeds from the sale of property and equipment.  The reconciliations below include certain financial measures which are not recognized in accordance with GAAP, including adjusted net earnings, adjusted earnings per share, and free cash.  These non-GAAP measures should not be viewed as alternatives to GAAP measures of performance or liquidity.  Non-GAAP measures such as adjusted net earnings, adjusted earnings per share, and free cash do not have uniform definitions.  These measures, as calculated by Vishay, may not be comparable to similarly titled measures used by other companies. Management believes that adjusted net earnings and adjusted earnings per share are meaningful because they provide insight with respect to our intrinsic operating results.  Management believes that free cash is a meaningful measure of our ability to fund acquisitions, repay debt, and otherwise enhance stockholder value through stock repurchases or dividends.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earnings attributable to Vishay stockholders for the years ended December 31, 2023, 2022, and 2021 include items affecting comparability.  The items affecting comparability are </w:t>
      </w:r>
      <w:r>
        <w:rPr>
          <w:rFonts w:ascii="Times New Roman" w:hAnsi="Times New Roman"/>
          <w:i/>
          <w:color w:val="000000"/>
          <w:sz w:val="24"/>
          <w:shd w:fill="FFFFFF" w:val="clear"/>
        </w:rPr>
        <w:t>(in thousands, except per share amounts)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8720" w:type="dxa"/>
        <w:jc w:val="left"/>
        <w:tblInd w:w="0" w:type="dxa"/>
        <w:tblLayout w:type="fixed"/>
        <w:tblCellMar>
          <w:top w:w="0" w:type="dxa"/>
          <w:left w:w="0" w:type="dxa"/>
          <w:bottom w:w="0" w:type="dxa"/>
          <w:right w:w="0" w:type="dxa"/>
        </w:tblCellMar>
      </w:tblPr>
      <w:tblGrid>
        <w:gridCol w:w="5240"/>
        <w:gridCol w:w="60"/>
        <w:gridCol w:w="200"/>
        <w:gridCol w:w="800"/>
        <w:gridCol w:w="95"/>
        <w:gridCol w:w="60"/>
        <w:gridCol w:w="200"/>
        <w:gridCol w:w="800"/>
        <w:gridCol w:w="95"/>
        <w:gridCol w:w="60"/>
        <w:gridCol w:w="200"/>
        <w:gridCol w:w="800"/>
        <w:gridCol w:w="110"/>
      </w:tblGrid>
      <w:tr>
        <w:trPr/>
        <w:tc>
          <w:tcPr>
            <w:tcW w:w="5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GAAP net earnings attributable to Vishay stockholders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323,820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428,810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297,970</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Reconciling items affecting gross profit: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Impact of COVID-19 pandemic</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b/>
                <w:sz w:val="24"/>
              </w:rPr>
            </w:pPr>
            <w:r>
              <w:rPr>
                <w:b/>
                <w:sz w:val="24"/>
              </w:rPr>
              <w:t xml:space="preserve">$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sz w:val="24"/>
              </w:rPr>
            </w:pPr>
            <w:r>
              <w:rPr>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6,661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sz w:val="24"/>
              </w:rPr>
            </w:pPr>
            <w:r>
              <w:rPr>
                <w:sz w:val="24"/>
              </w:rPr>
              <w:t xml:space="preserve">$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Other reconciling items affecting operating income:</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Impact of COVID-19 pandemic</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b/>
                <w:sz w:val="24"/>
              </w:rPr>
            </w:pPr>
            <w:r>
              <w:rPr>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 xml:space="preserve">$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 xml:space="preserve">$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Reconciling items affecting other income (expense):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Loss on early extinguishment of debt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b/>
                <w:sz w:val="24"/>
              </w:rPr>
            </w:pPr>
            <w:r>
              <w:rPr>
                <w:b/>
                <w:sz w:val="24"/>
              </w:rPr>
              <w:t xml:space="preserve">$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18,874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sz w:val="24"/>
              </w:rPr>
            </w:pPr>
            <w:r>
              <w:rPr>
                <w:sz w:val="24"/>
              </w:rPr>
              <w:t xml:space="preserve">$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sz w:val="24"/>
              </w:rPr>
            </w:pPr>
            <w:r>
              <w:rPr>
                <w:sz w:val="24"/>
              </w:rPr>
              <w:t xml:space="preserve">$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Reconciling items affecting tax expense (benefit):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283"/>
              <w:jc w:val="left"/>
              <w:rPr>
                <w:sz w:val="24"/>
              </w:rPr>
            </w:pPr>
            <w:r>
              <w:rPr>
                <w:sz w:val="24"/>
              </w:rPr>
              <w:t>Effects of changes in uncertain tax positions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b/>
                <w:sz w:val="24"/>
              </w:rPr>
            </w:pPr>
            <w:r>
              <w:rPr>
                <w:b/>
                <w:sz w:val="24"/>
              </w:rPr>
              <w:t>$</w:t>
            </w:r>
          </w:p>
        </w:tc>
        <w:tc>
          <w:tcPr>
            <w:tcW w:w="800" w:type="dxa"/>
            <w:tcBorders/>
            <w:shd w:fill="CCEEFF" w:val="clear"/>
            <w:vAlign w:val="bottom"/>
          </w:tcPr>
          <w:p>
            <w:pPr>
              <w:pStyle w:val="TableContents"/>
              <w:bidi w:val="0"/>
              <w:spacing w:before="0" w:after="283"/>
              <w:jc w:val="right"/>
              <w:rPr>
                <w:b/>
                <w:sz w:val="24"/>
              </w:rPr>
            </w:pPr>
            <w:r>
              <w:rPr>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w:t>
            </w:r>
          </w:p>
        </w:tc>
        <w:tc>
          <w:tcPr>
            <w:tcW w:w="800" w:type="dxa"/>
            <w:tcBorders/>
            <w:shd w:fill="CCEEFF" w:val="clear"/>
            <w:vAlign w:val="bottom"/>
          </w:tcPr>
          <w:p>
            <w:pPr>
              <w:pStyle w:val="TableContents"/>
              <w:bidi w:val="0"/>
              <w:spacing w:before="0" w:after="283"/>
              <w:jc w:val="right"/>
              <w:rPr>
                <w:sz w:val="24"/>
              </w:rPr>
            </w:pPr>
            <w:r>
              <w:rPr>
                <w:sz w:val="24"/>
              </w:rPr>
              <w:t>(5,941</w:t>
            </w:r>
          </w:p>
        </w:tc>
        <w:tc>
          <w:tcPr>
            <w:tcW w:w="95" w:type="dxa"/>
            <w:tcBorders/>
            <w:shd w:fill="CCEEFF" w:val="clear"/>
            <w:vAlign w:val="bottom"/>
          </w:tcPr>
          <w:p>
            <w:pPr>
              <w:pStyle w:val="TableContents"/>
              <w:bidi w:val="0"/>
              <w:spacing w:before="0" w:after="283"/>
              <w:jc w:val="left"/>
              <w:rPr>
                <w:sz w:val="24"/>
              </w:rPr>
            </w:pPr>
            <w:r>
              <w:rPr>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w:t>
            </w:r>
          </w:p>
        </w:tc>
        <w:tc>
          <w:tcPr>
            <w:tcW w:w="800" w:type="dxa"/>
            <w:tcBorders/>
            <w:shd w:fill="CCEEFF" w:val="clear"/>
            <w:vAlign w:val="bottom"/>
          </w:tcPr>
          <w:p>
            <w:pPr>
              <w:pStyle w:val="TableContents"/>
              <w:bidi w:val="0"/>
              <w:spacing w:before="0" w:after="283"/>
              <w:jc w:val="right"/>
              <w:rPr>
                <w:sz w:val="24"/>
              </w:rPr>
            </w:pPr>
            <w:r>
              <w:rPr>
                <w:sz w:val="24"/>
              </w:rPr>
              <w:t>-</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24"/>
              </w:rPr>
            </w:pPr>
            <w:r>
              <w:rPr>
                <w:sz w:val="24"/>
              </w:rPr>
              <w:t xml:space="preserve">Effects of changes in valuation allowances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sz w:val="24"/>
              </w:rPr>
            </w:pPr>
            <w:r>
              <w:rPr>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sz w:val="24"/>
              </w:rPr>
            </w:pPr>
            <w:r>
              <w:rPr>
                <w:sz w:val="24"/>
              </w:rPr>
              <w:t>(33,669</w:t>
            </w:r>
          </w:p>
        </w:tc>
        <w:tc>
          <w:tcPr>
            <w:tcW w:w="95" w:type="dxa"/>
            <w:tcBorders/>
            <w:vAlign w:val="bottom"/>
          </w:tcPr>
          <w:p>
            <w:pPr>
              <w:pStyle w:val="TableContents"/>
              <w:bidi w:val="0"/>
              <w:spacing w:before="0" w:after="283"/>
              <w:jc w:val="left"/>
              <w:rPr>
                <w:sz w:val="24"/>
              </w:rPr>
            </w:pPr>
            <w:r>
              <w:rPr>
                <w:sz w:val="24"/>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sz w:val="24"/>
              </w:rPr>
            </w:pPr>
            <w:r>
              <w:rPr>
                <w:sz w:val="24"/>
              </w:rPr>
              <w:t>(5,714</w:t>
            </w:r>
          </w:p>
        </w:tc>
        <w:tc>
          <w:tcPr>
            <w:tcW w:w="110" w:type="dxa"/>
            <w:tcBorders/>
            <w:vAlign w:val="bottom"/>
          </w:tcPr>
          <w:p>
            <w:pPr>
              <w:pStyle w:val="TableContents"/>
              <w:bidi w:val="0"/>
              <w:spacing w:before="0" w:after="283"/>
              <w:jc w:val="left"/>
              <w:rPr>
                <w:sz w:val="24"/>
              </w:rPr>
            </w:pPr>
            <w:r>
              <w:rPr>
                <w:sz w:val="24"/>
              </w:rPr>
              <w:t>)</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Effect of change in indefinite reversal assertion</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sz w:val="24"/>
              </w:rPr>
            </w:pPr>
            <w:r>
              <w:rPr>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59,642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tax laws and regulations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45,040</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Tax effects of pre-tax items above</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(498</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(1,802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Adjusted net earnings</w:t>
            </w:r>
          </w:p>
        </w:tc>
        <w:tc>
          <w:tcPr>
            <w:tcW w:w="60" w:type="dxa"/>
            <w:tcBorders/>
            <w:vAlign w:val="bottom"/>
          </w:tcPr>
          <w:p>
            <w:pPr>
              <w:pStyle w:val="TableContents"/>
              <w:bidi w:val="0"/>
              <w:spacing w:before="0" w:after="283"/>
              <w:jc w:val="righ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342,196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454,247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337,296</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Adjusted weighted average diluted shares outstanding</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140,246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143,915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145,495</w:t>
            </w:r>
          </w:p>
        </w:tc>
        <w:tc>
          <w:tcPr>
            <w:tcW w:w="110" w:type="dxa"/>
            <w:tcBorders/>
            <w:vAlign w:val="bottom"/>
          </w:tcPr>
          <w:p>
            <w:pPr>
              <w:pStyle w:val="TableContents"/>
              <w:bidi w:val="0"/>
              <w:spacing w:before="0" w:after="283"/>
              <w:jc w:val="left"/>
              <w:rPr/>
            </w:pPr>
            <w:r>
              <w:rPr/>
              <w:t> </w:t>
            </w:r>
          </w:p>
        </w:tc>
      </w:tr>
      <w:tr>
        <w:trPr/>
        <w:tc>
          <w:tcPr>
            <w:tcW w:w="5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Adjusted earnings per diluted share</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2.32</w:t>
            </w:r>
          </w:p>
        </w:tc>
        <w:tc>
          <w:tcPr>
            <w:tcW w:w="110"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242424"/>
          <w:spacing w:val="0"/>
          <w:sz w:val="24"/>
          <w:shd w:fill="FFFFFF" w:val="clear"/>
        </w:rPr>
        <w:t xml:space="preserve">The following table reconciles gross profit by segment to consolidated gross profit. Direct costs of the COVID-19 pandemic are not allocated to the segments as the chief operating decision maker's evaluation of segment performance does not include these costs </w:t>
      </w:r>
      <w:r>
        <w:rPr>
          <w:rFonts w:ascii="Times New Roman" w:hAnsi="Times New Roman"/>
          <w:b w:val="false"/>
          <w:i/>
          <w:caps w:val="false"/>
          <w:smallCaps w:val="false"/>
          <w:color w:val="242424"/>
          <w:spacing w:val="0"/>
          <w:sz w:val="24"/>
          <w:shd w:fill="FFFFFF" w:val="clear"/>
        </w:rPr>
        <w:t>(in thousands)</w:t>
      </w:r>
      <w:r>
        <w:rPr>
          <w:rFonts w:ascii="Times New Roman" w:hAnsi="Times New Roman"/>
          <w:b w:val="false"/>
          <w:i w:val="false"/>
          <w:caps w:val="false"/>
          <w:smallCaps w:val="false"/>
          <w:color w:val="242424"/>
          <w:spacing w:val="0"/>
          <w:sz w:val="24"/>
          <w:shd w:fill="FFFFFF" w:val="clear"/>
        </w:rPr>
        <w:t>:</w:t>
      </w:r>
      <w:r>
        <w:rPr>
          <w:rFonts w:ascii="Times New Roman" w:hAnsi="Times New Roman"/>
          <w:color w:val="000000"/>
          <w:sz w:val="20"/>
          <w:shd w:fill="FFFFFF" w:val="clear"/>
        </w:rPr>
        <w:t xml:space="preserve"> </w:t>
      </w:r>
    </w:p>
    <w:p>
      <w:pPr>
        <w:pStyle w:val="TextBody"/>
        <w:bidi w:val="0"/>
        <w:spacing w:before="0" w:after="0"/>
        <w:ind w:left="0" w:right="0" w:hanging="0"/>
        <w:jc w:val="left"/>
        <w:rPr/>
      </w:pPr>
      <w:r>
        <w:rPr/>
      </w:r>
    </w:p>
    <w:tbl>
      <w:tblPr>
        <w:tblW w:w="6250" w:type="dxa"/>
        <w:jc w:val="left"/>
        <w:tblInd w:w="0" w:type="dxa"/>
        <w:tblLayout w:type="fixed"/>
        <w:tblCellMar>
          <w:top w:w="0" w:type="dxa"/>
          <w:left w:w="0" w:type="dxa"/>
          <w:bottom w:w="0" w:type="dxa"/>
          <w:right w:w="0" w:type="dxa"/>
        </w:tblCellMar>
      </w:tblPr>
      <w:tblGrid>
        <w:gridCol w:w="2855"/>
        <w:gridCol w:w="60"/>
        <w:gridCol w:w="140"/>
        <w:gridCol w:w="800"/>
        <w:gridCol w:w="60"/>
        <w:gridCol w:w="60"/>
        <w:gridCol w:w="140"/>
        <w:gridCol w:w="980"/>
        <w:gridCol w:w="95"/>
        <w:gridCol w:w="60"/>
        <w:gridCol w:w="140"/>
        <w:gridCol w:w="800"/>
        <w:gridCol w:w="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75" w:type="dxa"/>
            <w:gridSpan w:val="10"/>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Years ended December 31,</w:t>
            </w:r>
          </w:p>
        </w:tc>
        <w:tc>
          <w:tcPr>
            <w:tcW w:w="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MOSFETS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259,386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98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274,498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189,959</w:t>
            </w:r>
          </w:p>
        </w:tc>
        <w:tc>
          <w:tcPr>
            <w:tcW w:w="6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Diodes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175,621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198,105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168,365</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Optoelectronic Components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62,226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102,787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100,737</w:t>
            </w:r>
          </w:p>
        </w:tc>
        <w:tc>
          <w:tcPr>
            <w:tcW w:w="6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Resistors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238,428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262,072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215,853</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Inductors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112,414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107,358</w:t>
            </w:r>
          </w:p>
        </w:tc>
        <w:tc>
          <w:tcPr>
            <w:tcW w:w="6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Capacitors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126,418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123,839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105,641</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Unallocated gross profit (loss)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(6,661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Gross profit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b/>
              </w:rPr>
            </w:pPr>
            <w:r>
              <w:rPr>
                <w:b/>
              </w:rPr>
              <w:t>$</w:t>
            </w:r>
          </w:p>
        </w:tc>
        <w:tc>
          <w:tcPr>
            <w:tcW w:w="800" w:type="dxa"/>
            <w:tcBorders>
              <w:bottom w:val="double" w:sz="8" w:space="0" w:color="000000"/>
            </w:tcBorders>
            <w:tcMar>
              <w:bottom w:w="28" w:type="dxa"/>
            </w:tcMar>
            <w:vAlign w:val="bottom"/>
          </w:tcPr>
          <w:p>
            <w:pPr>
              <w:pStyle w:val="TableContents"/>
              <w:bidi w:val="0"/>
              <w:spacing w:before="0" w:after="283"/>
              <w:jc w:val="right"/>
              <w:rPr>
                <w:b/>
              </w:rPr>
            </w:pPr>
            <w:r>
              <w:rPr>
                <w:b/>
              </w:rPr>
              <w:t>974,493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1,058,989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tcMar>
              <w:bottom w:w="28" w:type="dxa"/>
            </w:tcMar>
            <w:vAlign w:val="bottom"/>
          </w:tcPr>
          <w:p>
            <w:pPr>
              <w:pStyle w:val="TableContents"/>
              <w:bidi w:val="0"/>
              <w:spacing w:before="0" w:after="283"/>
              <w:jc w:val="right"/>
              <w:rPr/>
            </w:pPr>
            <w:r>
              <w:rPr/>
              <w:t>887,913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Although the term "free cash" is not defined in GAAP, each of the elements used to calculate free cash is presented as a line item on the face of our consolidated statements of cash flows prepared in accordance with GAAP.  Our free cash results are as follows </w:t>
      </w:r>
      <w:r>
        <w:rPr>
          <w:rFonts w:ascii="Times New Roman" w:hAnsi="Times New Roman"/>
          <w:i/>
          <w:color w:val="000000"/>
          <w:sz w:val="24"/>
          <w:shd w:fill="FFFFFF" w:val="clear"/>
        </w:rPr>
        <w:t>(in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8480" w:type="dxa"/>
        <w:jc w:val="left"/>
        <w:tblInd w:w="0" w:type="dxa"/>
        <w:tblLayout w:type="fixed"/>
        <w:tblCellMar>
          <w:top w:w="0" w:type="dxa"/>
          <w:left w:w="0" w:type="dxa"/>
          <w:bottom w:w="0" w:type="dxa"/>
          <w:right w:w="0" w:type="dxa"/>
        </w:tblCellMar>
      </w:tblPr>
      <w:tblGrid>
        <w:gridCol w:w="4955"/>
        <w:gridCol w:w="60"/>
        <w:gridCol w:w="140"/>
        <w:gridCol w:w="875"/>
        <w:gridCol w:w="95"/>
        <w:gridCol w:w="60"/>
        <w:gridCol w:w="140"/>
        <w:gridCol w:w="875"/>
        <w:gridCol w:w="95"/>
        <w:gridCol w:w="60"/>
        <w:gridCol w:w="140"/>
        <w:gridCol w:w="875"/>
        <w:gridCol w:w="110"/>
      </w:tblGrid>
      <w:tr>
        <w:trPr/>
        <w:tc>
          <w:tcPr>
            <w:tcW w:w="49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Net cash provided by continuing operating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365,703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484,288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457,104</w:t>
            </w:r>
          </w:p>
        </w:tc>
        <w:tc>
          <w:tcPr>
            <w:tcW w:w="110" w:type="dxa"/>
            <w:tcBorders/>
            <w:shd w:fill="CCEEFF" w:val="clear"/>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Proceeds from sale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1,156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1,317</w:t>
            </w:r>
          </w:p>
        </w:tc>
        <w:tc>
          <w:tcPr>
            <w:tcW w:w="110"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Less: Capital expenditures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(329,410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(325,308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(218,372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5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Free cash</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37,449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160,178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240,049</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Orders are lower due to a distributor inventory correction that began in the fourth fiscal quarter of 2022 and continued throughout 2023.  Our results for 2023 remained strong, although weaker than our 2022 results.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Our free cash results were significantly impacted by the installment payments of the U.S. transition tax of $27.7 million in 2023 and $14.8 million in 2022 and 2021, respectively, and $63.6 million and $25.2 million of payments of foreign, withholding, and claw-back cash taxes on foreign earnings for the $276.8 million and $81.2 million (net of taxes) that were repatriated to the U.S. in 2023 and 2022, respectively.</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Growth and Company Transformation Initiatives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Effective January 1, 2023, a new executive leadership team, promoted from within, embarked on a new era at Vishay.  The new executive management team laid out a three-year plan to expand capacity to support our highest growth and highest return product lines and to position Vishay to be ready for the next phase of megatrends in e-mobility, sustainability, and connectivity.  The year 2023 is generally seen as the staging year for this plan, and all elements of the plan are progressing throughout the organization.  In 2024, we expect to advance many of these initiatives and begin to have increased manufacturing capacity available.  Beginning in late 2024 and into 2025, we expect to be in a better position to capture the next step in the growing demand for electrification in our key end-markets.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To focus this growth, we have identified product lines for growth across each reportable segment   Most of these product lines serve multiple end-market segments, applications, and business channels.   We have developed go-to market strategies for each one of these product lines, concentrating our resources on improving the technical performance of non-commodity and custom products, to better position Vishay to support the mega trends toward electrification and data communications.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To be ready for this next phase of growth, we intend to invest a total of about $1.2 billion between 2023 and 2025.   These projects include our new power inductor site in Mexico; a resistor manufacturing expansion in Mexico; expanded 8" diode manufacturing in Taiwan and Turin, Italy; and the new MOSFET 12” fab in Itzehoe, Germany.   Our plan was to invest approximately $385 million in 2023; however, capital spending for 2023 came in at $329 million due to some delays in delivery and installing equipment.  We intend to carry over the remaining $56 million into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We have also expanded our external capacity, engaging in developing partnerships with subcontractors to outsource some commodity products and create incremental capacity for our higher growth and higher return products.  Each reportable segment is evaluating subcontractors, including supporting front-end capacities for our semiconductor segments.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By growing capacity and capabilities, we are also enhancing our ability to support all the business channels of OEM, distribution, and EMS, while maximizing the profitability of each one through a focus on higher margin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 the same time, we are focusing on increasing our technical resources, adding additional customer-facing engineers, and intensifying our activities in R&amp;D.  We have seen and will continue to see an increase in operating expenses over the next couple of years as we add these engineering talents, fill gaps in our technology, and become a preferred supplier to more customers and more broadly sell our product portfolio.  This includes investments in technology, including enhanced Customer Relationship Management and planning tools, to improve our operational excellence.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acquisition of MaxPower and its silicon carbide technology in 2022 is an illustration of this increased investment.  During the fourth fiscal quarter, we released our 1,200-volt silicon carbide ("SiC") planar MOSFETs.  We are planning to have the SiC package types for three different resistance and current capabilities available during the first half of 2024.  In parallel, we continue to advance the development of the 1,200-volt dual-trench technology, the 1,700-volt planar technology, and the 650-volt planar technology.  We plan to utilize our pending acquisition of the Newport wafer fab as the home for MaxPower to further develop and scale our SiC capabilities.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Another area of focus is our introduction of solution selling, speaking to customer engineers about applications and the performance improvement that Vishay components can bring, from  the full array of our portfolio.  Customer engineers look for suppliers who can provide solutions to advance their technologies.  Vishay’s semiconductors and passive components can populate greater than 80% of the components on the circuit board in many applications.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All of this is being done as we implement organizational and structural change at Vishay, focused on a “Think Customer First” philosophy, and becoming a more responsive company.  We are fostering collaboration internally and externally, particularly in the functions connected to customer programs.   To facilitate that change internally, we re-designed our short- and long-term incentive plans to align the performance of about 1,000 key employees with Company growth and profitability objectives and stockholder interests.  The equity-based plan was approved by our stockholders at our 2023 annual meeting.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These initiatives are the foundation for our ambitions to unleash the potential at Vishay, realizing the full value of our broad product portfolio and becoming a customer-first company, and for our goals of driving top line growth, expanding margins and optimizing returns.</w:t>
      </w:r>
    </w:p>
    <w:p>
      <w:pPr>
        <w:pStyle w:val="TextBody"/>
        <w:bidi w:val="0"/>
        <w:spacing w:before="0" w:after="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 </w:t>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34</w:t>
      </w:r>
    </w:p>
    <w:p>
      <w:pPr>
        <w:pStyle w:val="HorizontalLine"/>
        <w:bidi w:val="0"/>
        <w:spacing w:before="240" w:after="24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Stockholder Return Policy</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following table summarizes activity pursuant to this policy </w:t>
      </w:r>
      <w:r>
        <w:rPr>
          <w:rFonts w:ascii="Times New Roman;Times;serif" w:hAnsi="Times New Roman;Times;serif"/>
          <w:b w:val="false"/>
          <w:i/>
          <w:caps w:val="false"/>
          <w:smallCaps w:val="false"/>
          <w:color w:val="000000"/>
          <w:spacing w:val="0"/>
          <w:sz w:val="24"/>
          <w:shd w:fill="FFFFFF" w:val="clear"/>
        </w:rPr>
        <w:t>(in thousands):</w:t>
      </w:r>
    </w:p>
    <w:p>
      <w:pPr>
        <w:pStyle w:val="TextBody"/>
        <w:bidi w:val="0"/>
        <w:spacing w:before="0" w:after="0"/>
        <w:ind w:left="0" w:right="0" w:hanging="0"/>
        <w:jc w:val="left"/>
        <w:rPr/>
      </w:pPr>
      <w:r>
        <w:rPr/>
      </w:r>
    </w:p>
    <w:tbl>
      <w:tblPr>
        <w:tblW w:w="6971" w:type="dxa"/>
        <w:jc w:val="left"/>
        <w:tblInd w:w="0" w:type="dxa"/>
        <w:tblLayout w:type="fixed"/>
        <w:tblCellMar>
          <w:top w:w="0" w:type="dxa"/>
          <w:left w:w="0" w:type="dxa"/>
          <w:bottom w:w="0" w:type="dxa"/>
          <w:right w:w="0" w:type="dxa"/>
        </w:tblCellMar>
      </w:tblPr>
      <w:tblGrid>
        <w:gridCol w:w="2945"/>
        <w:gridCol w:w="116"/>
        <w:gridCol w:w="272"/>
        <w:gridCol w:w="1565"/>
        <w:gridCol w:w="60"/>
        <w:gridCol w:w="116"/>
        <w:gridCol w:w="272"/>
        <w:gridCol w:w="1565"/>
        <w:gridCol w:w="60"/>
      </w:tblGrid>
      <w:tr>
        <w:trPr/>
        <w:tc>
          <w:tcPr>
            <w:tcW w:w="2945" w:type="dxa"/>
            <w:tcBorders/>
            <w:vAlign w:val="bottom"/>
          </w:tcPr>
          <w:p>
            <w:pPr>
              <w:pStyle w:val="TableContents"/>
              <w:bidi w:val="0"/>
              <w:spacing w:before="0" w:after="283"/>
              <w:jc w:val="left"/>
              <w:rPr/>
            </w:pPr>
            <w:r>
              <w:rPr/>
              <w:t> </w:t>
            </w:r>
          </w:p>
        </w:tc>
        <w:tc>
          <w:tcPr>
            <w:tcW w:w="3966" w:type="dxa"/>
            <w:gridSpan w:val="7"/>
            <w:tcBorders/>
            <w:vAlign w:val="bottom"/>
          </w:tcPr>
          <w:p>
            <w:pPr>
              <w:pStyle w:val="TableContents"/>
              <w:bidi w:val="0"/>
              <w:spacing w:before="0" w:after="283"/>
              <w:jc w:val="center"/>
              <w:rPr>
                <w:b/>
              </w:rPr>
            </w:pPr>
            <w:r>
              <w:rPr>
                <w:b/>
              </w:rPr>
              <w:t xml:space="preserve">Years ended </w:t>
            </w:r>
          </w:p>
        </w:tc>
        <w:tc>
          <w:tcPr>
            <w:tcW w:w="6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1953"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December 31, 2023</w:t>
            </w:r>
          </w:p>
        </w:tc>
        <w:tc>
          <w:tcPr>
            <w:tcW w:w="60" w:type="dxa"/>
            <w:tcBorders/>
            <w:vAlign w:val="bottom"/>
          </w:tcPr>
          <w:p>
            <w:pPr>
              <w:pStyle w:val="TableContents"/>
              <w:bidi w:val="0"/>
              <w:spacing w:before="0" w:after="283"/>
              <w:jc w:val="left"/>
              <w:rPr/>
            </w:pPr>
            <w:r>
              <w:rPr/>
              <w:t> </w:t>
            </w:r>
          </w:p>
        </w:tc>
        <w:tc>
          <w:tcPr>
            <w:tcW w:w="1953"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Dividends paid to stockholders</w:t>
            </w:r>
          </w:p>
        </w:tc>
        <w:tc>
          <w:tcPr>
            <w:tcW w:w="116"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b/>
              </w:rPr>
            </w:pPr>
            <w:r>
              <w:rPr>
                <w:b/>
              </w:rPr>
              <w:t>$</w:t>
            </w:r>
          </w:p>
        </w:tc>
        <w:tc>
          <w:tcPr>
            <w:tcW w:w="1565" w:type="dxa"/>
            <w:tcBorders/>
            <w:shd w:fill="CCEEFF" w:val="clear"/>
            <w:vAlign w:val="bottom"/>
          </w:tcPr>
          <w:p>
            <w:pPr>
              <w:pStyle w:val="TableContents"/>
              <w:bidi w:val="0"/>
              <w:spacing w:before="0" w:after="283"/>
              <w:jc w:val="right"/>
              <w:rPr>
                <w:b/>
              </w:rPr>
            </w:pPr>
            <w:r>
              <w:rPr>
                <w:b/>
              </w:rPr>
              <w:t>55,626</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57,187</w:t>
            </w:r>
          </w:p>
        </w:tc>
        <w:tc>
          <w:tcPr>
            <w:tcW w:w="60"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Stock repurchases</w:t>
            </w:r>
          </w:p>
        </w:tc>
        <w:tc>
          <w:tcPr>
            <w:tcW w:w="116" w:type="dxa"/>
            <w:tcBorders/>
            <w:vAlign w:val="bottom"/>
          </w:tcPr>
          <w:p>
            <w:pPr>
              <w:pStyle w:val="TableContents"/>
              <w:bidi w:val="0"/>
              <w:spacing w:before="0" w:after="283"/>
              <w:jc w:val="right"/>
              <w:rPr/>
            </w:pPr>
            <w:r>
              <w:rPr/>
              <w:t> </w:t>
            </w:r>
          </w:p>
        </w:tc>
        <w:tc>
          <w:tcPr>
            <w:tcW w:w="2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tcMar>
              <w:bottom w:w="28" w:type="dxa"/>
            </w:tcMar>
            <w:vAlign w:val="bottom"/>
          </w:tcPr>
          <w:p>
            <w:pPr>
              <w:pStyle w:val="TableContents"/>
              <w:bidi w:val="0"/>
              <w:spacing w:before="0" w:after="283"/>
              <w:jc w:val="right"/>
              <w:rPr>
                <w:b/>
              </w:rPr>
            </w:pPr>
            <w:r>
              <w:rPr>
                <w:b/>
              </w:rPr>
              <w:t>78,684</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 </w:t>
            </w:r>
          </w:p>
        </w:tc>
        <w:tc>
          <w:tcPr>
            <w:tcW w:w="2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tcMar>
              <w:bottom w:w="28" w:type="dxa"/>
            </w:tcMar>
            <w:vAlign w:val="bottom"/>
          </w:tcPr>
          <w:p>
            <w:pPr>
              <w:pStyle w:val="TableContents"/>
              <w:bidi w:val="0"/>
              <w:spacing w:before="0" w:after="283"/>
              <w:jc w:val="right"/>
              <w:rPr/>
            </w:pPr>
            <w:r>
              <w:rPr/>
              <w:t>82,972</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Total</w:t>
            </w:r>
          </w:p>
        </w:tc>
        <w:tc>
          <w:tcPr>
            <w:tcW w:w="116" w:type="dxa"/>
            <w:tcBorders/>
            <w:shd w:fill="CCEEFF" w:val="clear"/>
            <w:vAlign w:val="bottom"/>
          </w:tcPr>
          <w:p>
            <w:pPr>
              <w:pStyle w:val="TableContents"/>
              <w:bidi w:val="0"/>
              <w:spacing w:before="0" w:after="283"/>
              <w:jc w:val="righ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1565"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134,310</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righ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565" w:type="dxa"/>
            <w:tcBorders>
              <w:bottom w:val="double" w:sz="8" w:space="0" w:color="000000"/>
            </w:tcBorders>
            <w:shd w:fill="CCEEFF" w:val="clear"/>
            <w:tcMar>
              <w:bottom w:w="28" w:type="dxa"/>
            </w:tcMar>
            <w:vAlign w:val="bottom"/>
          </w:tcPr>
          <w:p>
            <w:pPr>
              <w:pStyle w:val="TableContents"/>
              <w:bidi w:val="0"/>
              <w:spacing w:before="0" w:after="283"/>
              <w:jc w:val="right"/>
              <w:rPr/>
            </w:pPr>
            <w:r>
              <w:rPr/>
              <w:t>140,159</w:t>
            </w:r>
          </w:p>
        </w:tc>
        <w:tc>
          <w:tcPr>
            <w:tcW w:w="60" w:type="dxa"/>
            <w:tcBorders/>
            <w:shd w:fill="CCEEFF" w:val="clear"/>
            <w:vAlign w:val="bottom"/>
          </w:tcPr>
          <w:p>
            <w:pPr>
              <w:pStyle w:val="TableContents"/>
              <w:bidi w:val="0"/>
              <w:spacing w:before="0" w:after="283"/>
              <w:jc w:val="left"/>
              <w:rPr/>
            </w:pPr>
            <w:r>
              <w:rPr/>
              <w:t> </w:t>
            </w:r>
          </w:p>
        </w:tc>
      </w:tr>
    </w:tbl>
    <w:p>
      <w:pPr>
        <w:pStyle w:val="TextBody"/>
        <w:widowControl/>
        <w:bidi w:val="0"/>
        <w:spacing w:before="0" w:after="0"/>
        <w:jc w:val="left"/>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During the fourth quarters of 2022 and 2021, we determined that substantially all unremitted foreign earnings in Germany and Israel, respectively, are no longer indefinitely reinvested.  The changes in these indefinite reinvestment assertions will provide greater access to our worldwide cash balances to fund our growth plan and our Stockholder Return Policy, but also increased our effective tax rate.</w:t>
      </w:r>
    </w:p>
    <w:p>
      <w:pPr>
        <w:pStyle w:val="TextBody"/>
        <w:widowControl/>
        <w:bidi w:val="0"/>
        <w:spacing w:before="0" w:after="0"/>
        <w:jc w:val="left"/>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 </w:t>
      </w:r>
    </w:p>
    <w:p>
      <w:pPr>
        <w:pStyle w:val="TextBody"/>
        <w:widowControl/>
        <w:bidi w:val="0"/>
        <w:spacing w:before="0" w:after="0"/>
        <w:jc w:val="left"/>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have paid dividends each quarter since the first quarter of 2014, and the Stockholder Return Policy will remain in effect until such time as the Board votes to amend or rescind the policy.  Implementation of the Stockholder Return Policy is subject to future declarations of dividends by the Board of Directors, market and business conditions, legal requirements, and other factors.  The policy sets forth our intention, but does not obligate us to acquire any shares of common stock or declare any dividends, and the policy may be terminated or suspended at any time at our discretion, in accordance with applicable laws and regulations.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Financial Metrics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utilize several financial metrics to evaluate the performance and assess the future direction of our business. These key financial measures and metrics include net revenues, gross profit margin, operating margin, segment operating income, segment operating margin, end-of-period backlog, and the book-to-bill ratio. We also monitor changes in our inventory turnover and our or publicly available average selling prices (“ASP”).</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Operating margin is computed as gross profit less operating expenses, expressed as a percentage of net revenues.  Operating margin is clearly a function of net revenues, but also reflects our cost management programs and our ability to contain fixed costs.</w:t>
      </w:r>
    </w:p>
    <w:p>
      <w:pPr>
        <w:pStyle w:val="TextBody"/>
        <w:widowControl/>
        <w:bidi w:val="0"/>
        <w:spacing w:before="0" w:after="0"/>
        <w:ind w:left="0" w:right="0" w:hanging="0"/>
        <w:jc w:val="left"/>
        <w:rPr>
          <w:b w:val="false"/>
          <w:i w:val="false"/>
          <w:caps w:val="false"/>
          <w:smallCaps w:val="false"/>
          <w:color w:val="000000"/>
          <w:spacing w:val="0"/>
        </w:rPr>
      </w:pPr>
      <w:r>
        <w:rPr>
          <w:b w:val="false"/>
          <w:i w:val="false"/>
          <w:caps w:val="false"/>
          <w:smallCaps w:val="false"/>
          <w:color w:val="000000"/>
          <w:spacing w:val="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Our chief operating decision maker makes decisions, allocates resources, and evaluates business segment performance based on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excludes these SG&amp;A expenses that are not directly traceable to the segments.  Segment operating income would also exclude costs not routinely used in the management of the segments in periods when those items are present, such as restructuring and severance costs, the direct impact of the COVID-19 pandemic,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fourth fiscal quarter of 2022 through the fourth fiscal quarter of 2023 </w:t>
      </w:r>
      <w:r>
        <w:rPr>
          <w:rFonts w:ascii="Times New Roman" w:hAnsi="Times New Roman"/>
          <w:i/>
          <w:color w:val="000000"/>
          <w:sz w:val="24"/>
          <w:shd w:fill="FFFFFF" w:val="clear"/>
        </w:rPr>
        <w:t>(dollars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594"/>
        <w:gridCol w:w="60"/>
        <w:gridCol w:w="150"/>
        <w:gridCol w:w="1053"/>
        <w:gridCol w:w="215"/>
        <w:gridCol w:w="60"/>
        <w:gridCol w:w="145"/>
        <w:gridCol w:w="1025"/>
        <w:gridCol w:w="215"/>
        <w:gridCol w:w="60"/>
        <w:gridCol w:w="155"/>
        <w:gridCol w:w="1092"/>
        <w:gridCol w:w="270"/>
        <w:gridCol w:w="60"/>
        <w:gridCol w:w="153"/>
        <w:gridCol w:w="1073"/>
        <w:gridCol w:w="270"/>
        <w:gridCol w:w="60"/>
        <w:gridCol w:w="150"/>
        <w:gridCol w:w="1053"/>
        <w:gridCol w:w="292"/>
      </w:tblGrid>
      <w:tr>
        <w:trPr/>
        <w:tc>
          <w:tcPr>
            <w:tcW w:w="2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4th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1st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2nd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3rd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4th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92" w:type="dxa"/>
            <w:tcBorders/>
            <w:vAlign w:val="bottom"/>
          </w:tcPr>
          <w:p>
            <w:pPr>
              <w:pStyle w:val="TableContents"/>
              <w:bidi w:val="0"/>
              <w:spacing w:before="0" w:after="283"/>
              <w:jc w:val="left"/>
              <w:rPr/>
            </w:pPr>
            <w:r>
              <w:rPr/>
              <w:t> </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855,298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871,046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892,110</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853,653</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785,236</w:t>
            </w:r>
          </w:p>
        </w:tc>
        <w:tc>
          <w:tcPr>
            <w:tcW w:w="292" w:type="dxa"/>
            <w:tcBorders/>
            <w:shd w:fill="CCEEFF" w:val="clear"/>
            <w:vAlign w:val="bottom"/>
          </w:tcPr>
          <w:p>
            <w:pPr>
              <w:pStyle w:val="TableContents"/>
              <w:bidi w:val="0"/>
              <w:spacing w:before="0" w:after="283"/>
              <w:jc w:val="left"/>
              <w:rPr/>
            </w:pPr>
            <w:r>
              <w:rPr/>
              <w:t> </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28.9</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27.8</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25.6</w:t>
            </w:r>
          </w:p>
        </w:tc>
        <w:tc>
          <w:tcPr>
            <w:tcW w:w="29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Operating margin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15.8</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18.2</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15.1</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13.5</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9.9</w:t>
            </w:r>
          </w:p>
        </w:tc>
        <w:tc>
          <w:tcPr>
            <w:tcW w:w="29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End-of-period backlog</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2,292,700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2,169,400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1,895,100</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1,552,400</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1,381,800</w:t>
            </w:r>
          </w:p>
        </w:tc>
        <w:tc>
          <w:tcPr>
            <w:tcW w:w="292" w:type="dxa"/>
            <w:tcBorders/>
            <w:shd w:fill="CCEEFF" w:val="clear"/>
            <w:vAlign w:val="bottom"/>
          </w:tcPr>
          <w:p>
            <w:pPr>
              <w:pStyle w:val="TableContents"/>
              <w:bidi w:val="0"/>
              <w:spacing w:before="0" w:after="283"/>
              <w:jc w:val="left"/>
              <w:rPr/>
            </w:pPr>
            <w:r>
              <w:rPr/>
              <w:t> </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0.69</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0.63</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0.75</w:t>
            </w:r>
          </w:p>
        </w:tc>
        <w:tc>
          <w:tcPr>
            <w:tcW w:w="292" w:type="dxa"/>
            <w:tcBorders/>
            <w:shd w:fill="CCEEFF" w:val="clear"/>
            <w:vAlign w:val="bottom"/>
          </w:tcPr>
          <w:p>
            <w:pPr>
              <w:pStyle w:val="TableContents"/>
              <w:bidi w:val="0"/>
              <w:spacing w:before="0" w:after="283"/>
              <w:jc w:val="left"/>
              <w:rPr/>
            </w:pPr>
            <w:r>
              <w:rPr/>
              <w:t> </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Inventory turnover</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w:t>
            </w:r>
          </w:p>
        </w:tc>
        <w:tc>
          <w:tcPr>
            <w:tcW w:w="292" w:type="dxa"/>
            <w:tcBorders/>
            <w:shd w:fill="CCEEFF" w:val="clear"/>
            <w:vAlign w:val="bottom"/>
          </w:tcPr>
          <w:p>
            <w:pPr>
              <w:pStyle w:val="TableContents"/>
              <w:bidi w:val="0"/>
              <w:spacing w:before="0" w:after="283"/>
              <w:jc w:val="left"/>
              <w:rPr/>
            </w:pPr>
            <w:r>
              <w:rPr/>
              <w:t> </w:t>
            </w:r>
          </w:p>
        </w:tc>
      </w:tr>
      <w:tr>
        <w:trPr/>
        <w:tc>
          <w:tcPr>
            <w:tcW w:w="2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259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ASP vs. prior quarter</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0.6</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w:t>
            </w:r>
          </w:p>
        </w:tc>
        <w:tc>
          <w:tcPr>
            <w:tcW w:w="2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w:t>
            </w:r>
          </w:p>
        </w:tc>
        <w:tc>
          <w:tcPr>
            <w:tcW w:w="29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_______________</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“Financial Metrics by Segment” below for net revenues, book-to-bill ratio, and gross profit margin by segment.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Revenues decreased versus the fourth fiscal quarter of 2022 and versus the prior fiscal quarter primarily due to lower sales volume.  The book-to-bill ratio and backlog were negatively impacted by the distributor inventory correction that began in 2022 and continued through 2023.  We continue to increase manufacturing capacity for critical product lines.  Average selling prices decreased versus the fourth fiscal quarter of 2022 and prior fiscal quarter.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Gross profit margin decreased versus the prior fiscal quarter and prior year quarter primarily due to lower volume.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60" w:after="60"/>
        <w:jc w:val="both"/>
        <w:rPr>
          <w:rFonts w:ascii="Times New Roman" w:hAnsi="Times New Roman"/>
          <w:color w:val="000000"/>
          <w:sz w:val="24"/>
          <w:shd w:fill="FFFFFF" w:val="clear"/>
        </w:rPr>
      </w:pPr>
      <w:r>
        <w:rPr>
          <w:rFonts w:ascii="Times New Roman" w:hAnsi="Times New Roman"/>
          <w:color w:val="000000"/>
          <w:sz w:val="24"/>
          <w:shd w:fill="FFFFFF" w:val="clear"/>
        </w:rPr>
        <w:t>The book-to-bill ratio in the fourth fiscal quarter of 2023 increased to 0.75 versus 0.63 in the third fiscal quarter of 2023.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Financial Metrics by Segment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shows net revenues, book-to-bill ratio, gross profit margin, and segment operating margin broken out by segment for the five fiscal quarters beginning with the fourth fiscal quarter of 2022 through the fourth fiscal quarter of 2023 </w:t>
      </w:r>
      <w:r>
        <w:rPr>
          <w:rFonts w:ascii="Times New Roman" w:hAnsi="Times New Roman"/>
          <w:i/>
          <w:color w:val="000000"/>
          <w:sz w:val="24"/>
          <w:shd w:fill="FFFFFF" w:val="clear"/>
        </w:rPr>
        <w:t>(dollars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4"/>
        </w:rPr>
      </w:pPr>
      <w:r>
        <w:rPr>
          <w:rFonts w:ascii="Times New Roman" w:hAnsi="Times New Roman"/>
          <w:sz w:val="24"/>
        </w:rPr>
      </w:r>
    </w:p>
    <w:tbl>
      <w:tblPr>
        <w:tblW w:w="10205" w:type="dxa"/>
        <w:jc w:val="left"/>
        <w:tblInd w:w="0" w:type="dxa"/>
        <w:tblLayout w:type="fixed"/>
        <w:tblCellMar>
          <w:top w:w="0" w:type="dxa"/>
          <w:left w:w="0" w:type="dxa"/>
          <w:bottom w:w="0" w:type="dxa"/>
          <w:right w:w="0" w:type="dxa"/>
        </w:tblCellMar>
      </w:tblPr>
      <w:tblGrid>
        <w:gridCol w:w="2654"/>
        <w:gridCol w:w="60"/>
        <w:gridCol w:w="181"/>
        <w:gridCol w:w="1041"/>
        <w:gridCol w:w="215"/>
        <w:gridCol w:w="60"/>
        <w:gridCol w:w="175"/>
        <w:gridCol w:w="1004"/>
        <w:gridCol w:w="215"/>
        <w:gridCol w:w="60"/>
        <w:gridCol w:w="190"/>
        <w:gridCol w:w="1091"/>
        <w:gridCol w:w="215"/>
        <w:gridCol w:w="60"/>
        <w:gridCol w:w="186"/>
        <w:gridCol w:w="1066"/>
        <w:gridCol w:w="215"/>
        <w:gridCol w:w="60"/>
        <w:gridCol w:w="181"/>
        <w:gridCol w:w="1041"/>
        <w:gridCol w:w="235"/>
      </w:tblGrid>
      <w:tr>
        <w:trPr/>
        <w:tc>
          <w:tcPr>
            <w:tcW w:w="2654"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4th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1st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2nd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2"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3rd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0"/>
              <w:jc w:val="center"/>
              <w:rPr>
                <w:rFonts w:ascii="Times New Roman" w:hAnsi="Times New Roman"/>
                <w:b/>
                <w:sz w:val="24"/>
                <w:u w:val="single"/>
              </w:rPr>
            </w:pPr>
            <w:r>
              <w:rPr>
                <w:rFonts w:ascii="Times New Roman" w:hAnsi="Times New Roman"/>
                <w:b/>
                <w:sz w:val="24"/>
                <w:u w:val="single"/>
              </w:rPr>
              <w:t>4th Quarter</w:t>
            </w:r>
          </w:p>
          <w:p>
            <w:pPr>
              <w:pStyle w:val="TableContents"/>
              <w:bidi w:val="0"/>
              <w:spacing w:before="0" w:after="0"/>
              <w:jc w:val="center"/>
              <w:rPr>
                <w:rFonts w:ascii="Times New Roman" w:hAnsi="Times New Roman"/>
                <w:b/>
                <w:sz w:val="24"/>
                <w:u w:val="single"/>
              </w:rPr>
            </w:pPr>
            <w:r>
              <w:rPr>
                <w:rFonts w:ascii="Times New Roman" w:hAnsi="Times New Roman"/>
                <w:b/>
                <w:sz w:val="24"/>
                <w:u w:val="single"/>
              </w:rPr>
              <w:t>2023</w:t>
            </w:r>
          </w:p>
        </w:tc>
        <w:tc>
          <w:tcPr>
            <w:tcW w:w="235" w:type="dxa"/>
            <w:tcBorders/>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MOSFETs</w:t>
            </w:r>
          </w:p>
        </w:tc>
        <w:tc>
          <w:tcPr>
            <w:tcW w:w="60"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2"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206,005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198,181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207,388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205,027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168,158</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0.50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0.62</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37.5</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36.8</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34.7</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33.5</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27.3</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29.3</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27.4</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25.7</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16.8</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Diodes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181,791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175,693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174,735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176,788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163,324</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0.54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0.61</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23.4</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27.4</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23.4</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26.7</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24.1</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19.9</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24.3</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20.1</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23.5</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20.9</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Optoelectronic Components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63,985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60,403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64,449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64,441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53,853</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0.59</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36.3</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24.2</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12.1</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28.6</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16.7</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20.3</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Resistors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205,161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223,140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222,433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199,877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198,022</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0.85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0.65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0.82</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28.3</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33.2</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29.1</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24.6</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25.6</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25.3</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29.9</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25.8</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20.9</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22.0</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Inductors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75,198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80,338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89,239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89,947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87,868</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0.91</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29.5</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34.5</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31.7</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33.4</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w:t>
            </w:r>
          </w:p>
        </w:tc>
        <w:tc>
          <w:tcPr>
            <w:tcW w:w="2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0"/>
              <w:ind w:left="144" w:right="0" w:hanging="144"/>
              <w:jc w:val="left"/>
              <w:rPr>
                <w:rFonts w:ascii="Times New Roman" w:hAnsi="Times New Roman"/>
                <w:i/>
                <w:sz w:val="24"/>
                <w:u w:val="single"/>
              </w:rPr>
            </w:pPr>
            <w:r>
              <w:rPr>
                <w:rFonts w:ascii="Times New Roman" w:hAnsi="Times New Roman"/>
                <w:i/>
                <w:sz w:val="24"/>
                <w:u w:val="single"/>
              </w:rPr>
              <w:t>Capacitors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123,158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133,291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133,866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117,573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114,011</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Book-to-bill ratio</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0.70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0.70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0.95</w:t>
            </w:r>
          </w:p>
        </w:tc>
        <w:tc>
          <w:tcPr>
            <w:tcW w:w="235" w:type="dxa"/>
            <w:tcBorders/>
            <w:vAlign w:val="bottom"/>
          </w:tcPr>
          <w:p>
            <w:pPr>
              <w:pStyle w:val="TableContents"/>
              <w:bidi w:val="0"/>
              <w:spacing w:before="0" w:after="283"/>
              <w:jc w:val="left"/>
              <w:rPr/>
            </w:pPr>
            <w:r>
              <w:rPr/>
              <w:t> </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23.7</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28.5</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25.1</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22.1</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25.3</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6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r>
      <w:tr>
        <w:trPr/>
        <w:tc>
          <w:tcPr>
            <w:tcW w:w="26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margin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19.9</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24.8</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21.0</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17.5</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20.4</w:t>
            </w:r>
          </w:p>
        </w:tc>
        <w:tc>
          <w:tcPr>
            <w:tcW w:w="2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_________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24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Acquisition Activity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 such as MaxPower Semiconductor, Inc. ("MaxPower"), acquired in 2022, and key niche suppliers to vertically integrate our supply chain, such as Centerline Technologies, LLC, acquired in 2023.  To limit our financial exposure, we have implemented a policy not to pursue acquisitions if our post-acquisition debt would exceed 2.5x our pro forma earnings before interest, taxes, depreciation, and amortization (“EBITDA”).  For these purposes, we calculate pro forma EBITDA as the adjusted EBITDA of Vishay and the target for Vishay’s four preceding fiscal quarters, with a pro forma adjustment for savings which management estimates would have been achieved had the target been acquired by Vishay at the beginning of the four fiscal quarter period.</w:t>
      </w:r>
    </w:p>
    <w:p>
      <w:pPr>
        <w:pStyle w:val="TextBody"/>
        <w:widowControl/>
        <w:bidi w:val="0"/>
        <w:spacing w:before="0" w:after="0"/>
        <w:ind w:left="0" w:right="0" w:hanging="0"/>
        <w:jc w:val="left"/>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On November 8, 2023, we and Nexperia BV announced that we have entered into an agreement whereby we will acquire Nexperia’s wafer fabrication facility and operations located in Newport, South Wales, U.K. for approximately $177 million in cash, subject to customary post-closing adjustments.  The closing of the transaction is subject to U.K. government review and customary closing conditions, and is expected to occur in the first quarter of 2024.</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 xml:space="preserve">On October 28, 2022, we acquired MaxPower, a San Jose, California-based fabless power semiconductor provider dedicated to delivering innovative and cost-effective technologies that optimize power management solutions.  MaxPower's proprietary device structures and process techniques provide leading edge silicon and SiC MOSFET products.  Its SiC product development targets automotive and industrial applications.  We paid cash of $50.0 million, net of cash acquired, at closing.  The transaction also included possible contingent payments of up to $57.5 million, which would be payable upon the achievement of certain technology milestones, upon favorable resolution of certain technology licensing matters with a third party, and upon the disposition of MaxPower's investment in an equity affiliate.  One of the contingencies was resolved in the fourth fiscal quarter of 2023, which resulted in no additional payments to the former employees and stockholders of MaxPower.  Significant developments occurred in another of the contingencies in January 2024.  Our estimate of the maximum possible contingent payments is $17.5 million.  MaxPower is included in our MOSFETs segment.  The inclusion of this acquisition did not have a material impact on the Company's consolidated results for the years ended December 31, 2023 and 2022.  </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There is no assurance that we will be able to close the transaction for the Nexperia wafer fabrication facility, or identify and acquire additional suitable acquisition candidates at price levels and on terms and conditions we consider acceptable.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Note 2 to our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39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Cost Management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place a strong emphasis on controlling our costs, and use various measures and metrics to evaluate our cost 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define variable costs as expenses that vary with respect to quantity produced.  Fixed costs do not vary with respect to quantity produced over the relevant time period.  Contributive margin is calculated as net revenue less variable costs.  It may be expressed in dollars or as a percentage of net revenue. Management uses this measure to determine the amount of profit to be expected for any change in revenues.  While these measures are typical cost accounting measures, none of these measures are recognized in accordance with GAAP.  The classification of expenses as either variable or fixed is judgmental and other companies might classify such expenses differently.  These measures, as calculated by Vishay, may not be comparable to similarly titled measures used by other companies.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closely monitor variable costs and seek to achieve the contributive margin in our business model.  Over a period of many years, we have generally maintained a contributive margin of between 45% and 47% of revenues.  The erosion of average selling prices, particularly of our semiconductor products, that is typical of our industry, and inflation negatively impact contributive margin and drive us to continually seek ways to reduce our variable costs.  Our variable cost reduction efforts include increasing the efficiency in our production facilities by expending capital for automation, reducing materials costs, materials substitution, increasing wafer size and shrinking dies to maximize efficiency in our semiconductor production processes, and other yield improvement activities.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cost management strategy also includes a focus on controlling fixed costs recorded as costs of products sold or selling, general, and administrative expenses and maintaining our break-even point (adjusted for acquisitions).  We generally seek to limit increases in selling, general, and administrative expenses to the rate of inflation, excluding foreign currency exchange effects and substantially independent of sales volume changes. At constant fixed costs, we would expect each $1 million increase in revenues to increase our operating income by approximately $450,000 to $470,000.  Sudden changes in the business conditions, however, may not allow us to quickly adapt our manufacturing capacity and cost 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During 2023, we implemented the Vishay Intertechnology, Inc. 2023 Long-Term Incentive Plan (the "2023 Plan") to enable us to recruit and retain highly qualified employees, directors, consultants and other service providers, provide them with an incentive for productivity, and create an opportunity for them to share in the growth and value of the Company.  The 2023 Plan is the first broad-based stock compensation program at Vishay in over 20 years.  This program increased operating expenses by $8.8 million in 2023 and is expected to increase operating expenses by between $7 million and $10 million in 2024 versus 2023.  Management believes such additional non-cash costs will enhance the long-term performance of the Company by providing selected participants with an incentive to improve the growth and profitability of the Company.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Also beginning in 2023, we made and are making significant investments in capital expenditures primarily for capital expansion projects outside of China, which will increase depreciation expense.  At the same time, we are focusing on increasing our technical resources, adding additional customer-facing engineers, and intensifying our activities in R&amp;D.  We have seen and expect to continue to see an increase in operating expenses over the next couple of years as we add these engineering talents, fill gaps in our technology, and become a preferred supplier to more customers and more broadly sell our product portfolio.  Management believes such additional costs will enhance our long-term performance by accelerating our growth.  </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Occasionally, our ongoing cost containment activities are not adequate and we must take actions to maintain our cost competitiveness.  We incurred significant restructuring expenses in our past to reduce our cost structure.  Historically, our primary cost reduction technique was through the transfer of production to the extent possible from high-labor-cost countries to lower-labor-cost countries.  We believe that our manufacturing footprint is suitable to serve our customers and end markets, while maintaining lower manufacturing costs.  Since 2013, our cost reduction programs have primarily focused on reducing fixed costs, including selling, general, and administrative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continue to monitor the economic environment and its potential effects on our customers and the end markets that we serve.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do not anticipate any material restructuring activities in 2024.  However, a worsening business environment for the electronics industry or a significant economic downturn may require us to implement additional restructuring initiatives.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uncertain times, we focus on managing our production capacities in accordance with customer requirements, and maintain discipline in terms of our fixed costs and capital expenditures. Even as we seek to manage our costs, we remain cognizant of the future requirements of our demanding markets. We continue to pursue our growth plans through investing in capacities for strategic product lines, and through increasing our resources for R&amp;D, technical marketing, and field application engineering; supplemented by opportunistic acquisitions of specialty businesses.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long-term strategy includes growth through the integration of acquired businesses, and GAAP requires plant closure and employee termination costs that we incur in connection with our acquisition activities to be recorded as expenses in our consolidated statement of operations, as such expenses are incurred.  We have not incurred any material plant closure or employee termination costs related to any of the businesses acquired since 2011, but we expect to have some level of future restructuring expenses due to acquisitions.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Foreign Currency Translation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exposed to foreign currency exchange rate risks, particularly due to transactions in currencies other than the functional currencies of certain subsidiaries.  We occasionally use forward exchange contracts to economically hedge a portion of our projected cash flows from these exposures.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GAAP requires that entities identify the “functional currency” of each of their subsidiaries and measure all elements of the financial statements in that functional currency. A subsidiary’s functional currency is the currency of the primary economic environment in which it operates. In cases where a subsidiary is relatively self-contained within a particular country, the local currency is generally deemed to be the functional currency. However, a foreign subsidiary that is a direct and integral component or extension of the parent company’s operations generally would have the parent company’s currency as its functional currency. We have both situations among our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Foreign Subsidiaries which use the Local Currency as the Functional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finance our operations in Europe and certain locations in Asia in local currencies, and accordingly, these subsidiaries utilize the local currency as their functional currency. For those subsidiaries where the local currency is the functional currency, assets and liabilities in the consolidated balance sheets have been translated at the rate of exchange as of the balance sheet date. Translation adjustments do not impact the results of operations and are reported as a separate component of stockholders’ equity.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those subsidiaries where the local currency is the functional currency, revenues and expenses are translated at the average exchange rate for the year. While the translation of revenues and expenses into U.S. dollars does not directly impact the consolidated statement of operations, the translation effectively increases or decreases the U.S. dollar equivalent of revenues generated and expenses incurred in those foreign currencies.  The dollar was weaker during 2023 versus 2022, but stronger during 2022 versus 2021, with the translation of foreign currency revenues and expenses into U.S. dollars increasing reported revenues and expenses in 2023 versus 2022, but decreasing reported revenues and expenses in 2022 versus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Foreign Subsidiaries which use the U.S. Dollar as the Functional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operations in Israel and most significant locations in Asia are largely financed in U.S. dollars, and accordingly, these subsidiaries utilize the U.S. dollar as their functional currency. 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results of operations. While these subsidiaries transact most business in U.S. dollars, they may have significant costs, particularly payroll-related, which are incurred in the local currency.  The cost of products sold and selling, general, and administrative expense have been favorably impacted for the year ended December 31, 2023 compared to 2022 and for the year ended December 31, 2022 compared to 2021 by local currency transactions of subsidiaries which use the U.S. dollar as their functional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Item 7A for additional discussion of foreign currency exchange risk.</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24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Critical Accounting Policies and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significant accounting policies are summarized in Note 1 to our consolidated financial statements. We identify here a number of policies that entail significant judgments or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Revenue Recognition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Revenue is measured based on the consideration specified in contracts with customers, and excludes any sales incentives and amounts collected on behalf of third parties.  We recognize revenue when we satisfy our performance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a broad line of products that we sell to OEMs, electronic manufacturing services ("EMS") companies, which manufacture for OEMs on an outsourcing basis, and independent distributors that maintain large inventories of electronic components for resale to OEMs and EMS companies.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recognize revenue on sales to distributors when the distributor takes control of the products ("sold-to" model).  We have agreements with distributors that allow distributors a limited credit for unsaleable products, which we refer to as a "scrap allowance." Consistent with industry practice, we also have a "stock, ship and debit" program whereby we consider requests by distributors for credits on previously purchased products that remain in distributors' inventory, to enable the distributors to offer more competitive pricing.  In addition, we have contractual arrangements whereby we provide distributors with protection against price reductions initiated by us after product is sold by us to the distributor and prior to resale by the distributor.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recognize the estimated variable consideration to be received as revenue and record a related accrued expense for the consideration not expected to be received, based upon an estimate of product returns, scrap allowances, "stock, ship and debit" credits, and price protection credits that will be attributable to sales recorded through the end of the period.  We make these estimates based upon sales levels to our customers during the period, inventory levels at the distributors, current and projected market conditions, and historical experience under the programs. We utilize a number of different methodologies and consider several factors when estimating the accruals.  Some of the factors that we consider are sales levels to customers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We believe that we have a reasonable basis to estimate future credits under the programs.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Notes 1 and 9 to our consolidated financial statements for further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Inventories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value our inventories at the lower of cost or net realizable value, with cost determined under the first-in, first-out method. The valuation of our inventories requires our management to make market estimates.  For work in process goods, we are required to estimate the cost to completion of the products and the prices at which we will be able to sell the products.  For finished goods, we must assess the prices at which we believe the inventory can be sold. Inventories are also adjusted for estimated obsolescence and written down to net realizable value based on age of the inventory and upon estimates of future demand, technology developments, and market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Goodwill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See Note 1 to our consolidated financial statements for a description of our goodwill impairment tests.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fair value of reporting units for goodwill impairment testing purposes is measured primarily using present value techniques based on projected cash flows from the reporting unit.  The calculated results are evaluated for reasonableness using comparable company data.  The determination of the fair value of the reporting units requires us to make significant estimates and assumptions.  These estimates and assumptions primarily include, but are not limited to: the selection of appropriate peer group companies; control premiums appropriate for acquisitions in the industries in which we compete; the discount rate; terminal growth rates; and forecasts of revenue, operating income, depreciation and amortization, and capital expenditures.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Due to the inherent uncertainty involved in making these estimates, actual financial results could differ from those estimates.  In addition, changes in assumptions concerning future financial results or other underlying assumptions could have a significant impact on the fair value of the reporting unit and the amount of the goodwill impairment charge.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bookmarkStart w:id="23" w:name="OLE_LINK14"/>
      <w:bookmarkEnd w:id="23"/>
      <w:r>
        <w:rPr>
          <w:rFonts w:ascii="Times New Roman" w:hAnsi="Times New Roman"/>
          <w:b/>
          <w:i/>
          <w:color w:val="000000"/>
          <w:sz w:val="24"/>
          <w:shd w:fill="FFFFFF" w:val="clear"/>
        </w:rPr>
        <w:t>Pension and Other Postretirement Benefits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Our defined benefit plans are concentrated in the United States, Germany, and the Republic of China (Taiwan). At December 31, 2023, our U.S. plans include various non-qualified plans.  The table below summarizes information about our pension and other postretirement benefit plans.  This information should be read in conjunction with Note 11 to our consolidated financial statements </w:t>
      </w:r>
      <w:r>
        <w:rPr>
          <w:rFonts w:ascii="Times New Roman" w:hAnsi="Times New Roman"/>
          <w:i/>
          <w:color w:val="000000"/>
          <w:sz w:val="24"/>
          <w:shd w:fill="FFFFFF" w:val="clear"/>
        </w:rPr>
        <w:t>(amounts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464"/>
        <w:gridCol w:w="60"/>
        <w:gridCol w:w="152"/>
        <w:gridCol w:w="873"/>
        <w:gridCol w:w="60"/>
        <w:gridCol w:w="60"/>
        <w:gridCol w:w="171"/>
        <w:gridCol w:w="834"/>
        <w:gridCol w:w="60"/>
        <w:gridCol w:w="60"/>
        <w:gridCol w:w="140"/>
        <w:gridCol w:w="875"/>
        <w:gridCol w:w="95"/>
        <w:gridCol w:w="60"/>
        <w:gridCol w:w="215"/>
        <w:gridCol w:w="1054"/>
        <w:gridCol w:w="60"/>
        <w:gridCol w:w="60"/>
        <w:gridCol w:w="159"/>
        <w:gridCol w:w="994"/>
        <w:gridCol w:w="95"/>
        <w:gridCol w:w="60"/>
        <w:gridCol w:w="244"/>
        <w:gridCol w:w="1186"/>
        <w:gridCol w:w="114"/>
      </w:tblGrid>
      <w:tr>
        <w:trPr/>
        <w:tc>
          <w:tcPr>
            <w:tcW w:w="2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Benefit</w:t>
            </w:r>
          </w:p>
          <w:p>
            <w:pPr>
              <w:pStyle w:val="TableContents"/>
              <w:bidi w:val="0"/>
              <w:spacing w:before="0" w:after="0"/>
              <w:jc w:val="center"/>
              <w:rPr>
                <w:rFonts w:ascii="Times New Roman" w:hAnsi="Times New Roman"/>
                <w:b/>
                <w:sz w:val="24"/>
              </w:rPr>
            </w:pPr>
            <w:r>
              <w:rPr>
                <w:rFonts w:ascii="Times New Roman" w:hAnsi="Times New Roman"/>
                <w:b/>
                <w:sz w:val="24"/>
              </w:rPr>
              <w:t>obligation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Plan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Funded</w:t>
            </w:r>
          </w:p>
          <w:p>
            <w:pPr>
              <w:pStyle w:val="TableContents"/>
              <w:bidi w:val="0"/>
              <w:spacing w:before="0" w:after="0"/>
              <w:jc w:val="center"/>
              <w:rPr>
                <w:rFonts w:ascii="Times New Roman" w:hAnsi="Times New Roman"/>
                <w:b/>
                <w:sz w:val="24"/>
              </w:rPr>
            </w:pPr>
            <w:r>
              <w:rPr>
                <w:rFonts w:ascii="Times New Roman" w:hAnsi="Times New Roman"/>
                <w:b/>
                <w:sz w:val="24"/>
              </w:rPr>
              <w:t>position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Informally</w:t>
            </w:r>
          </w:p>
          <w:p>
            <w:pPr>
              <w:pStyle w:val="TableContents"/>
              <w:bidi w:val="0"/>
              <w:spacing w:before="0" w:after="0"/>
              <w:jc w:val="center"/>
              <w:rPr>
                <w:rFonts w:ascii="Times New Roman" w:hAnsi="Times New Roman"/>
                <w:b/>
                <w:sz w:val="24"/>
              </w:rPr>
            </w:pPr>
            <w:r>
              <w:rPr>
                <w:rFonts w:ascii="Times New Roman" w:hAnsi="Times New Roman"/>
                <w:b/>
                <w:sz w:val="24"/>
              </w:rPr>
              <w:t>funded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Net position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Unrecognized</w:t>
            </w:r>
          </w:p>
          <w:p>
            <w:pPr>
              <w:pStyle w:val="TableContents"/>
              <w:bidi w:val="0"/>
              <w:spacing w:before="0" w:after="0"/>
              <w:jc w:val="center"/>
              <w:rPr>
                <w:rFonts w:ascii="Times New Roman" w:hAnsi="Times New Roman"/>
                <w:b/>
                <w:sz w:val="24"/>
              </w:rPr>
            </w:pPr>
            <w:r>
              <w:rPr>
                <w:rFonts w:ascii="Times New Roman" w:hAnsi="Times New Roman"/>
                <w:b/>
                <w:sz w:val="24"/>
              </w:rPr>
              <w:t>actuarial</w:t>
            </w:r>
          </w:p>
          <w:p>
            <w:pPr>
              <w:pStyle w:val="TableContents"/>
              <w:bidi w:val="0"/>
              <w:spacing w:before="0" w:after="0"/>
              <w:jc w:val="center"/>
              <w:rPr>
                <w:rFonts w:ascii="Times New Roman" w:hAnsi="Times New Roman"/>
                <w:b/>
                <w:sz w:val="24"/>
              </w:rPr>
            </w:pPr>
            <w:r>
              <w:rPr>
                <w:rFonts w:ascii="Times New Roman" w:hAnsi="Times New Roman"/>
                <w:b/>
                <w:sz w:val="24"/>
              </w:rPr>
              <w:t xml:space="preserve">items </w:t>
            </w:r>
          </w:p>
        </w:tc>
        <w:tc>
          <w:tcPr>
            <w:tcW w:w="114" w:type="dxa"/>
            <w:tcBorders/>
            <w:vAlign w:val="bottom"/>
          </w:tcPr>
          <w:p>
            <w:pPr>
              <w:pStyle w:val="TableContents"/>
              <w:bidi w:val="0"/>
              <w:spacing w:before="0" w:after="283"/>
              <w:jc w:val="left"/>
              <w:rPr/>
            </w:pPr>
            <w:r>
              <w:rPr/>
              <w:t> </w:t>
            </w:r>
          </w:p>
        </w:tc>
      </w:tr>
      <w:tr>
        <w:trPr/>
        <w:tc>
          <w:tcPr>
            <w:tcW w:w="24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U.S. non-qualified pension plans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30,691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(30,691</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(9,151</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8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(522)</w:t>
            </w:r>
          </w:p>
        </w:tc>
        <w:tc>
          <w:tcPr>
            <w:tcW w:w="114" w:type="dxa"/>
            <w:tcBorders/>
            <w:shd w:fill="CCEEFF" w:val="clear"/>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German pension plans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132,627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(132,627</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(128,512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17,261</w:t>
            </w:r>
          </w:p>
        </w:tc>
        <w:tc>
          <w:tcPr>
            <w:tcW w:w="114" w:type="dxa"/>
            <w:tcBorders/>
            <w:vAlign w:val="bottom"/>
          </w:tcPr>
          <w:p>
            <w:pPr>
              <w:pStyle w:val="TableContents"/>
              <w:bidi w:val="0"/>
              <w:spacing w:before="0" w:after="283"/>
              <w:jc w:val="left"/>
              <w:rPr/>
            </w:pPr>
            <w:r>
              <w:rPr/>
              <w:t> </w:t>
            </w:r>
          </w:p>
        </w:tc>
      </w:tr>
      <w:tr>
        <w:trPr/>
        <w:tc>
          <w:tcPr>
            <w:tcW w:w="24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Taiwanese pension plans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43,385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35,826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(7,559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(7,559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5,198</w:t>
            </w:r>
          </w:p>
        </w:tc>
        <w:tc>
          <w:tcPr>
            <w:tcW w:w="114" w:type="dxa"/>
            <w:tcBorders/>
            <w:shd w:fill="CCEEFF" w:val="clear"/>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Other pension plans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34,771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(7,310</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(7,310</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2,432</w:t>
            </w:r>
          </w:p>
        </w:tc>
        <w:tc>
          <w:tcPr>
            <w:tcW w:w="114" w:type="dxa"/>
            <w:tcBorders/>
            <w:vAlign w:val="bottom"/>
          </w:tcPr>
          <w:p>
            <w:pPr>
              <w:pStyle w:val="TableContents"/>
              <w:bidi w:val="0"/>
              <w:spacing w:before="0" w:after="283"/>
              <w:jc w:val="left"/>
              <w:rPr>
                <w:sz w:val="4"/>
                <w:szCs w:val="4"/>
              </w:rPr>
            </w:pPr>
            <w:r>
              <w:rPr>
                <w:sz w:val="4"/>
                <w:szCs w:val="4"/>
              </w:rPr>
            </w:r>
          </w:p>
        </w:tc>
      </w:tr>
      <w:tr>
        <w:trPr/>
        <w:tc>
          <w:tcPr>
            <w:tcW w:w="24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OPEB plans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11,823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(11,823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(11,823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w:t>
            </w:r>
          </w:p>
        </w:tc>
        <w:tc>
          <w:tcPr>
            <w:tcW w:w="11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46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Other retirement obligations</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11,087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(11,087</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(11,087</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4" w:type="dxa"/>
            <w:tcBorders/>
            <w:vAlign w:val="bottom"/>
          </w:tcPr>
          <w:p>
            <w:pPr>
              <w:pStyle w:val="TableContents"/>
              <w:bidi w:val="0"/>
              <w:spacing w:before="0" w:after="283"/>
              <w:jc w:val="left"/>
              <w:rPr/>
            </w:pPr>
            <w:r>
              <w:rPr/>
              <w:t> </w:t>
            </w:r>
          </w:p>
        </w:tc>
      </w:tr>
      <w:tr>
        <w:trPr/>
        <w:tc>
          <w:tcPr>
            <w:tcW w:w="24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264,384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63,287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(201,097</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5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25,655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(175,442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8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24,330</w:t>
            </w:r>
          </w:p>
        </w:tc>
        <w:tc>
          <w:tcPr>
            <w:tcW w:w="11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Accounting for defined benefit pension and other postretirement plans involves numerous assumptions and estimates. The discount rate at which obligations could effectively be settled and the expected long-term rate of return on plan assets are two critical assumptions in measuring the cost and benefit obligations of our pension and other postretirement benefit plans. Other important assumptions include the anticipated rate of future increases in compensation levels, estimated mortality, and for certain postretirement medical plans, increases or trends in health care costs.  Management reviews these assumptions at least annually.  We use independent actuaries and investment advisers to assist us in formulating assumptions and making estimates.  These assumptions are updated periodically to reflect the actual experience and expectations on a plan specific basis as appropriate.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the U.S., we utilize published long-term high quality bonds to determine the discount rate at the measurement date. In Germany and the Republic of China (Taiwan), we utilize published long-term government bond rates to determine the discount rate at the measurement date.  We utilize bond yields at various maturity dates that reflect the timing of expected future benefit payments. We believe the discount rates selected are the rates at which these obligations could effectively be settled.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Non-qualified plans in the U.S. are considered by law to be unfunded.  However, the Company maintains assets in a rabbi trust to fund benefit payments under certain of these plans.  Such assets would be subject to creditor claims under certain conditions.  (See also Notes 11 and 18 to our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our non-U.S. plans are unfunded based on local laws and customs. For those non-U.S. plans that do maintain investments, their asset holdings are primarily cash and fixed income securities, based on local laws and customs. Some non-U.S. plans also informally fund their plans by holding certain available-for-sale investments.  Such assets would be subject to creditor claims under certain conditions. (See also Note 18 to our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set the expected long-term rate of return based on the expected long-term average rates of return to be achieved by the underlying investment portfolios.  In establishing this rate, we consider historical and expected returns for the asset classes in which the plans are invested, advice from pension consultants and investment advisors, and current economic and capital market conditions. The expected return on plan assets is incorporated into the computation of pension expense.  The difference between this expected return and the actual return on plan assets is deferred.  The net deferral of past asset losses (gains) affects the calculated value of plan assets and, ultimately, future pension expense (income).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continue to seek to de-risk our global pension exposures.  Such actions could result in increased net periodic pension cost due to lower expected rates of return on plan assets and/or possible additional charges to recognize unamortized actuarial items if all or a portion of the obligations were to be settled.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believe that the current assumptions used to estimate plan obligations and annual expenses are appropriate.  However, if economic conditions change or if our investment strategy changes, we may be inclined to change some of our assumptions, and the resulting change could have a material impact on the consolidated statements of operations and on the consolidated balance sheet.</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These accruals for tax-related uncertainties are based on our best estimate of potential tax exposures. When particular matters arise, a number of years may elapse before such matters are audited by tax authorities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During 2023, certain tax examinations were concluded and certain statutes of limitations lapsed.  Our tax provision for those years includes adjustments related to the resolution of these matters.  We settled an examination of our U.S. federal income tax returns for the periods ended December 31, 2017 through 2019.  Our federal income tax returns for subsequent years remain subject to examination.  The tax returns of significant non-U.S. subsidiaries currently under examination are located in the following jurisdictions: Israel (2021), Germany (2017 through 2021), India (2004 through 2021), and Philippines (2017 through 2022).  The Company and its subsidiaries also file income tax returns in other taxing jurisdictions in the U.S. and around the world, many of which are still open to examination.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Notes 1 and 5 to consolidated financial statements for additional information.</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44</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24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Statement of operations’ captions as a percentage of net revenues and the effective tax rates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7601" w:type="dxa"/>
        <w:jc w:val="left"/>
        <w:tblInd w:w="0" w:type="dxa"/>
        <w:tblLayout w:type="fixed"/>
        <w:tblCellMar>
          <w:top w:w="0" w:type="dxa"/>
          <w:left w:w="0" w:type="dxa"/>
          <w:bottom w:w="0" w:type="dxa"/>
          <w:right w:w="0" w:type="dxa"/>
        </w:tblCellMar>
      </w:tblPr>
      <w:tblGrid>
        <w:gridCol w:w="4565"/>
        <w:gridCol w:w="60"/>
        <w:gridCol w:w="80"/>
        <w:gridCol w:w="590"/>
        <w:gridCol w:w="288"/>
        <w:gridCol w:w="80"/>
        <w:gridCol w:w="80"/>
        <w:gridCol w:w="590"/>
        <w:gridCol w:w="288"/>
        <w:gridCol w:w="80"/>
        <w:gridCol w:w="80"/>
        <w:gridCol w:w="590"/>
        <w:gridCol w:w="230"/>
      </w:tblGrid>
      <w:tr>
        <w:trPr/>
        <w:tc>
          <w:tcPr>
            <w:tcW w:w="4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46"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Costs of products sold</w:t>
            </w:r>
          </w:p>
        </w:tc>
        <w:tc>
          <w:tcPr>
            <w:tcW w:w="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71.4</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69.7</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72.6</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w:t>
            </w:r>
          </w:p>
        </w:tc>
        <w:tc>
          <w:tcPr>
            <w:tcW w:w="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28.6</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30.3</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27.4</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Selling,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12.7</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13.0</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Operating income</w:t>
            </w:r>
          </w:p>
        </w:tc>
        <w:tc>
          <w:tcPr>
            <w:tcW w:w="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14.3</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17.6</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14.4</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Income before taxes and noncontrolling interest</w:t>
            </w:r>
          </w:p>
        </w:tc>
        <w:tc>
          <w:tcPr>
            <w:tcW w:w="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13.7</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17.0</w:t>
            </w:r>
          </w:p>
        </w:tc>
        <w:tc>
          <w:tcPr>
            <w:tcW w:w="28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13.4</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earnings attributable to Vishay stockholders</w:t>
            </w:r>
          </w:p>
        </w:tc>
        <w:tc>
          <w:tcPr>
            <w:tcW w:w="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9.5</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12.3</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9.2</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56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________</w:t>
            </w:r>
          </w:p>
        </w:tc>
        <w:tc>
          <w:tcPr>
            <w:tcW w:w="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Effective tax rate</w:t>
            </w:r>
          </w:p>
        </w:tc>
        <w:tc>
          <w:tcPr>
            <w:tcW w:w="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30.4</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27.5</w:t>
            </w:r>
          </w:p>
        </w:tc>
        <w:tc>
          <w:tcPr>
            <w:tcW w:w="28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31.2</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Net Revenues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Net revenues were as follows </w:t>
      </w:r>
      <w:r>
        <w:rPr>
          <w:rFonts w:ascii="Times New Roman" w:hAnsi="Times New Roman"/>
          <w:i/>
          <w:color w:val="000000"/>
          <w:sz w:val="24"/>
          <w:shd w:fill="FFFFFF" w:val="clear"/>
        </w:rPr>
        <w:t>(dollars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7560" w:type="dxa"/>
        <w:jc w:val="left"/>
        <w:tblInd w:w="0" w:type="dxa"/>
        <w:tblLayout w:type="fixed"/>
        <w:tblCellMar>
          <w:top w:w="0" w:type="dxa"/>
          <w:left w:w="0" w:type="dxa"/>
          <w:bottom w:w="0" w:type="dxa"/>
          <w:right w:w="0" w:type="dxa"/>
        </w:tblCellMar>
      </w:tblPr>
      <w:tblGrid>
        <w:gridCol w:w="3440"/>
        <w:gridCol w:w="60"/>
        <w:gridCol w:w="140"/>
        <w:gridCol w:w="980"/>
        <w:gridCol w:w="290"/>
        <w:gridCol w:w="60"/>
        <w:gridCol w:w="140"/>
        <w:gridCol w:w="980"/>
        <w:gridCol w:w="215"/>
        <w:gridCol w:w="60"/>
        <w:gridCol w:w="140"/>
        <w:gridCol w:w="980"/>
        <w:gridCol w:w="75"/>
      </w:tblGrid>
      <w:tr>
        <w:trPr/>
        <w:tc>
          <w:tcPr>
            <w:tcW w:w="3440" w:type="dxa"/>
            <w:tcBorders/>
            <w:vAlign w:val="bottom"/>
          </w:tcPr>
          <w:p>
            <w:pPr>
              <w:pStyle w:val="TableContents"/>
              <w:bidi w:val="0"/>
              <w:spacing w:before="0" w:after="283"/>
              <w:jc w:val="left"/>
              <w:rPr>
                <w:sz w:val="4"/>
                <w:szCs w:val="4"/>
              </w:rPr>
            </w:pPr>
            <w:r>
              <w:rPr>
                <w:sz w:val="4"/>
                <w:szCs w:val="4"/>
              </w:rPr>
            </w:r>
          </w:p>
        </w:tc>
        <w:tc>
          <w:tcPr>
            <w:tcW w:w="11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90" w:type="dxa"/>
            <w:tcBorders/>
            <w:vAlign w:val="bottom"/>
          </w:tcPr>
          <w:p>
            <w:pPr>
              <w:pStyle w:val="TableContents"/>
              <w:bidi w:val="0"/>
              <w:spacing w:before="0" w:after="283"/>
              <w:jc w:val="left"/>
              <w:rPr/>
            </w:pPr>
            <w:r>
              <w:rPr/>
              <w:t> </w:t>
            </w:r>
          </w:p>
        </w:tc>
        <w:tc>
          <w:tcPr>
            <w:tcW w:w="11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11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283"/>
              <w:jc w:val="left"/>
              <w:rPr/>
            </w:pPr>
            <w:r>
              <w:rPr/>
              <w:t> </w:t>
            </w:r>
          </w:p>
        </w:tc>
        <w:tc>
          <w:tcPr>
            <w:tcW w:w="118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8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8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3,402,045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prior year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(95,356</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256,914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prior year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Changes in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78"/>
        <w:gridCol w:w="1191"/>
        <w:gridCol w:w="290"/>
        <w:gridCol w:w="60"/>
        <w:gridCol w:w="178"/>
        <w:gridCol w:w="1191"/>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(5.2</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4.3</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7.2</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0.7</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(4.0</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Acquisitions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0.4</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0.0</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vAlign w:val="bottom"/>
          </w:tcPr>
          <w:p>
            <w:pPr>
              <w:pStyle w:val="TableContents"/>
              <w:bidi w:val="0"/>
              <w:spacing w:before="0" w:after="283"/>
              <w:jc w:val="right"/>
              <w:rPr/>
            </w:pPr>
            <w:r>
              <w:rPr/>
              <w:t> </w:t>
            </w:r>
          </w:p>
        </w:tc>
        <w:tc>
          <w:tcPr>
            <w:tcW w:w="178" w:type="dxa"/>
            <w:tcBorders>
              <w:bottom w:val="double" w:sz="8" w:space="0" w:color="000000"/>
            </w:tcBorders>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(2.7</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bottom w:val="double" w:sz="8" w:space="0" w:color="000000"/>
            </w:tcBorders>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4"/>
          <w:shd w:fill="FFFFFF" w:val="clear"/>
        </w:rPr>
      </w:pPr>
      <w:r>
        <w:rPr>
          <w:rFonts w:ascii="Times New Roman" w:hAnsi="Times New Roman"/>
          <w:b w:val="false"/>
          <w:i w:val="false"/>
          <w:caps w:val="false"/>
          <w:smallCaps w:val="false"/>
          <w:color w:val="000000"/>
          <w:sz w:val="24"/>
          <w:shd w:fill="FFFFFF" w:val="clear"/>
        </w:rPr>
        <w:t xml:space="preserve">Despite the inventory correction that we are experiencing, the long-term prospects for our business remain favorable, and we continue to increase manufacturing capacities for critical product lines.  The decrease in net revenues in 2023 is primarily sales volume-driven, partially offset by increased average selling prices.  The increase in net revenues in 2022 was primarily due to increased sales volume and average selling prices.  </w:t>
      </w:r>
    </w:p>
    <w:p>
      <w:pPr>
        <w:pStyle w:val="TextBody"/>
        <w:bidi w:val="0"/>
        <w:spacing w:before="0" w:after="0"/>
        <w:jc w:val="both"/>
        <w:rPr>
          <w:rFonts w:ascii="Times New Roman" w:hAnsi="Times New Roman"/>
          <w:b/>
          <w:i/>
          <w:sz w:val="24"/>
        </w:rPr>
      </w:pPr>
      <w:r>
        <w:rPr>
          <w:rFonts w:ascii="Times New Roman" w:hAnsi="Times New Roman"/>
          <w:b/>
          <w:i/>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Gross Profit and Margins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Gross profit margins for the year ended December 31, 2023 were 28.6%, as compared to 30.3% for the year ended December 31, 2022.  The decrease in gross profit margin is primarily due to decreased sales volume.  Higher labor, materials, and utilities costs also negatively impacted the gross profit margin.</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240" w:after="24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Segments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Analysis of revenues and margins for our segments is provided below.  Direct costs of the COVID-19 pandemic are not allocated to the segments.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MOSFETs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MOSFETs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760" w:type="dxa"/>
        <w:jc w:val="left"/>
        <w:tblInd w:w="0" w:type="dxa"/>
        <w:tblLayout w:type="fixed"/>
        <w:tblCellMar>
          <w:top w:w="0" w:type="dxa"/>
          <w:left w:w="0" w:type="dxa"/>
          <w:bottom w:w="0" w:type="dxa"/>
          <w:right w:w="0" w:type="dxa"/>
        </w:tblCellMar>
      </w:tblPr>
      <w:tblGrid>
        <w:gridCol w:w="5255"/>
        <w:gridCol w:w="60"/>
        <w:gridCol w:w="140"/>
        <w:gridCol w:w="800"/>
        <w:gridCol w:w="215"/>
        <w:gridCol w:w="60"/>
        <w:gridCol w:w="140"/>
        <w:gridCol w:w="800"/>
        <w:gridCol w:w="215"/>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430"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778,754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762,260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667,998</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16,494</w:t>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94,262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2.2</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14.1</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MOSFETs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78"/>
        <w:gridCol w:w="1191"/>
        <w:gridCol w:w="290"/>
        <w:gridCol w:w="60"/>
        <w:gridCol w:w="164"/>
        <w:gridCol w:w="1205"/>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4.1</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11.8</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0.5</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283"/>
              <w:jc w:val="left"/>
              <w:rPr>
                <w:sz w:val="24"/>
              </w:rPr>
            </w:pPr>
            <w:r>
              <w:rPr>
                <w:sz w:val="24"/>
              </w:rPr>
              <w:t>Acquisition</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sz w:val="24"/>
              </w:rPr>
            </w:pPr>
            <w:r>
              <w:rPr>
                <w:sz w:val="24"/>
              </w:rPr>
              <w:t>1.0</w:t>
            </w:r>
          </w:p>
        </w:tc>
        <w:tc>
          <w:tcPr>
            <w:tcW w:w="290" w:type="dxa"/>
            <w:tcBorders/>
            <w:vAlign w:val="bottom"/>
          </w:tcPr>
          <w:p>
            <w:pPr>
              <w:pStyle w:val="TableContents"/>
              <w:bidi w:val="0"/>
              <w:spacing w:before="0" w:after="283"/>
              <w:jc w:val="left"/>
              <w:rPr>
                <w:sz w:val="24"/>
              </w:rPr>
            </w:pPr>
            <w:r>
              <w:rPr>
                <w:sz w:val="24"/>
              </w:rPr>
              <w:t>%</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sz w:val="24"/>
              </w:rPr>
            </w:pPr>
            <w:r>
              <w:rPr>
                <w:sz w:val="24"/>
              </w:rPr>
              <w:t>0.1</w:t>
            </w:r>
          </w:p>
        </w:tc>
        <w:tc>
          <w:tcPr>
            <w:tcW w:w="305" w:type="dxa"/>
            <w:tcBorders/>
            <w:vAlign w:val="bottom"/>
          </w:tcPr>
          <w:p>
            <w:pPr>
              <w:pStyle w:val="TableContents"/>
              <w:bidi w:val="0"/>
              <w:spacing w:before="0" w:after="283"/>
              <w:jc w:val="left"/>
              <w:rPr>
                <w:sz w:val="24"/>
              </w:rPr>
            </w:pPr>
            <w:r>
              <w:rPr>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0.5</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vAlign w:val="bottom"/>
          </w:tcPr>
          <w:p>
            <w:pPr>
              <w:pStyle w:val="TableContents"/>
              <w:bidi w:val="0"/>
              <w:spacing w:before="0" w:after="283"/>
              <w:jc w:val="right"/>
              <w:rPr/>
            </w:pPr>
            <w:r>
              <w:rPr/>
              <w:t> </w:t>
            </w:r>
          </w:p>
        </w:tc>
        <w:tc>
          <w:tcPr>
            <w:tcW w:w="178" w:type="dxa"/>
            <w:tcBorders>
              <w:bottom w:val="double" w:sz="8" w:space="0" w:color="000000"/>
            </w:tcBorders>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12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14.1</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MOSFETs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sz w:val="24"/>
              </w:rPr>
            </w:pPr>
            <w:r>
              <w:rPr>
                <w:sz w:val="24"/>
              </w:rPr>
              <w:t>33.3</w:t>
            </w:r>
          </w:p>
        </w:tc>
        <w:tc>
          <w:tcPr>
            <w:tcW w:w="280" w:type="dxa"/>
            <w:tcBorders/>
            <w:shd w:fill="CCEEFF" w:val="clear"/>
            <w:vAlign w:val="bottom"/>
          </w:tcPr>
          <w:p>
            <w:pPr>
              <w:pStyle w:val="TableContents"/>
              <w:bidi w:val="0"/>
              <w:spacing w:before="0" w:after="283"/>
              <w:jc w:val="left"/>
              <w:rPr>
                <w:sz w:val="24"/>
              </w:rPr>
            </w:pPr>
            <w:r>
              <w:rPr>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sz w:val="24"/>
              </w:rPr>
            </w:pPr>
            <w:r>
              <w:rPr>
                <w:sz w:val="24"/>
              </w:rPr>
              <w:t>36.0</w:t>
            </w:r>
          </w:p>
        </w:tc>
        <w:tc>
          <w:tcPr>
            <w:tcW w:w="280" w:type="dxa"/>
            <w:tcBorders/>
            <w:shd w:fill="CCEEFF" w:val="clear"/>
            <w:vAlign w:val="bottom"/>
          </w:tcPr>
          <w:p>
            <w:pPr>
              <w:pStyle w:val="TableContents"/>
              <w:bidi w:val="0"/>
              <w:spacing w:before="0" w:after="283"/>
              <w:jc w:val="left"/>
              <w:rPr>
                <w:sz w:val="24"/>
              </w:rPr>
            </w:pPr>
            <w:r>
              <w:rPr>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sz w:val="24"/>
              </w:rPr>
            </w:pPr>
            <w:r>
              <w:rPr>
                <w:sz w:val="24"/>
              </w:rPr>
              <w:t>28.4</w:t>
            </w:r>
          </w:p>
        </w:tc>
        <w:tc>
          <w:tcPr>
            <w:tcW w:w="230" w:type="dxa"/>
            <w:tcBorders/>
            <w:shd w:fill="CCEEFF" w:val="clear"/>
            <w:vAlign w:val="bottom"/>
          </w:tcPr>
          <w:p>
            <w:pPr>
              <w:pStyle w:val="TableContents"/>
              <w:bidi w:val="0"/>
              <w:spacing w:before="0" w:after="283"/>
              <w:jc w:val="left"/>
              <w:rPr>
                <w:sz w:val="24"/>
              </w:rPr>
            </w:pPr>
            <w:r>
              <w:rPr>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25.1</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30.0</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22.3</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MOSFETs segment increased slightly in 2023 versus the prior year.  The increase is primarily due to increased sales to automotive, power supply, and industrial end market customers in the Europe region, partially offset decreased sales to customers in the Americas and Asia regions.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gross profit margin in 2023 decreased versus the prior year primarily due to higher utilities, labor, and repair and maintenance costs.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segment operating margin decreased versus the prior year primarily due to decreased gross profit.  Increased segment SG&amp;A expenses primarily due to acquisition-related expenses also contributed to the decrease.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Average selling prices increased versus the prior year.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We continue to invest to expand mid- and long-term manufacturing capacity for strategic product lines.  We have begun building a 12-inch wafer fab in Itzehoe, Germany adjacent to our existing 8-inch wafer fab, which we expect will increase our in-house wafer capacity by approximately 70% within 2-3 years and allow us to balance our in-house and foundry wafer supply.</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4"/>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We acquired leading edge silicon and silicon carbide </w:t>
      </w:r>
      <w:r>
        <w:rPr>
          <w:rFonts w:ascii="Times New Roman" w:hAnsi="Times New Roman"/>
          <w:b w:val="false"/>
          <w:i w:val="false"/>
          <w:caps w:val="false"/>
          <w:smallCaps w:val="false"/>
          <w:color w:val="000000"/>
          <w:spacing w:val="0"/>
          <w:sz w:val="24"/>
          <w:shd w:fill="FFFFFF" w:val="clear"/>
        </w:rPr>
        <w:t>MOSFETs products with our acquisition of MaxPower in the fourth fiscal quarter of 2022.  Our pending acquisition of Nexperia's Newport fab is expected to enhance the manufacturing capacity and capabilities of our MOSFETs segment.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Diodes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Diodes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835" w:type="dxa"/>
        <w:jc w:val="left"/>
        <w:tblInd w:w="0" w:type="dxa"/>
        <w:tblLayout w:type="fixed"/>
        <w:tblCellMar>
          <w:top w:w="0" w:type="dxa"/>
          <w:left w:w="0" w:type="dxa"/>
          <w:bottom w:w="0" w:type="dxa"/>
          <w:right w:w="0" w:type="dxa"/>
        </w:tblCellMar>
      </w:tblPr>
      <w:tblGrid>
        <w:gridCol w:w="5255"/>
        <w:gridCol w:w="60"/>
        <w:gridCol w:w="140"/>
        <w:gridCol w:w="800"/>
        <w:gridCol w:w="290"/>
        <w:gridCol w:w="60"/>
        <w:gridCol w:w="140"/>
        <w:gridCol w:w="800"/>
        <w:gridCol w:w="215"/>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505"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9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690,540</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765,220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709,416</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(74,680</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55,804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(9.8</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Changes in Diodes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42"/>
        <w:gridCol w:w="1227"/>
        <w:gridCol w:w="290"/>
        <w:gridCol w:w="60"/>
        <w:gridCol w:w="178"/>
        <w:gridCol w:w="1191"/>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(11.0</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9.7</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0.4</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0.1</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(9.8</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Diodes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25.4</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25.9</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23.7</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22.2</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23.1</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20.6</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Diodes segment decreased significantly in 2023.  The decrease is primarily due to decreased sales to distribution and EMS customers, power supply end market customers, and customers in the Americas and Asia regions, partially offset by increased sales to automotive end market customers.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Gross profit margin decreased versus the prior year primarily due to lower sales volume and higher materials, labor, and fixed costs, partially offset by higher average selling prices.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Segment operating margin decreased versus the prior year primarily due to decreased gross profit.</w:t>
      </w:r>
    </w:p>
    <w:p>
      <w:pPr>
        <w:pStyle w:val="TextBody"/>
        <w:bidi w:val="0"/>
        <w:spacing w:before="0" w:after="0"/>
        <w:jc w:val="both"/>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Average selling prices increased versus the prior year.  </w:t>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47</w:t>
      </w:r>
    </w:p>
    <w:p>
      <w:pPr>
        <w:pStyle w:val="HorizontalLine"/>
        <w:bidi w:val="0"/>
        <w:spacing w:before="240" w:after="240"/>
        <w:jc w:val="both"/>
        <w:rPr/>
      </w:pPr>
      <w:r>
        <w:rPr/>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Optoelectronic Components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Optoelectronic Components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910" w:type="dxa"/>
        <w:jc w:val="left"/>
        <w:tblInd w:w="0" w:type="dxa"/>
        <w:tblLayout w:type="fixed"/>
        <w:tblCellMar>
          <w:top w:w="0" w:type="dxa"/>
          <w:left w:w="0" w:type="dxa"/>
          <w:bottom w:w="0" w:type="dxa"/>
          <w:right w:w="0" w:type="dxa"/>
        </w:tblCellMar>
      </w:tblPr>
      <w:tblGrid>
        <w:gridCol w:w="5255"/>
        <w:gridCol w:w="60"/>
        <w:gridCol w:w="140"/>
        <w:gridCol w:w="800"/>
        <w:gridCol w:w="290"/>
        <w:gridCol w:w="60"/>
        <w:gridCol w:w="140"/>
        <w:gridCol w:w="800"/>
        <w:gridCol w:w="290"/>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580"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9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9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243,146</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296,384</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302,714</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(53,238</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(6,330</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(18.0</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Optoelectronic Components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42"/>
        <w:gridCol w:w="1227"/>
        <w:gridCol w:w="290"/>
        <w:gridCol w:w="60"/>
        <w:gridCol w:w="178"/>
        <w:gridCol w:w="1191"/>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Decrease in volume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(19.2</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0.5</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6.7</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0.9</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(4.7</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(0.5</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(18.0</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Optoelectronic Components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25.6</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34.7</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33.3</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17.7</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28.8</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27.2</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Optoelectronic Components segment decreased significantly versus the prior year.  The decrease was primarily due to general consumer weakness that impacted many of the products we sell.  The result was decreased sales to distribution customers and customers in all regions.  We expect long-term growth for this segment.</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gross profit margin decreased versus the prior year.  The decrease is primarily due to lower sales volume, higher materials, services, labor, and utilities costs, and inventory and higher depreciation expense.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The segment operating margin decreased primarily due to the decrease in gross profit.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Average selling prices increased versus the prior year.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are now using our recently modernized and expanded wafer fab in Heilbronn, Germany.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Resistors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Resistors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760" w:type="dxa"/>
        <w:jc w:val="left"/>
        <w:tblInd w:w="0" w:type="dxa"/>
        <w:tblLayout w:type="fixed"/>
        <w:tblCellMar>
          <w:top w:w="0" w:type="dxa"/>
          <w:left w:w="0" w:type="dxa"/>
          <w:bottom w:w="0" w:type="dxa"/>
          <w:right w:w="0" w:type="dxa"/>
        </w:tblCellMar>
      </w:tblPr>
      <w:tblGrid>
        <w:gridCol w:w="5255"/>
        <w:gridCol w:w="60"/>
        <w:gridCol w:w="140"/>
        <w:gridCol w:w="800"/>
        <w:gridCol w:w="215"/>
        <w:gridCol w:w="60"/>
        <w:gridCol w:w="140"/>
        <w:gridCol w:w="800"/>
        <w:gridCol w:w="215"/>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430"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843,472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832,806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752,554</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10,666</w:t>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80,252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10.7</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Resistors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78"/>
        <w:gridCol w:w="1191"/>
        <w:gridCol w:w="290"/>
        <w:gridCol w:w="60"/>
        <w:gridCol w:w="164"/>
        <w:gridCol w:w="1205"/>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10.4</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1.8</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(5.6</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Acquisitions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0.0</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vAlign w:val="bottom"/>
          </w:tcPr>
          <w:p>
            <w:pPr>
              <w:pStyle w:val="TableContents"/>
              <w:bidi w:val="0"/>
              <w:spacing w:before="0" w:after="283"/>
              <w:jc w:val="right"/>
              <w:rPr/>
            </w:pPr>
            <w:r>
              <w:rPr/>
              <w:t> </w:t>
            </w:r>
          </w:p>
        </w:tc>
        <w:tc>
          <w:tcPr>
            <w:tcW w:w="178" w:type="dxa"/>
            <w:tcBorders>
              <w:bottom w:val="double" w:sz="8" w:space="0" w:color="000000"/>
            </w:tcBorders>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12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10.7</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Resistors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28.3</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31.5</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28.7</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24.8</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28.2</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25.4</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Resistors segment increased slightly versus the prior year.  The increase was primarily due to increased sales to military and aerospace, automotive, and industrial end market customers and customers in the Europe region, partially offset by decreased sales to distribution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gross profit margin decreased versus the prior year.  The decrease is due to lower sales volume, higher labor and materials costs, and other inflationary impacts, partially offset by increased average selling prices, lower metals and logistics costs, and favorable exchange rate impacts.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Segment operating margin decreased versus the prior year.  The decrease is primarily due to decreased gross profit.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Average selling prices increased versus the prior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are increasing critical manufacturing capacities for certain product lines.  We continue to broaden our business with targeted acquisitions of specialty resistors businesses.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Inductors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Inductors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835" w:type="dxa"/>
        <w:jc w:val="left"/>
        <w:tblInd w:w="0" w:type="dxa"/>
        <w:tblLayout w:type="fixed"/>
        <w:tblCellMar>
          <w:top w:w="0" w:type="dxa"/>
          <w:left w:w="0" w:type="dxa"/>
          <w:bottom w:w="0" w:type="dxa"/>
          <w:right w:w="0" w:type="dxa"/>
        </w:tblCellMar>
      </w:tblPr>
      <w:tblGrid>
        <w:gridCol w:w="5255"/>
        <w:gridCol w:w="60"/>
        <w:gridCol w:w="140"/>
        <w:gridCol w:w="800"/>
        <w:gridCol w:w="215"/>
        <w:gridCol w:w="60"/>
        <w:gridCol w:w="140"/>
        <w:gridCol w:w="800"/>
        <w:gridCol w:w="290"/>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505"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9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347,392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331,086</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335,638</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16,306</w:t>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(4,552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Inductors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18" w:type="dxa"/>
        <w:jc w:val="left"/>
        <w:tblInd w:w="0" w:type="dxa"/>
        <w:tblLayout w:type="fixed"/>
        <w:tblCellMar>
          <w:top w:w="0" w:type="dxa"/>
          <w:left w:w="0" w:type="dxa"/>
          <w:bottom w:w="0" w:type="dxa"/>
          <w:right w:w="0" w:type="dxa"/>
        </w:tblCellMar>
      </w:tblPr>
      <w:tblGrid>
        <w:gridCol w:w="3140"/>
        <w:gridCol w:w="60"/>
        <w:gridCol w:w="213"/>
        <w:gridCol w:w="1156"/>
        <w:gridCol w:w="215"/>
        <w:gridCol w:w="60"/>
        <w:gridCol w:w="178"/>
        <w:gridCol w:w="1191"/>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0.5</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0.1</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0.0</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Inductors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32.4</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31.5</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32.0</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28.7</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28.2</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29.0</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Inductors segment increased moderately versus the prior year.  The increase is primarily due to increased sales to EMS customers, medical, automotive, and military and aerospace end market customers, and customers in the Americas and Europe regions, partially offset by decreased sales to distribution customers, industrial and telecommunications end market customers, and customers in the Asia region.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gross profit margin increased versus the prior year.  The increase is primarily due to increased average selling prices, higher sales volume, lower logistics and metals prices, and positive foreign currency impacts, partially offset by higher labor and materials costs, other inflationary impacts, and start-up costs of a new manufacturing facility.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Segment operating margin increased versus the prior year.  The increase is primarily due to increased gross profit.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Average selling prices increased versus the prior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60" w:after="6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We expect long-term growth in this segment, and are continuously expanding manufacturing capacity for certain product lines and evaluating acquisition opportunities, particularly of specialty businesses.  We have greatly increased our manufacturing capacity for power inductors in the past year.</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Capacitors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Net revenues of the Capacitors segment were as follows </w:t>
      </w:r>
      <w:r>
        <w:rPr>
          <w:rFonts w:ascii="Times New Roman" w:hAnsi="Times New Roman"/>
          <w:i/>
          <w:color w:val="000000"/>
          <w:sz w:val="24"/>
          <w:shd w:fill="FFFFFF" w:val="clear"/>
        </w:rPr>
        <w:t>(dollars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835" w:type="dxa"/>
        <w:jc w:val="left"/>
        <w:tblInd w:w="0" w:type="dxa"/>
        <w:tblLayout w:type="fixed"/>
        <w:tblCellMar>
          <w:top w:w="0" w:type="dxa"/>
          <w:left w:w="0" w:type="dxa"/>
          <w:bottom w:w="0" w:type="dxa"/>
          <w:right w:w="0" w:type="dxa"/>
        </w:tblCellMar>
      </w:tblPr>
      <w:tblGrid>
        <w:gridCol w:w="5255"/>
        <w:gridCol w:w="60"/>
        <w:gridCol w:w="140"/>
        <w:gridCol w:w="800"/>
        <w:gridCol w:w="290"/>
        <w:gridCol w:w="60"/>
        <w:gridCol w:w="140"/>
        <w:gridCol w:w="800"/>
        <w:gridCol w:w="215"/>
        <w:gridCol w:w="60"/>
        <w:gridCol w:w="140"/>
        <w:gridCol w:w="800"/>
        <w:gridCol w:w="75"/>
      </w:tblGrid>
      <w:tr>
        <w:trPr/>
        <w:tc>
          <w:tcPr>
            <w:tcW w:w="5255" w:type="dxa"/>
            <w:tcBorders/>
            <w:vAlign w:val="bottom"/>
          </w:tcPr>
          <w:p>
            <w:pPr>
              <w:pStyle w:val="TableContents"/>
              <w:bidi w:val="0"/>
              <w:spacing w:before="0" w:after="283"/>
              <w:jc w:val="left"/>
              <w:rPr>
                <w:sz w:val="4"/>
                <w:szCs w:val="4"/>
              </w:rPr>
            </w:pPr>
            <w:r>
              <w:rPr>
                <w:sz w:val="4"/>
                <w:szCs w:val="4"/>
              </w:rPr>
            </w:r>
          </w:p>
        </w:tc>
        <w:tc>
          <w:tcPr>
            <w:tcW w:w="3505"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9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498,741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509,645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472,167</w:t>
            </w:r>
          </w:p>
        </w:tc>
        <w:tc>
          <w:tcPr>
            <w:tcW w:w="75"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versus comparable prior year period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(10,904</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37,478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Percentage change versus comparable prior year period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Changes in Capacitors segment net revenues were attributable to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593" w:type="dxa"/>
        <w:jc w:val="left"/>
        <w:tblInd w:w="0" w:type="dxa"/>
        <w:tblLayout w:type="fixed"/>
        <w:tblCellMar>
          <w:top w:w="0" w:type="dxa"/>
          <w:left w:w="0" w:type="dxa"/>
          <w:bottom w:w="0" w:type="dxa"/>
          <w:right w:w="0" w:type="dxa"/>
        </w:tblCellMar>
      </w:tblPr>
      <w:tblGrid>
        <w:gridCol w:w="3140"/>
        <w:gridCol w:w="60"/>
        <w:gridCol w:w="178"/>
        <w:gridCol w:w="1191"/>
        <w:gridCol w:w="290"/>
        <w:gridCol w:w="60"/>
        <w:gridCol w:w="178"/>
        <w:gridCol w:w="1191"/>
        <w:gridCol w:w="305"/>
      </w:tblGrid>
      <w:tr>
        <w:trPr/>
        <w:tc>
          <w:tcPr>
            <w:tcW w:w="3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 vs. 2022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 vs. 2021</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attributable to:</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volume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8.0</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Increase in average selling prices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5.6</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currency effects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0.9</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(0.1</w:t>
            </w:r>
          </w:p>
        </w:tc>
        <w:tc>
          <w:tcPr>
            <w:tcW w:w="2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(0.2</w:t>
            </w:r>
          </w:p>
        </w:tc>
        <w:tc>
          <w:tcPr>
            <w:tcW w:w="3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w:t>
            </w:r>
          </w:p>
        </w:tc>
        <w:tc>
          <w:tcPr>
            <w:tcW w:w="2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3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Gross profit margins and segment operating margins for the Capacitors segment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502" w:type="dxa"/>
        <w:jc w:val="left"/>
        <w:tblInd w:w="0" w:type="dxa"/>
        <w:tblLayout w:type="fixed"/>
        <w:tblCellMar>
          <w:top w:w="0" w:type="dxa"/>
          <w:left w:w="0" w:type="dxa"/>
          <w:bottom w:w="0" w:type="dxa"/>
          <w:right w:w="0" w:type="dxa"/>
        </w:tblCellMar>
      </w:tblPr>
      <w:tblGrid>
        <w:gridCol w:w="2525"/>
        <w:gridCol w:w="78"/>
        <w:gridCol w:w="78"/>
        <w:gridCol w:w="573"/>
        <w:gridCol w:w="280"/>
        <w:gridCol w:w="78"/>
        <w:gridCol w:w="78"/>
        <w:gridCol w:w="573"/>
        <w:gridCol w:w="280"/>
        <w:gridCol w:w="78"/>
        <w:gridCol w:w="78"/>
        <w:gridCol w:w="573"/>
        <w:gridCol w:w="230"/>
      </w:tblGrid>
      <w:tr>
        <w:trPr/>
        <w:tc>
          <w:tcPr>
            <w:tcW w:w="2525" w:type="dxa"/>
            <w:tcBorders/>
            <w:vAlign w:val="bottom"/>
          </w:tcPr>
          <w:p>
            <w:pPr>
              <w:pStyle w:val="TableContents"/>
              <w:bidi w:val="0"/>
              <w:spacing w:before="0" w:after="283"/>
              <w:jc w:val="left"/>
              <w:rPr>
                <w:sz w:val="4"/>
                <w:szCs w:val="4"/>
              </w:rPr>
            </w:pPr>
            <w:r>
              <w:rPr>
                <w:sz w:val="4"/>
                <w:szCs w:val="4"/>
              </w:rPr>
            </w:r>
          </w:p>
        </w:tc>
        <w:tc>
          <w:tcPr>
            <w:tcW w:w="2747" w:type="dxa"/>
            <w:gridSpan w:val="11"/>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80" w:type="dxa"/>
            <w:tcBorders/>
            <w:vAlign w:val="bottom"/>
          </w:tcPr>
          <w:p>
            <w:pPr>
              <w:pStyle w:val="TableContents"/>
              <w:bidi w:val="0"/>
              <w:spacing w:before="0" w:after="283"/>
              <w:jc w:val="left"/>
              <w:rPr/>
            </w:pPr>
            <w:r>
              <w:rPr/>
              <w:t> </w:t>
            </w:r>
          </w:p>
        </w:tc>
        <w:tc>
          <w:tcPr>
            <w:tcW w:w="7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29" w:type="dxa"/>
            <w:gridSpan w:val="3"/>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 margin</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25.3</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24.3</w:t>
            </w:r>
          </w:p>
        </w:tc>
        <w:tc>
          <w:tcPr>
            <w:tcW w:w="28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8"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22.4</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525" w:type="dxa"/>
            <w:tcBorders/>
            <w:vAlign w:val="bottom"/>
          </w:tcPr>
          <w:p>
            <w:pPr>
              <w:pStyle w:val="TableContents"/>
              <w:bidi w:val="0"/>
              <w:spacing w:before="0" w:after="283"/>
              <w:jc w:val="left"/>
              <w:rPr>
                <w:sz w:val="24"/>
              </w:rPr>
            </w:pPr>
            <w:r>
              <w:rPr>
                <w:sz w:val="24"/>
              </w:rPr>
              <w:t>Segment operating margin</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21.1</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20.6</w:t>
            </w:r>
          </w:p>
        </w:tc>
        <w:tc>
          <w:tcPr>
            <w:tcW w:w="280" w:type="dxa"/>
            <w:tcBorders/>
            <w:vAlign w:val="bottom"/>
          </w:tcPr>
          <w:p>
            <w:pPr>
              <w:pStyle w:val="TableContents"/>
              <w:bidi w:val="0"/>
              <w:spacing w:before="0" w:after="283"/>
              <w:jc w:val="left"/>
              <w:rPr>
                <w:sz w:val="24"/>
              </w:rPr>
            </w:pPr>
            <w:r>
              <w:rPr>
                <w:sz w:val="24"/>
              </w:rPr>
              <w:t>%</w:t>
            </w:r>
          </w:p>
        </w:tc>
        <w:tc>
          <w:tcPr>
            <w:tcW w:w="78"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sz w:val="24"/>
              </w:rPr>
            </w:pPr>
            <w:r>
              <w:rPr>
                <w:sz w:val="24"/>
              </w:rPr>
              <w:t>18.1</w:t>
            </w:r>
          </w:p>
        </w:tc>
        <w:tc>
          <w:tcPr>
            <w:tcW w:w="230" w:type="dxa"/>
            <w:tcBorders/>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of the Capacitors segment decreased slightly versus the prior year.  The decrease is primarily due to decreased sales to distribution and EMS customers and customers in the Americas and Asia regions, partially offset by increased sales to industrial end market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gross profit margin increased versus the prior year.  The increase is due to increased average selling prices, positive impact of product mix, positive foreign currency impacts, and lower metals, freight, and utility costs, partially offset by lower sales volume and higher labor and tantalum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Segment operating margin increased versus the prior year.  The increase is primarily due to increased gross profit.</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Average selling prices have increased versus the prior year.  </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Selling, General, and Administrative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Selling, general, and administrative expenses are summarized as follows </w:t>
      </w:r>
      <w:r>
        <w:rPr>
          <w:rFonts w:ascii="Times New Roman" w:hAnsi="Times New Roman"/>
          <w:i/>
          <w:color w:val="000000"/>
          <w:sz w:val="24"/>
          <w:shd w:fill="FFFFFF" w:val="clear"/>
        </w:rPr>
        <w:t>(dollars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5900" w:type="dxa"/>
        <w:jc w:val="left"/>
        <w:tblInd w:w="0" w:type="dxa"/>
        <w:tblLayout w:type="fixed"/>
        <w:tblCellMar>
          <w:top w:w="0" w:type="dxa"/>
          <w:left w:w="0" w:type="dxa"/>
          <w:bottom w:w="0" w:type="dxa"/>
          <w:right w:w="0" w:type="dxa"/>
        </w:tblCellMar>
      </w:tblPr>
      <w:tblGrid>
        <w:gridCol w:w="2240"/>
        <w:gridCol w:w="60"/>
        <w:gridCol w:w="140"/>
        <w:gridCol w:w="800"/>
        <w:gridCol w:w="215"/>
        <w:gridCol w:w="60"/>
        <w:gridCol w:w="140"/>
        <w:gridCol w:w="800"/>
        <w:gridCol w:w="215"/>
        <w:gridCol w:w="60"/>
        <w:gridCol w:w="140"/>
        <w:gridCol w:w="800"/>
        <w:gridCol w:w="230"/>
      </w:tblGrid>
      <w:tr>
        <w:trPr/>
        <w:tc>
          <w:tcPr>
            <w:tcW w:w="2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23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SG&amp;A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488,349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443,503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420,111</w:t>
            </w:r>
          </w:p>
        </w:tc>
        <w:tc>
          <w:tcPr>
            <w:tcW w:w="23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as a percentage of sales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14.4</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12.7</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13.0</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SG&amp;A expenses for the year ended December 31, 2023 increased versus the year ended December 31, 2022 due to general inflation and higher compensation costs, including the implementation of the 2023 Long-Term Incentive Plan in 2023.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Other Income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2023 Compared to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Interest expense for the year ended December 31, 2023 increased by $8.0 million versus the year ended December 31, 2022.  The increase is primarily due to higher interest rates and higher average balances outstanding on the revolving credit facility in 2023 prior to September 2023 when it was paid down to $0.</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analyzes the components of the line “Other” on the consolidated statements of operations </w:t>
      </w:r>
      <w:r>
        <w:rPr>
          <w:rFonts w:ascii="Times New Roman" w:hAnsi="Times New Roman"/>
          <w:i/>
          <w:color w:val="000000"/>
          <w:sz w:val="24"/>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712" w:type="dxa"/>
        <w:jc w:val="left"/>
        <w:tblInd w:w="0" w:type="dxa"/>
        <w:tblLayout w:type="fixed"/>
        <w:tblCellMar>
          <w:top w:w="0" w:type="dxa"/>
          <w:left w:w="0" w:type="dxa"/>
          <w:bottom w:w="0" w:type="dxa"/>
          <w:right w:w="0" w:type="dxa"/>
        </w:tblCellMar>
      </w:tblPr>
      <w:tblGrid>
        <w:gridCol w:w="4820"/>
        <w:gridCol w:w="60"/>
        <w:gridCol w:w="205"/>
        <w:gridCol w:w="1000"/>
        <w:gridCol w:w="139"/>
        <w:gridCol w:w="88"/>
        <w:gridCol w:w="205"/>
        <w:gridCol w:w="1110"/>
        <w:gridCol w:w="95"/>
        <w:gridCol w:w="60"/>
        <w:gridCol w:w="140"/>
        <w:gridCol w:w="680"/>
        <w:gridCol w:w="110"/>
      </w:tblGrid>
      <w:tr>
        <w:trPr/>
        <w:tc>
          <w:tcPr>
            <w:tcW w:w="4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Change</w:t>
            </w:r>
          </w:p>
        </w:tc>
        <w:tc>
          <w:tcPr>
            <w:tcW w:w="110" w:type="dxa"/>
            <w:tcBorders/>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Foreign exchange gain (loss)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677</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5,690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(5,013</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82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Interest income</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31,353</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7,560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23,793</w:t>
            </w:r>
          </w:p>
        </w:tc>
        <w:tc>
          <w:tcPr>
            <w:tcW w:w="110"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Other components of net periodic pension expense</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(8,730</w:t>
            </w:r>
          </w:p>
        </w:tc>
        <w:tc>
          <w:tcPr>
            <w:tcW w:w="139"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8"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(11,090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2,360</w:t>
            </w:r>
          </w:p>
        </w:tc>
        <w:tc>
          <w:tcPr>
            <w:tcW w:w="110"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Investment income (loss)</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1,347</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(6,812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8,159</w:t>
            </w:r>
          </w:p>
        </w:tc>
        <w:tc>
          <w:tcPr>
            <w:tcW w:w="110"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616</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816</w:t>
            </w:r>
          </w:p>
        </w:tc>
        <w:tc>
          <w:tcPr>
            <w:tcW w:w="110"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25,263</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(4,852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30,115</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2022 Compared to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Interest expense for the year ended December 31, 2022 decreased by $0.4 million versus the year ended December 31, 2021.  </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analyzes the components of the line “Other” on the consolidated statements of operations </w:t>
      </w:r>
      <w:r>
        <w:rPr>
          <w:rFonts w:ascii="Times New Roman" w:hAnsi="Times New Roman"/>
          <w:i/>
          <w:color w:val="000000"/>
          <w:sz w:val="24"/>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711" w:type="dxa"/>
        <w:jc w:val="left"/>
        <w:tblInd w:w="0" w:type="dxa"/>
        <w:tblLayout w:type="fixed"/>
        <w:tblCellMar>
          <w:top w:w="0" w:type="dxa"/>
          <w:left w:w="0" w:type="dxa"/>
          <w:bottom w:w="0" w:type="dxa"/>
          <w:right w:w="0" w:type="dxa"/>
        </w:tblCellMar>
      </w:tblPr>
      <w:tblGrid>
        <w:gridCol w:w="4820"/>
        <w:gridCol w:w="60"/>
        <w:gridCol w:w="197"/>
        <w:gridCol w:w="1067"/>
        <w:gridCol w:w="134"/>
        <w:gridCol w:w="84"/>
        <w:gridCol w:w="197"/>
        <w:gridCol w:w="1067"/>
        <w:gridCol w:w="95"/>
        <w:gridCol w:w="60"/>
        <w:gridCol w:w="140"/>
        <w:gridCol w:w="680"/>
        <w:gridCol w:w="110"/>
      </w:tblGrid>
      <w:tr>
        <w:trPr/>
        <w:tc>
          <w:tcPr>
            <w:tcW w:w="4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46" w:type="dxa"/>
            <w:gridSpan w:val="6"/>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Change</w:t>
            </w:r>
          </w:p>
        </w:tc>
        <w:tc>
          <w:tcPr>
            <w:tcW w:w="110" w:type="dxa"/>
            <w:tcBorders/>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exchange gain (loss)</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5,690</w:t>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(2,692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8,382</w:t>
            </w:r>
          </w:p>
        </w:tc>
        <w:tc>
          <w:tcPr>
            <w:tcW w:w="110"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income</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7,560</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6,291</w:t>
            </w:r>
          </w:p>
        </w:tc>
        <w:tc>
          <w:tcPr>
            <w:tcW w:w="110"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components of net periodic pension expense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(11,090</w:t>
            </w:r>
          </w:p>
        </w:tc>
        <w:tc>
          <w:tcPr>
            <w:tcW w:w="13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(13,206</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2,116</w:t>
            </w:r>
          </w:p>
        </w:tc>
        <w:tc>
          <w:tcPr>
            <w:tcW w:w="110"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Investment income (loss)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(6,812</w:t>
            </w:r>
          </w:p>
        </w:tc>
        <w:tc>
          <w:tcPr>
            <w:tcW w:w="13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(1,036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(5,776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8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(200</w:t>
            </w:r>
          </w:p>
        </w:tc>
        <w:tc>
          <w:tcPr>
            <w:tcW w:w="13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(211</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8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(4,852</w:t>
            </w:r>
          </w:p>
        </w:tc>
        <w:tc>
          <w:tcPr>
            <w:tcW w:w="13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 w:type="dxa"/>
            <w:tcBorders/>
            <w:vAlign w:val="bottom"/>
          </w:tcPr>
          <w:p>
            <w:pPr>
              <w:pStyle w:val="TableContents"/>
              <w:bidi w:val="0"/>
              <w:spacing w:before="0" w:after="283"/>
              <w:jc w:val="righ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(15,654</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10,802</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the years ended December 31, 2023, 2022, and 2021, the effective tax rates were 30.4%, 27.5%, and 31.2%, respectively.  With the reduction in the U.S. statutory rate to 21% beginning January 1, 2018, we expect that our effective tax rate will be higher than the U.S. statutory rate, excluding unusual transactions.  Historically, the effective tax rates were generally less than the U.S. statutory rate of 35% primarily because of earnings in foreign jurisdictions.  Discrete tax items impacted our effective tax rate for each period presented.  These items were $20.0 million in 2022 and $39.3 million in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There were no unusual tax transactions that impacted the effective tax rate for the year ended December 31, 2023.</w:t>
      </w:r>
    </w:p>
    <w:p>
      <w:pPr>
        <w:pStyle w:val="TextBody"/>
        <w:bidi w:val="0"/>
        <w:spacing w:before="0" w:after="0"/>
        <w:ind w:left="0" w:right="0" w:hanging="0"/>
        <w:jc w:val="left"/>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Times;serif" w:hAnsi="Times New Roman;Times;serif"/>
          <w:b w:val="false"/>
          <w:i w:val="false"/>
          <w:caps w:val="false"/>
          <w:smallCaps w:val="false"/>
          <w:color w:val="000000"/>
          <w:spacing w:val="0"/>
          <w:sz w:val="24"/>
          <w:shd w:fill="FFFFFF" w:val="clear"/>
        </w:rPr>
        <w:t>The effective tax rate for the year ended December 31, 2022 was impacted by $5.9 million of tax benefits recognized for changes in uncertain tax positions following the resolution of a tax audit, $59.6 million of tax expense recognized upon the change in indefinite reversal assertion on earnings in Germany, and $33.7 million of tax benefits recognized upon the release of a valuation allowance.</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made the determination during the fourth fiscal quarter of 2022 that substantially all unremitted earnings in Germany are no longer indefinitely reinvested.  We recorded additional tax expense during the fourth fiscal quarter of 2022 to accrue the $59.6 million of withholding taxes necessary to distribute these approximately $360.0 million of accumulated earnings to the United States.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effective tax rate for the year ended December 31, 2021 was impacted by $53.3 million of tax expense recognized upon a change in Israeli tax law that was enacted on November 15, 2021.  We have historically benefited from tax incentive programs offered by the Israeli government, including the generation of income not subject to current income tax.  Any tax-exempt earnings generated under these programs would incur an additional “claw-back” tax at approximately 11.1% if they were distributed or invested outside of Israel, in addition to normal withholding taxes on earnings distributed from Israel.  Otherwise, taxes on such earnings were indefinitely deferred.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change in Israeli tax law provided companies with an election to currently pay a reduced claw-back rate of as low as 6% upon meeting certain conditions, with the ability to distribute or invest those amounts outside of Israel at any time in the future.  We elected to pay taxes on all previously untaxed earnings at the reduced 6% claw-back rate.  As a direct result of this change in tax law, we made the determination during the fourth fiscal quarter of 2021 that substantially all unremitted foreign earnings in Israel are no longer permanently reinvested.  We recorded the additional tax expense during the fourth fiscal quarter of 2021 to accrue the claw-back tax on applicable earnings and withholding taxes necessary to distribute these approximately $385.0 million of accumulated earnings to the United States.  </w:t>
      </w:r>
      <w:r>
        <w:rPr>
          <w:rFonts w:ascii="Times New Roman;Times;serif" w:hAnsi="Times New Roman;Times;serif"/>
          <w:b w:val="false"/>
          <w:i w:val="false"/>
          <w:caps w:val="false"/>
          <w:smallCaps w:val="false"/>
          <w:color w:val="000000"/>
          <w:spacing w:val="0"/>
          <w:sz w:val="24"/>
          <w:shd w:fill="FFFFFF" w:val="clear"/>
        </w:rPr>
        <w:t xml:space="preserve">We repatriated $81.2 million (net of taxes) to the United States in 2022 pursuant to this repatriation program.  We paid withholding taxes, foreign taxes, and Israeli clawback taxes of $25.2 million due to the repatriation.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effective tax rate for the year ended December 31, 2021 was also impacted by a $5.7 million tax benefit recognized upon the release of a valuation allowance and $8.3 million of tax benefits recognized due to changes in tax regulations.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Additional information about income taxes is included in Note 5 to our consolidated financial statements.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24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Financial Condition, Liquidity, and Capital Resources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 xml:space="preserve">Our financial condition as of December 31, 2023 continued to be strong.  Cash and short-term investments exceed our long-term debt balances, and we have historically been a strong generator of operating cash flows.  The cash generated from operations is used to fund our capital expenditure plans, and cash in excess of our capital expenditure needs is available to fund our acquisition strategy, to reduce debt levels, and to pay dividends and repurchase stock.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Management uses a non-GAAP measure, "free cash," to evaluate our ability to fund acquisitions, repay debt, and otherwise enhance stockholder value through stock repurchases or dividends.  See "Overview" above for "free cash" definition and reconciliation to GAAP.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Cash flows provided by operating activities were $365.7 million for the year ended December 31, 2023, as compared to cash flows provided by operations of $484.3 million for the year ended December 31, 2022.</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In order to manage our working capital and operating cash needs, we monitor our cash conversion cycle.  The following table presents the components of our cash conversion cycle during the five fiscal quarters beginning with the fourth fiscal quarter of 2022 through the fourth fiscal quarter of 2023:</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0" w:type="dxa"/>
          <w:right w:w="0" w:type="dxa"/>
        </w:tblCellMar>
      </w:tblPr>
      <w:tblGrid>
        <w:gridCol w:w="2597"/>
        <w:gridCol w:w="60"/>
        <w:gridCol w:w="184"/>
        <w:gridCol w:w="1173"/>
        <w:gridCol w:w="95"/>
        <w:gridCol w:w="60"/>
        <w:gridCol w:w="181"/>
        <w:gridCol w:w="1152"/>
        <w:gridCol w:w="95"/>
        <w:gridCol w:w="60"/>
        <w:gridCol w:w="189"/>
        <w:gridCol w:w="1202"/>
        <w:gridCol w:w="95"/>
        <w:gridCol w:w="60"/>
        <w:gridCol w:w="186"/>
        <w:gridCol w:w="1188"/>
        <w:gridCol w:w="95"/>
        <w:gridCol w:w="60"/>
        <w:gridCol w:w="184"/>
        <w:gridCol w:w="1173"/>
        <w:gridCol w:w="116"/>
      </w:tblGrid>
      <w:tr>
        <w:trPr/>
        <w:tc>
          <w:tcPr>
            <w:tcW w:w="25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0"/>
              <w:jc w:val="center"/>
              <w:rPr>
                <w:rFonts w:ascii="Times New Roman;Times;serif" w:hAnsi="Times New Roman;Times;serif"/>
                <w:b/>
                <w:sz w:val="24"/>
                <w:u w:val="single"/>
              </w:rPr>
            </w:pPr>
            <w:r>
              <w:rPr>
                <w:rFonts w:ascii="Times New Roman;Times;serif" w:hAnsi="Times New Roman;Times;serif"/>
                <w:b/>
                <w:sz w:val="24"/>
                <w:u w:val="single"/>
              </w:rPr>
              <w:t>4th Quarter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2"/>
            <w:tcBorders/>
            <w:vAlign w:val="bottom"/>
          </w:tcPr>
          <w:p>
            <w:pPr>
              <w:pStyle w:val="TableContents"/>
              <w:bidi w:val="0"/>
              <w:spacing w:before="0" w:after="0"/>
              <w:jc w:val="center"/>
              <w:rPr>
                <w:rFonts w:ascii="Times New Roman;Times;serif" w:hAnsi="Times New Roman;Times;serif"/>
                <w:b/>
                <w:sz w:val="24"/>
                <w:u w:val="single"/>
              </w:rPr>
            </w:pPr>
            <w:r>
              <w:rPr>
                <w:rFonts w:ascii="Times New Roman;Times;serif" w:hAnsi="Times New Roman;Times;serif"/>
                <w:b/>
                <w:sz w:val="24"/>
                <w:u w:val="single"/>
              </w:rPr>
              <w:t>1st Quarter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0"/>
              <w:jc w:val="center"/>
              <w:rPr>
                <w:rFonts w:ascii="Times New Roman;Times;serif" w:hAnsi="Times New Roman;Times;serif"/>
                <w:b/>
                <w:sz w:val="24"/>
                <w:u w:val="single"/>
              </w:rPr>
            </w:pPr>
            <w:r>
              <w:rPr>
                <w:rFonts w:ascii="Times New Roman;Times;serif" w:hAnsi="Times New Roman;Times;serif"/>
                <w:b/>
                <w:sz w:val="24"/>
                <w:u w:val="single"/>
              </w:rPr>
              <w:t>2nd Quarter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4" w:type="dxa"/>
            <w:gridSpan w:val="2"/>
            <w:tcBorders/>
            <w:vAlign w:val="bottom"/>
          </w:tcPr>
          <w:p>
            <w:pPr>
              <w:pStyle w:val="TableContents"/>
              <w:bidi w:val="0"/>
              <w:spacing w:before="0" w:after="0"/>
              <w:jc w:val="center"/>
              <w:rPr>
                <w:rFonts w:ascii="Times New Roman;Times;serif" w:hAnsi="Times New Roman;Times;serif"/>
                <w:b/>
                <w:sz w:val="24"/>
                <w:u w:val="single"/>
              </w:rPr>
            </w:pPr>
            <w:r>
              <w:rPr>
                <w:rFonts w:ascii="Times New Roman;Times;serif" w:hAnsi="Times New Roman;Times;serif"/>
                <w:b/>
                <w:sz w:val="24"/>
                <w:u w:val="single"/>
              </w:rPr>
              <w:t>3rd Quarter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0"/>
              <w:jc w:val="center"/>
              <w:rPr>
                <w:rFonts w:ascii="Times New Roman;Times;serif" w:hAnsi="Times New Roman;Times;serif"/>
                <w:b/>
                <w:sz w:val="24"/>
                <w:u w:val="single"/>
              </w:rPr>
            </w:pPr>
            <w:r>
              <w:rPr>
                <w:rFonts w:ascii="Times New Roman;Times;serif" w:hAnsi="Times New Roman;Times;serif"/>
                <w:b/>
                <w:sz w:val="24"/>
                <w:u w:val="single"/>
              </w:rPr>
              <w:t>4th Quarter 2023</w:t>
            </w:r>
          </w:p>
        </w:tc>
        <w:tc>
          <w:tcPr>
            <w:tcW w:w="116"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Days sales outstanding ("DSO") </w:t>
            </w:r>
            <w:r>
              <w:rPr>
                <w:rFonts w:ascii="Times New Roman;Times;serif" w:hAnsi="Times New Roman;Times;serif"/>
                <w:position w:val="8"/>
                <w:sz w:val="19"/>
                <w:sz w:val="24"/>
              </w:rPr>
              <w:t>(a)</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50</w:t>
            </w:r>
          </w:p>
        </w:tc>
        <w:tc>
          <w:tcPr>
            <w:tcW w:w="116"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Days inventory outstanding ("DIO") </w:t>
            </w:r>
            <w:r>
              <w:rPr>
                <w:rFonts w:ascii="Times New Roman;Times;serif" w:hAnsi="Times New Roman;Times;serif"/>
                <w:position w:val="8"/>
                <w:sz w:val="19"/>
                <w:sz w:val="24"/>
              </w:rPr>
              <w:t>(b)</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101</w:t>
            </w:r>
          </w:p>
        </w:tc>
        <w:tc>
          <w:tcPr>
            <w:tcW w:w="116"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Days payable outstanding ("DPO") </w:t>
            </w:r>
            <w:r>
              <w:rPr>
                <w:rFonts w:ascii="Times New Roman;Times;serif" w:hAnsi="Times New Roman;Times;serif"/>
                <w:position w:val="8"/>
                <w:sz w:val="19"/>
                <w:sz w:val="24"/>
              </w:rPr>
              <w:t>(c)</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(31</w:t>
            </w:r>
          </w:p>
        </w:tc>
        <w:tc>
          <w:tcPr>
            <w:tcW w:w="9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(32</w:t>
            </w:r>
          </w:p>
        </w:tc>
        <w:tc>
          <w:tcPr>
            <w:tcW w:w="9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(32</w:t>
            </w:r>
          </w:p>
        </w:tc>
        <w:tc>
          <w:tcPr>
            <w:tcW w:w="9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(33</w:t>
            </w:r>
          </w:p>
        </w:tc>
        <w:tc>
          <w:tcPr>
            <w:tcW w:w="9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(31</w:t>
            </w:r>
          </w:p>
        </w:tc>
        <w:tc>
          <w:tcPr>
            <w:tcW w:w="116"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r>
      <w:tr>
        <w:trPr/>
        <w:tc>
          <w:tcPr>
            <w:tcW w:w="2597"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Cash conversion cycle</w:t>
            </w:r>
          </w:p>
        </w:tc>
        <w:tc>
          <w:tcPr>
            <w:tcW w:w="6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283"/>
              <w:jc w:val="left"/>
              <w:rPr/>
            </w:pPr>
            <w:r>
              <w:rPr/>
              <w:t> </w:t>
            </w:r>
          </w:p>
        </w:tc>
        <w:tc>
          <w:tcPr>
            <w:tcW w:w="117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15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bottom w:val="double" w:sz="8" w:space="0" w:color="000000"/>
            </w:tcBorders>
            <w:tcMar>
              <w:bottom w:w="28" w:type="dxa"/>
            </w:tcMar>
            <w:vAlign w:val="bottom"/>
          </w:tcPr>
          <w:p>
            <w:pPr>
              <w:pStyle w:val="TableContents"/>
              <w:bidi w:val="0"/>
              <w:spacing w:before="0" w:after="283"/>
              <w:jc w:val="left"/>
              <w:rPr/>
            </w:pPr>
            <w:r>
              <w:rPr/>
              <w:t> </w:t>
            </w:r>
          </w:p>
        </w:tc>
        <w:tc>
          <w:tcPr>
            <w:tcW w:w="120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double" w:sz="8" w:space="0" w:color="000000"/>
            </w:tcBorders>
            <w:tcMar>
              <w:bottom w:w="28" w:type="dxa"/>
            </w:tcMar>
            <w:vAlign w:val="bottom"/>
          </w:tcPr>
          <w:p>
            <w:pPr>
              <w:pStyle w:val="TableContents"/>
              <w:bidi w:val="0"/>
              <w:spacing w:before="0" w:after="283"/>
              <w:jc w:val="left"/>
              <w:rPr/>
            </w:pPr>
            <w:r>
              <w:rPr/>
              <w:t> </w:t>
            </w:r>
          </w:p>
        </w:tc>
        <w:tc>
          <w:tcPr>
            <w:tcW w:w="118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283"/>
              <w:jc w:val="left"/>
              <w:rPr/>
            </w:pPr>
            <w:r>
              <w:rPr/>
              <w:t> </w:t>
            </w:r>
          </w:p>
        </w:tc>
        <w:tc>
          <w:tcPr>
            <w:tcW w:w="117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120</w:t>
            </w:r>
          </w:p>
        </w:tc>
        <w:tc>
          <w:tcPr>
            <w:tcW w:w="116" w:type="dxa"/>
            <w:tcBorders/>
            <w:vAlign w:val="bottom"/>
          </w:tcPr>
          <w:p>
            <w:pPr>
              <w:pStyle w:val="TableContents"/>
              <w:bidi w:val="0"/>
              <w:spacing w:before="0" w:after="283"/>
              <w:jc w:val="left"/>
              <w:rPr/>
            </w:pPr>
            <w:r>
              <w:rPr/>
              <w:t> </w:t>
            </w:r>
          </w:p>
        </w:tc>
      </w:tr>
    </w:tbl>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rPr>
      </w:pPr>
      <w:r>
        <w:rPr>
          <w:rFonts w:ascii="Times New Roman;Times;serif" w:hAnsi="Times New Roman;Times;serif"/>
          <w:b w:val="false"/>
          <w:i w:val="false"/>
          <w:caps w:val="false"/>
          <w:smallCaps w:val="false"/>
          <w:color w:val="000000"/>
          <w:spacing w:val="0"/>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a)  DSO measures the average collection period of our receivables.  DSO is calculated by dividing the average accounts receivable by the average net revenue per day for the respective fiscal quarter.</w:t>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b)  DIO measures the average number of days from procurement to sale of our product.  DIO is calculated by dividing the average inventory by average cost of goods sold per day for the respective fiscal quarter.</w:t>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c)  DPO measures the average number of days our payables remain outstanding before payment.  DPO is calculated by dividing the average accounts payable by the average cost of goods sold per day for the respective fiscal quarter.</w:t>
      </w:r>
    </w:p>
    <w:p>
      <w:pPr>
        <w:pStyle w:val="TextBody"/>
        <w:widowControl/>
        <w:bidi w:val="0"/>
        <w:spacing w:before="0" w:after="0"/>
        <w:jc w:val="both"/>
        <w:rPr>
          <w:rFonts w:ascii="Times New Roman;Times;serif" w:hAnsi="Times New Roman;Times;serif"/>
          <w:b w:val="false"/>
          <w:i w:val="false"/>
          <w:caps w:val="false"/>
          <w:smallCaps w:val="false"/>
          <w:color w:val="000000"/>
          <w:spacing w:val="0"/>
        </w:rPr>
      </w:pPr>
      <w:r>
        <w:rPr>
          <w:rFonts w:ascii="Times New Roman;Times;serif" w:hAnsi="Times New Roman;Times;serif"/>
          <w:b w:val="false"/>
          <w:i w:val="false"/>
          <w:caps w:val="false"/>
          <w:smallCaps w:val="false"/>
          <w:color w:val="000000"/>
          <w:spacing w:val="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Cash paid for property and equipment for the year ended December 31, 2023 was $329.4 million, as compared to $325.3 million for the year ended December 31, 2022.  To be well positioned to service our customers and to fully participate in growing markets, we have increased and expect to maintain a relatively high level of capital expenditures for expansion in the mid-term.  We expect to invest approximately $450 million in 2024 and approximately $1.2 billion from 2023 to 2025 primarily for capital expansion projects outside of China.</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Free cash flow for the year ended December 31, 2023 decreased versus the year ended December 31, 2022 primarily due to decreased net earnings, increased transition and repatriation taxes paid, and a working capital increase.  We expect that free cash flow will be negatively impacted by the expected high level of capital expenditures for expansion in 2023 - 2025 after which we expect to generate increasingly higher levels of free cash.  There is no assurance, however, that we will be able to continue to generate cash flows from operations and free cash at our historical levels, or at all, going forward if the economic environment worsens.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Times;serif" w:hAnsi="Times New Roman;Times;serif"/>
          <w:b w:val="false"/>
          <w:i w:val="false"/>
          <w:caps w:val="false"/>
          <w:smallCaps w:val="false"/>
          <w:color w:val="000000"/>
          <w:spacing w:val="0"/>
          <w:sz w:val="24"/>
          <w:shd w:fill="FFFFFF" w:val="clear"/>
        </w:rPr>
        <w:t>In 2022, our Board of Directors adopted a Stockholder Return Policy that will remain in effect until such time as the Board votes to amend or rescind the policy.  See “Stockholder Return Policy” above for additional information.</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summarizes the components of net cash and short-term investments (debt) </w:t>
      </w:r>
      <w:r>
        <w:rPr>
          <w:rFonts w:ascii="Times New Roman" w:hAnsi="Times New Roman"/>
          <w:i/>
          <w:color w:val="000000"/>
          <w:sz w:val="24"/>
          <w:shd w:fill="FFFFFF" w:val="clear"/>
        </w:rPr>
        <w:t>(in thousands)</w:t>
      </w:r>
      <w:r>
        <w:rPr>
          <w:rFonts w:ascii="Times New Roman" w:hAnsi="Times New Roman"/>
          <w:color w:val="000000"/>
          <w:sz w:val="24"/>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tbl>
      <w:tblPr>
        <w:tblW w:w="7223" w:type="dxa"/>
        <w:jc w:val="left"/>
        <w:tblInd w:w="0" w:type="dxa"/>
        <w:tblLayout w:type="fixed"/>
        <w:tblCellMar>
          <w:top w:w="0" w:type="dxa"/>
          <w:left w:w="0" w:type="dxa"/>
          <w:bottom w:w="0" w:type="dxa"/>
          <w:right w:w="0" w:type="dxa"/>
        </w:tblCellMar>
      </w:tblPr>
      <w:tblGrid>
        <w:gridCol w:w="4070"/>
        <w:gridCol w:w="60"/>
        <w:gridCol w:w="210"/>
        <w:gridCol w:w="1204"/>
        <w:gridCol w:w="95"/>
        <w:gridCol w:w="60"/>
        <w:gridCol w:w="210"/>
        <w:gridCol w:w="1204"/>
        <w:gridCol w:w="110"/>
      </w:tblGrid>
      <w:tr>
        <w:trPr/>
        <w:tc>
          <w:tcPr>
            <w:tcW w:w="407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0"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both"/>
              <w:rPr>
                <w:rFonts w:ascii="Times New Roman" w:hAnsi="Times New Roman"/>
                <w:sz w:val="24"/>
              </w:rPr>
            </w:pPr>
            <w:r>
              <w:rPr>
                <w:rFonts w:ascii="Times New Roman" w:hAnsi="Times New Roman"/>
                <w:sz w:val="24"/>
              </w:rPr>
              <w:t>Credit facility</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42,000</w:t>
            </w:r>
          </w:p>
        </w:tc>
        <w:tc>
          <w:tcPr>
            <w:tcW w:w="11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Convertible senior notes, due 2025</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95,102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465,344</w:t>
            </w:r>
          </w:p>
        </w:tc>
        <w:tc>
          <w:tcPr>
            <w:tcW w:w="11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sz w:val="24"/>
              </w:rPr>
            </w:pPr>
            <w:r>
              <w:rPr>
                <w:sz w:val="24"/>
              </w:rPr>
              <w:t>Convertible senior notes, due 2030</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sz w:val="24"/>
              </w:rPr>
            </w:pPr>
            <w:r>
              <w:rPr>
                <w:sz w:val="24"/>
              </w:rPr>
              <w:t>750,000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sz w:val="24"/>
              </w:rPr>
            </w:pPr>
            <w:r>
              <w:rPr>
                <w:sz w:val="24"/>
              </w:rPr>
              <w:t>-</w:t>
            </w:r>
          </w:p>
        </w:tc>
        <w:tc>
          <w:tcPr>
            <w:tcW w:w="11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Deferred financing costs</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(26,914</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(6,407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debt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818,188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500,937</w:t>
            </w:r>
          </w:p>
        </w:tc>
        <w:tc>
          <w:tcPr>
            <w:tcW w:w="11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and cash equivalents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972,719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610,825</w:t>
            </w:r>
          </w:p>
        </w:tc>
        <w:tc>
          <w:tcPr>
            <w:tcW w:w="11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Short-term investments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35,808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305,272</w:t>
            </w:r>
          </w:p>
        </w:tc>
        <w:tc>
          <w:tcPr>
            <w:tcW w:w="11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cash and short-term investments (debt)</w:t>
            </w:r>
          </w:p>
        </w:tc>
        <w:tc>
          <w:tcPr>
            <w:tcW w:w="60"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190,339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415,160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invest a portion of our excess cash in highly liquid, high-quality instruments with maturities greater than 90 days, but less than 1 year, which we classify as short-term investments on our consolidated balance sheets.  As these investments were funded using a portion of excess cash and represent a significant aspect of our cash management strategy, we include the investments in the calculation of net cash and short-term investments (debt).</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54</w:t>
      </w:r>
    </w:p>
    <w:p>
      <w:pPr>
        <w:pStyle w:val="HorizontalLine"/>
        <w:bidi w:val="0"/>
        <w:spacing w:before="240" w:after="240"/>
        <w:jc w:val="both"/>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interest rates on our short-term investments vary by location.  Transactions related to these investments are classified as investing activities on our consolidated statements of cash flows.  We aligned the maturity dates of our cash equivalents and short-term investments in preparation of the planned cash repatriation that was completed in the fourth fiscal quarter of 2023, which resulted in a decrease in our short-term investment balance.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of December 31, 2023, 65.5% of our cash and cash equivalents and short-term investments were held in countries outside of the United States.  Cash dividends to stockholders, share repurchases, and principal and interest payments on our debt instruments need to be paid by the U.S. parent company, Vishay Intertechnology, Inc.  A U.S.-domiciled subsidiary is expected to be the acquiring entity of Nexperia's wafer fabrication facility and operations in Newport, South Wales, U.K. Our U.S. subsidiaries also have cash operating needs.  The recent distribution of earnings from Israel and Germany to the United States will be used to fund our Stockholder Return Policy and the Nexperia transaction.  We expect that cash on-hand and cash flows from operations will be sufficient to meet our longer-term financing needs related to normal operating requirements, regular dividend payments, share repurchases pursuant to our Stockholder Return Policy, and our research and development and capital expenditure plans.  Our substantially undrawn credit facility provides us with significant operating liquidity in the United States.</w:t>
      </w:r>
    </w:p>
    <w:p>
      <w:pPr>
        <w:pStyle w:val="TextBody"/>
        <w:bidi w:val="0"/>
        <w:spacing w:before="0" w:after="0"/>
        <w:jc w:val="both"/>
        <w:rPr>
          <w:rFonts w:ascii="Times New Roman" w:hAnsi="Times New Roman"/>
          <w:sz w:val="24"/>
        </w:rPr>
      </w:pPr>
      <w:r>
        <w:rPr>
          <w:rFonts w:ascii="Times New Roman" w:hAnsi="Times New Roman"/>
          <w:sz w:val="24"/>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On May 8, 2023, we amended and restated our $750 million revolving credit agreement, which replaced our credit agreement that was scheduled to mature in June 2024.  The amendment and restatement extended the maturity date of the revolving credit agreement until May 8, 2028.</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p>
    <w:p>
      <w:pPr>
        <w:pStyle w:val="TextBody"/>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We had $42 million outstanding on our revolving credit facility at December 31, 2022 and no amounts outstanding at December 31, 2023.  We borrowed $501 million and repaid $543 million on the revolving credit facility during the year ended December 31, 2023.  The average outstanding balance on our revolving credit facility calculated at fiscal month-ends was $93.3 million and the highest amount outstanding on our revolving credit facility at a fiscal month end was $185 million during the year ended December 31, 2023.  We used $185 million of the net proceeds from the convertible senior notes due 2030 to repay amounts outstanding on the revolving credit facility in the third fiscal quarter of 2023.</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amendment and restatement of the facility replaced the leverage ratio used for compliance measurement with a net leverage ratio, reducing the measure of outstanding debt by up to $250 million of unrestricted cash.  Measurements prior to the amendment and restatement were based on a total leverage ratio.</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Pursuant to the credit facility, the financial maintenance covenants include (a) an interest coverage ratio of not less than 2.00 to 1; and (b) a net leverage ratio of not more than 3.25 to 1 (and a pro forma ratio of 3.00 to 1 on the date of incurrence of additional debt). The computation of these ratios is prescribed in Article VI of the Credit Agreement between Vishay Intertechnology, Inc. and JPMorgan Chase Bank, N.A., which was filed with the SEC as Exhibit 10.1 to our current report on Form 8-K filed May 8, 2023.</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revolving credit facility limits or restricts us from, among other things, incurring indebtedness, incurring liens on its respective assets, making investments and acquisitions (assuming our pro forma net leverage ratio is greater than 2.75 to 1.00), making asset sales, and paying cash dividends and making other restricted payments (assuming our pro forma net leverage ratio is greater than 2.50 to 1.00).</w:t>
      </w:r>
    </w:p>
    <w:p>
      <w:pPr>
        <w:pStyle w:val="TextBody"/>
        <w:widowControl/>
        <w:bidi w:val="0"/>
        <w:spacing w:before="0" w:after="0"/>
        <w:ind w:left="0" w:right="0" w:hanging="0"/>
        <w:jc w:val="both"/>
        <w:rPr>
          <w:b w:val="false"/>
          <w:i w:val="false"/>
          <w:caps w:val="false"/>
          <w:smallCaps w:val="false"/>
          <w:color w:val="000000"/>
          <w:spacing w:val="0"/>
        </w:rPr>
      </w:pPr>
      <w:r>
        <w:rPr>
          <w:b w:val="false"/>
          <w:i w:val="false"/>
          <w:caps w:val="false"/>
          <w:smallCaps w:val="false"/>
          <w:color w:val="000000"/>
          <w:spacing w:val="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We were in compliance with all financial covenants under the credit facility at December 31, 2023.  Our interest coverage ratio and net leverage ratio were 17.83 to 1 and 0.84 to 1, respectively.  We expect to continue to be in compliance with these covenants based on current projections.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If we are not in compliance with all of the required financial covenants, the credit facility could be terminated by the lenders, and any amounts then outstanding pursuant to the credit facility could become immediately payable. Additionally, our convertible senior notes due 2025 and due 2030 have cross-default provisions that could accelerate repayment in the event the indebtedness under the credit facility is accelerated.  The maturity date of the amended and restated credit facility will accelerate if within ninety-one days prior to the maturity of our convertible senior notes due 2025, the outstanding principal amount of such notes exceeds a defined liquidity measure as set forth in the credit facility.  The repurchase of $370.2 million principal amount of convertible senior notes due 2025 in the third fiscal quarter of 2023 reduces the risk that the maturity date of the credit facility will accelerate. </w:t>
      </w:r>
    </w:p>
    <w:p>
      <w:pPr>
        <w:pStyle w:val="TextBody"/>
        <w:widowControl/>
        <w:bidi w:val="0"/>
        <w:spacing w:before="0" w:after="0"/>
        <w:jc w:val="both"/>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Borrowings under the credit facility bear interest at variable reference rates plus an interest margin.  The applicable interest margin is based on our total leverage ratio.  We also pay a commitment fee, also based on our total leverage ratio, on undrawn amounts.  U.S. dollar borrowings under the revolving credit agreement are based on SOFR (including a customary spread adjustment).  Borrowings in foreign currencies bear interest at currency-specific reference rates plus an interest margin.  Based on our current total leverage ratio of 1.19 to 1, any new U.S. dollar borrowings will bear interest at SOFR plus 1.60% (including the applicable credit spread), and the undrawn commitment fee is 0.25% per annum. </w:t>
      </w:r>
    </w:p>
    <w:p>
      <w:pPr>
        <w:pStyle w:val="TextBody"/>
        <w:widowControl/>
        <w:bidi w:val="0"/>
        <w:spacing w:before="0" w:after="0"/>
        <w:jc w:val="both"/>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subsidiaries; and are guaranteed by certain significant subsidiaries.</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expect, at least initially, to fund certain future obligations required to be paid by the U.S. parent company by borrowing under our revolving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No principal payments on our debt are due before 2025.</w:t>
      </w:r>
    </w:p>
    <w:p>
      <w:pPr>
        <w:pStyle w:val="TextBody"/>
        <w:widowControl/>
        <w:bidi w:val="0"/>
        <w:spacing w:before="0" w:after="0"/>
        <w:ind w:left="0" w:right="0" w:hanging="0"/>
        <w:jc w:val="both"/>
        <w:rPr>
          <w:b w:val="false"/>
          <w:i w:val="false"/>
          <w:caps w:val="false"/>
          <w:smallCaps w:val="false"/>
          <w:color w:val="000000"/>
          <w:spacing w:val="0"/>
        </w:rPr>
      </w:pPr>
      <w:r>
        <w:rPr>
          <w:b w:val="false"/>
          <w:i w:val="false"/>
          <w:caps w:val="false"/>
          <w:smallCaps w:val="false"/>
          <w:color w:val="000000"/>
          <w:spacing w:val="0"/>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55</w:t>
      </w:r>
    </w:p>
    <w:p>
      <w:pPr>
        <w:pStyle w:val="HorizontalLine"/>
        <w:bidi w:val="0"/>
        <w:spacing w:before="240" w:after="240"/>
        <w:jc w:val="both"/>
        <w:rPr/>
      </w:pPr>
      <w:r>
        <w:rPr/>
      </w:r>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On September 12, 2023, we issued $750 million convertible senior notes due 2030.  We used the net proceeds from the issuance of these notes to repurchase $370.2 million principal amount of convertible senior notes due 2025, to pay $94.2 million to enter into capped call transactions intended to mitigate the dilution risk of convertible senior notes due 2030 by synthetically increasing the conversion price of the notes to approximately $43.98 per share, to repay amounts outstanding on our amended and restated credit facility, and for other general corporate purposes.</w:t>
      </w:r>
    </w:p>
    <w:p>
      <w:pPr>
        <w:pStyle w:val="TextBody"/>
        <w:widowControl/>
        <w:bidi w:val="0"/>
        <w:spacing w:before="0" w:after="0"/>
        <w:jc w:val="both"/>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Prior to six months before the maturity date, our convertible senior notes due 2030 are convertible by the holders under certain circumstances.  The convertible senior notes due 2030 are not convertible as of September 30, 2023 and will not be contingently convertible before the first fiscal quarter of 2024.  Pursuant to the indenture governing the convertible senior notes due 2030, we will cash-settle the principal amount of $1,000 per note and settle any additional amounts in cash or shares of our common stock.  We intend to finance the principal amount of any converted senior notes due 2030 using borrowings under our credit facility.</w:t>
      </w:r>
    </w:p>
    <w:p>
      <w:pPr>
        <w:pStyle w:val="TextBody"/>
        <w:widowControl/>
        <w:bidi w:val="0"/>
        <w:spacing w:before="0" w:after="0"/>
        <w:jc w:val="both"/>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shd w:fill="FFFFFF" w:val="clear"/>
        </w:rPr>
      </w:pPr>
      <w:r>
        <w:rPr>
          <w:rFonts w:ascii="Times New Roman;Times;serif" w:hAnsi="Times New Roman;Times;serif"/>
          <w:b w:val="false"/>
          <w:i w:val="false"/>
          <w:caps w:val="false"/>
          <w:smallCaps w:val="false"/>
          <w:color w:val="000000"/>
          <w:spacing w:val="0"/>
          <w:sz w:val="24"/>
          <w:shd w:fill="FFFFFF" w:val="clear"/>
        </w:rPr>
        <w:t>The transactions effectively refinanced the majority of the convertible senior notes due 2025 for five additional years at the same coupon interest rate, reduced future interest expense due to the paydown of the revolving credit facility, and enhanced our U.S. liquidity position to execute our growth initiatives.</w:t>
      </w:r>
    </w:p>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4"/>
          <w:shd w:fill="FFFFFF" w:val="clear"/>
        </w:rPr>
      </w:pPr>
      <w:r>
        <w:rPr>
          <w:rFonts w:ascii="Times New Roman" w:hAnsi="Times New Roman"/>
          <w:b w:val="false"/>
          <w:i w:val="false"/>
          <w:caps w:val="false"/>
          <w:smallCaps w:val="false"/>
          <w:color w:val="000000"/>
          <w:spacing w:val="0"/>
          <w:sz w:val="24"/>
          <w:shd w:fill="FFFFFF" w:val="clear"/>
        </w:rPr>
        <w:t xml:space="preserve">The remaining convertible senior notes due 2025 are not currently convertible.  Pursuant to the indenture governing the convertible senior notes due 2025 and the amendments thereto incorporated in the Supplemental Indenture dated December 23, 2020, we will cash-settle the principal amount of $1,000 per note and settle any additional amounts in shares of our common stock.  We intend to finance the principal amount of any converted notes using borrowings under our credit facility.  No conversions have occurred to date. </w:t>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56</w:t>
      </w:r>
    </w:p>
    <w:p>
      <w:pPr>
        <w:pStyle w:val="HorizontalLine"/>
        <w:bidi w:val="0"/>
        <w:spacing w:before="240" w:after="240"/>
        <w:jc w:val="both"/>
        <w:rPr/>
      </w:pPr>
      <w:r>
        <w:rPr/>
      </w:r>
    </w:p>
    <w:p>
      <w:pPr>
        <w:pStyle w:val="TextBody"/>
        <w:bidi w:val="0"/>
        <w:spacing w:before="0" w:after="0"/>
        <w:jc w:val="both"/>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In evaluating our liquidity and capital resources, we consider our outstanding commitments.  As of December 31, 2023 our commitments were as follows </w:t>
      </w:r>
      <w:r>
        <w:rPr>
          <w:rFonts w:ascii="Times New Roman" w:hAnsi="Times New Roman"/>
          <w:i/>
          <w:color w:val="000000"/>
          <w:sz w:val="24"/>
          <w:shd w:fill="FFFFFF" w:val="clear"/>
        </w:rPr>
        <w:t>(in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932"/>
        <w:gridCol w:w="60"/>
        <w:gridCol w:w="140"/>
        <w:gridCol w:w="980"/>
        <w:gridCol w:w="60"/>
        <w:gridCol w:w="60"/>
        <w:gridCol w:w="170"/>
        <w:gridCol w:w="800"/>
        <w:gridCol w:w="60"/>
        <w:gridCol w:w="60"/>
        <w:gridCol w:w="170"/>
        <w:gridCol w:w="800"/>
        <w:gridCol w:w="60"/>
        <w:gridCol w:w="60"/>
        <w:gridCol w:w="170"/>
        <w:gridCol w:w="800"/>
        <w:gridCol w:w="60"/>
        <w:gridCol w:w="60"/>
        <w:gridCol w:w="125"/>
        <w:gridCol w:w="590"/>
        <w:gridCol w:w="60"/>
        <w:gridCol w:w="60"/>
        <w:gridCol w:w="125"/>
        <w:gridCol w:w="590"/>
        <w:gridCol w:w="60"/>
        <w:gridCol w:w="60"/>
        <w:gridCol w:w="125"/>
        <w:gridCol w:w="845"/>
        <w:gridCol w:w="63"/>
      </w:tblGrid>
      <w:tr>
        <w:trPr/>
        <w:tc>
          <w:tcPr>
            <w:tcW w:w="29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10"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Payments due by period</w:t>
            </w:r>
          </w:p>
        </w:tc>
        <w:tc>
          <w:tcPr>
            <w:tcW w:w="63" w:type="dxa"/>
            <w:tcBorders/>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Thereafter</w:t>
            </w:r>
          </w:p>
        </w:tc>
        <w:tc>
          <w:tcPr>
            <w:tcW w:w="63" w:type="dxa"/>
            <w:tcBorders/>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845,102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750,000</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Interest payments on long-term debt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28,828</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leases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173,166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68,809</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Letters of credit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Expected pension and postretirement plan funding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19,871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90,845</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Estimated costs to complete construction in progress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283"/>
              <w:jc w:val="left"/>
              <w:rPr/>
            </w:pPr>
            <w:r>
              <w:rPr/>
              <w:t>Estimated costs to complete MOSFETs wafer fab</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345,600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119,900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177,700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283"/>
              <w:jc w:val="left"/>
              <w:rPr/>
            </w:pPr>
            <w:r>
              <w:rPr/>
              <w:t>Remaining cost to acquire Newport wafer fab</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168,250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TCJA transition tax</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84,649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37,622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Uncertain tax positions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13,847</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Purchase commitments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left"/>
              <w:rPr/>
            </w:pPr>
            <w:r>
              <w:rPr/>
              <w:t> </w:t>
            </w:r>
          </w:p>
        </w:tc>
      </w:tr>
      <w:tr>
        <w:trPr/>
        <w:tc>
          <w:tcPr>
            <w:tcW w:w="293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long-term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74,071</w:t>
            </w:r>
          </w:p>
        </w:tc>
        <w:tc>
          <w:tcPr>
            <w:tcW w:w="63" w:type="dxa"/>
            <w:tcBorders/>
            <w:vAlign w:val="bottom"/>
          </w:tcPr>
          <w:p>
            <w:pPr>
              <w:pStyle w:val="TableContents"/>
              <w:bidi w:val="0"/>
              <w:spacing w:before="0" w:after="283"/>
              <w:jc w:val="left"/>
              <w:rPr/>
            </w:pPr>
            <w:r>
              <w:rPr/>
              <w:t> </w:t>
            </w:r>
          </w:p>
        </w:tc>
      </w:tr>
      <w:tr>
        <w:trPr/>
        <w:tc>
          <w:tcPr>
            <w:tcW w:w="293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contractual cash obligations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283"/>
              <w:jc w:val="right"/>
              <w:rPr/>
            </w:pPr>
            <w:r>
              <w:rPr/>
              <w:t>2,270,353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586,878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432,849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109,054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1,026,400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Commitments for long-term debt are based on the amount required to settle the obligation. Accordingly, the capitalized deferred financing costs associated with our convertible notes are excluded from the calculation of long-term debt commitments in the table above.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Commitments for interest payments on long-term debt are cash commitments based on the stated maturity dates of each agreement and include fees under our revolving credit facility, which expires on May 8, 2028.  Commitments for interest payments on long-term debt exclude non-cash interest expense related to the amortization of deferred financing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Various factors could have a material effect on the amount of future principal and interest payments.  Principal and interest commitments associated with our convertible notes are based on the amounts outstanding as of December 31, 2023.  Additionally, interest commitments for our revolving credit facility are based on the rate prevailing at December 31, 2023, but actual rates are variable and are certain to change over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TCJA imposed a one-time transition tax on deferred foreign earnings, payable in defined increments over eight years through 2025.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Estimated costs to complete the MOSFETs wafer fab include amounts that we are not contractually required to complete.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On November 8, 2023, Vishay and Nexperia BV announced that we have entered into an agreement whereby we will acquire Nexperia’s wafer fabrication facility and operations located in Newport, South Wales, U.K. for approximately $177.0 million in cash.  On November 8, 2023, we remitted $8.75 million to an escrow account as a deposit for this agreement.  The closing of the transaction is subject to U.K. government review and customary closing conditions, and is expected to occur in the first quarter of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consolidated balance sheet at December 31, 2023 includes liabilities associated with uncertain tax positions in multiple taxing jurisdictions where we conduct business.  Due to the uncertain and complex application of tax regulations, combined with the difficulty in predicting when tax audits throughout the world may be concluded, we cannot make reliable estimates of the timing of the remaining cash outflows relating to these liabilities. Accordingly, we have classified all non-current uncertain tax positions as payments due thereafter, although actual timing of payments may be sooner.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Expected pension and postretirement plan funding is based on a projected schedule of benefit payments under the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maintain long-term arrangements with subcontractors, suppliers, and other business partners to ensure access to external capacity and supplies for certain products. The purchase commitments in the table above represent the estimated minimum commitments under these arrangements.  Our actual purchases in future periods are expected to be greater than these minimum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Other long-term liabilities in the table above include obligations that are reflected on our consolidated balance sheets as of December 31, 2023.  We include the current portion of the long-term liabilities in the table above. Other long-term liabilities for which we are unable to reasonably estimate the timing of the settlement are classified as payments due thereafter in the table above, although actual timing of payments may be sooner.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a further discussion of our long-term debt, pensions and other postretirement benefits, leases, uncertain tax positions, and purchase commitments, see Notes 2, 4, 5, 6, 11, and 13 to our consolidated financial statements.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24" w:name="Item7A"/>
      <w:bookmarkEnd w:id="24"/>
      <w:r>
        <w:rPr>
          <w:rFonts w:ascii="Times New Roman" w:hAnsi="Times New Roman"/>
          <w:b/>
          <w:color w:val="000000"/>
          <w:sz w:val="24"/>
          <w:u w:val="single"/>
          <w:shd w:fill="FFFFFF" w:val="clear"/>
        </w:rPr>
        <w:t>Item 7A.</w:t>
      </w:r>
      <w:r>
        <w:rPr>
          <w:rFonts w:ascii="Times New Roman" w:hAnsi="Times New Roman"/>
          <w:color w:val="000000"/>
          <w:sz w:val="20"/>
          <w:shd w:fill="FFFFFF" w:val="clear"/>
        </w:rPr>
        <w:t> </w:t>
      </w:r>
      <w:r>
        <w:rPr>
          <w:rFonts w:ascii="Times New Roman" w:hAnsi="Times New Roman"/>
          <w:b/>
          <w:color w:val="000000"/>
          <w:sz w:val="24"/>
          <w:u w:val="single"/>
          <w:shd w:fill="FFFFFF" w:val="clear"/>
        </w:rPr>
        <w:t>QUANTITATIVE AND QUALITATIVE DISCLOSURES ABOUT MARKET RISK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Market Risk Disclosure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We are exposed to certain financial risks, including fluctuations in foreign currency exchange rates, interest rates, and commodity prices. </w:t>
      </w:r>
      <w:bookmarkStart w:id="25" w:name="OLE_LINK19"/>
      <w:bookmarkEnd w:id="25"/>
      <w:r>
        <w:rPr>
          <w:rFonts w:ascii="Times New Roman" w:hAnsi="Times New Roman"/>
          <w:color w:val="000000"/>
          <w:sz w:val="24"/>
          <w:shd w:fill="FFFFFF" w:val="clear"/>
        </w:rPr>
        <w:t>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 We do not use financial instruments for trading purposes and we are not a party to any leveraged derivatives. We monitor our underlying market risk exposures on an ongoing basis and believe that we can modify or adapt our hedging strategies as needed.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Interest Rate Risk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exposed to changes in interest rates as a result of our borrowing activities and our cash balances. On a selective basis, we have in the past entered into interest rate swap or cap agreements to reduce the potential negative impact that increases in interest rates could have on our outstanding variable rate debt. As of December 31, 2023, 2022, and 2021 we did not have any outstanding interest rate swap or cap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interest paid on our credit facilities is based on variable reference rates and an interest margin.  At December 31, 2023, we had no amounts outstanding under our revolving credit facilities. Future U.S. dollar borrowings under the revolving credit commitment will bear interest at SOFR plus 1.60%.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convertible debt instruments bear interest at a fixed rate, and accordingly are not subject to interest rate fluctuation risks.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At December 31, 2023, we had $972.7 million of cash and cash equivalents and $35.8 million of short-term investments, which earn interest at various variable rates.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Based on the debt and cash positions at December 31, 2023, we would expect a 50 basis point increase or decrease in interest rates to increase or decrease our annualized net earnings by approximately $3.6 million.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Note 6 to our consolidated financial statements for additional information about our long-term debt.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Foreign Exchange Risk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exposed to foreign currency exchange rate risks, particularly due to market values of transactions in currencies other than the functional currencies of certain subsidiaries.  We have used forward exchange contracts to economically hedge a portion of these exposures in the past.  We had no outstanding forward contracts as of December 31, 2023.  We do not utilize derivatives or other financial instruments for trading or other speculative purposes.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Israel, the Czech Republic, and China because the percentage of expenses denominated in Israeli shekels, Czech koruna, and Chinese renminbi to total expenses is much greater than the percentage of sales denominated in Israeli shekels, Czech koruna, and Chinese renminbi to total sales.  Therefore, if the Israeli shekel, Czech koruna, and Chinese renminbi strengthen against all or most of our other major currencies, our operating profit is reduced.  Where possible, we maintain local currency denominated cash balances in these countries approximately equal to the local currency liabilities to naturally hedge our exposures.  We also have a slightly higher percentage of euro-denominated sales than expenses.  Therefore, when the euro strengthens against all or most of our other major currencies, our operating profit is slightly increased.  Accordingly, we monitor several important cross-rates.  Upon completion of the acquisition of Nexperia's Newport wafer fab, we anticipate greater exposure to British sterling, where costs incurred in British sterling are expected to exceed sales denominated in British sterling.  The acquisition price for Nexperia's Newport wafer fab is denominated in U.S. dollars.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performed sensitivity analyses of our consolidated foreign exchange risk as of December 31, 2023, using a model that measures the change in the values arising from a hypothetical 10% adverse movement in foreign currency exchange rates relative to the U.S. dollar, with all other variables held constant. The foreign currency exchange rates we used were based on market rates in effect at December 31, 2023.  The sensitivity analyses indicated that a hypothetical 10% adverse movement in foreign currency exchange rates would impact our net earnings by approximately $15.3 million at December 31, 2023, although individual line items in our consolidated statement of operations would be materially affected. For example, a 10% weakening in all foreign currencies would decrease the U.S. dollar equivalent of operating income generated in foreign currencies, which would be offset by foreign exchange gains of our foreign subsidiaries that have significant transactions in U.S. dollars or have the U.S. dollar as their functional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change in the mix of the currencies in which we transact our business could have a material effect on the estimated impact of the hypothetical 10% movement in the value of the U.S. dollar. Furthermore, the timing of cash receipts and disbursements could result in materially different actual results versus the hypothetical 10% movement in the value of the U.S. dollar, particularly if there are significant changes in exchange rates in a short period of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Commodity Price Risk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Although most materials incorporated in our products are available from a number of sources, certain materials are available only from a relatively limited number of suppliers or are subject to significant price volatility. Our results of operations may be materially and adversely affected if we have difficulty obtaining these raw materials, the quality of available raw materials deteriorates, or there are significant price changes for these raw materials. The determination that any of the raw materials used in our products are conflict minerals originating from the Democratic Republic of the Congo and adjoining countries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also may need to record losses for adverse purchase commitments for these materials in periods of declining prices.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are a major consumer of the world’s annual production of tantalum, a metal used in the manufacturing of tantalum capacitors. There are few suppliers that process tantalum ore into capacitor grade tantalum powder.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Palladium, a metal used to produce multi-layer ceramic capacitors, is currently found primarily in South Africa and Russia. Palladium is a commodity metal that is subject to price volatility. Certain other metals used in the manufacture of our products, such as copper, are traded on active markets, and can also be subject to significant price volatility.  We periodically enter into short-term commitments to purchase palladium and defined portions of annual consumption of other metals if market prices decline below budget.  In certain circumstances, we also purchase precious metals bullion in excess of our immediate manufacturing needs to mitigate the risk of supply shortages or volatile price fluctuations.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estimate that a 10% increase or decrease in the costs of raw materials subject to commodity price risk would decrease or increase our net earnings by $8.5 million, assuming that such changes in our costs have no impact on the selling prices of our products and that we have no pending commitments to purchase metals at fixed prices.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59</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rFonts w:ascii="Times New Roman" w:hAnsi="Times New Roman"/>
          <w:color w:val="000000"/>
          <w:sz w:val="20"/>
          <w:shd w:fill="FFFFFF" w:val="clear"/>
        </w:rPr>
      </w:pPr>
      <w:bookmarkStart w:id="26" w:name="Item8"/>
      <w:bookmarkEnd w:id="26"/>
      <w:r>
        <w:rPr>
          <w:rFonts w:ascii="Times New Roman" w:hAnsi="Times New Roman"/>
          <w:b/>
          <w:color w:val="000000"/>
          <w:sz w:val="24"/>
          <w:u w:val="single"/>
          <w:shd w:fill="FFFFFF" w:val="clear"/>
        </w:rPr>
        <w:t>Item 8.</w:t>
      </w:r>
      <w:r>
        <w:rPr>
          <w:rFonts w:ascii="Times New Roman" w:hAnsi="Times New Roman"/>
          <w:color w:val="000000"/>
          <w:sz w:val="20"/>
          <w:shd w:fill="FFFFFF" w:val="clear"/>
        </w:rPr>
        <w:t> </w:t>
      </w:r>
      <w:r>
        <w:rPr>
          <w:rFonts w:ascii="Times New Roman" w:hAnsi="Times New Roman"/>
          <w:b/>
          <w:color w:val="000000"/>
          <w:sz w:val="24"/>
          <w:u w:val="single"/>
          <w:shd w:fill="FFFFFF" w:val="clear"/>
        </w:rPr>
        <w:t>FINANCIAL STATEMENTS AND SUPPLEMENTARY DATA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financial statements required by this Item are filed herewith, commencing on page F-1 of this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27" w:name="Item9"/>
      <w:bookmarkEnd w:id="27"/>
      <w:r>
        <w:rPr>
          <w:rFonts w:ascii="Times New Roman" w:hAnsi="Times New Roman"/>
          <w:b/>
          <w:color w:val="000000"/>
          <w:sz w:val="24"/>
          <w:u w:val="single"/>
          <w:shd w:fill="FFFFFF" w:val="clear"/>
        </w:rPr>
        <w:t>Item 9.</w:t>
      </w:r>
      <w:r>
        <w:rPr>
          <w:rFonts w:ascii="Times New Roman" w:hAnsi="Times New Roman"/>
          <w:color w:val="000000"/>
          <w:sz w:val="20"/>
          <w:shd w:fill="FFFFFF" w:val="clear"/>
        </w:rPr>
        <w:t> </w:t>
      </w:r>
      <w:r>
        <w:rPr>
          <w:rFonts w:ascii="Times New Roman" w:hAnsi="Times New Roman"/>
          <w:b/>
          <w:color w:val="000000"/>
          <w:sz w:val="24"/>
          <w:u w:val="single"/>
          <w:shd w:fill="FFFFFF" w:val="clear"/>
        </w:rPr>
        <w:t>CHANGES IN AND DISAGREEMENTS WITH ACCOUNTANTS ON ACCOUNTING AND FINANCIAL DISCLOSURE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None.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160"/>
        <w:ind w:left="0" w:right="0" w:hanging="0"/>
        <w:jc w:val="left"/>
        <w:rPr>
          <w:rFonts w:ascii="Times New Roman" w:hAnsi="Times New Roman"/>
          <w:color w:val="000000"/>
          <w:sz w:val="20"/>
          <w:shd w:fill="FFFFFF" w:val="clear"/>
        </w:rPr>
      </w:pPr>
      <w:bookmarkStart w:id="28" w:name="Item9A"/>
      <w:bookmarkEnd w:id="28"/>
      <w:r>
        <w:rPr>
          <w:rFonts w:ascii="Times New Roman;Times;serif" w:hAnsi="Times New Roman;Times;serif"/>
          <w:b/>
          <w:color w:val="000000"/>
          <w:sz w:val="24"/>
          <w:u w:val="single"/>
          <w:shd w:fill="FFFFFF" w:val="clear"/>
        </w:rPr>
        <w:t>Item 9A.</w:t>
      </w:r>
      <w:r>
        <w:rPr>
          <w:rFonts w:ascii="Times New Roman" w:hAnsi="Times New Roman"/>
          <w:color w:val="000000"/>
          <w:sz w:val="20"/>
          <w:shd w:fill="FFFFFF" w:val="clear"/>
        </w:rPr>
        <w:t> </w:t>
      </w:r>
      <w:r>
        <w:rPr>
          <w:rFonts w:ascii="Times New Roman;Times;serif" w:hAnsi="Times New Roman;Times;serif"/>
          <w:b/>
          <w:color w:val="000000"/>
          <w:sz w:val="24"/>
          <w:u w:val="single"/>
          <w:shd w:fill="FFFFFF" w:val="clear"/>
        </w:rPr>
        <w:t>CONTROLS AND PROCEDURES</w:t>
      </w:r>
    </w:p>
    <w:p>
      <w:pPr>
        <w:pStyle w:val="TextBody"/>
        <w:bidi w:val="0"/>
        <w:spacing w:before="0" w:after="0"/>
        <w:jc w:val="left"/>
        <w:rPr>
          <w:rFonts w:ascii="Times New Roman" w:hAnsi="Times New Roman"/>
          <w:b/>
          <w:sz w:val="24"/>
        </w:rPr>
      </w:pPr>
      <w:r>
        <w:rPr>
          <w:rFonts w:ascii="Times New Roman" w:hAnsi="Times New Roman"/>
          <w:b/>
          <w:sz w:val="24"/>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Conclusion Regarding the Effectiveness of Disclosure Controls and Procedures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Based on that evaluation, our CEO and CFO concluded that our disclosure controls and procedures were effective as of the end of the period covered by this annual report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Changes in Internal Control Over Financial Reporting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There were no changes in our internal control over financial reporting during our last fiscal quarter that have materially affected, or are reasonably likely to materially affect, our internal control over financial reporting.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Certifications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certifications of our CEO and CFO pursuant to Section 302 of the Sarbanes-Oxley Act of 2002 are filed as Exhibits 31.1 and 31.2 to this Annual Report on Form 10-K. We have also filed with the New York Stock Exchange the most recent Annual Certification as required by Section 303A.12(a) of the New York Stock Exchange Listed Company Manual.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Management’s Report on Internal Control Over Financial Reporting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2023 based on the 2013 framework set forth in </w:t>
      </w:r>
      <w:r>
        <w:rPr>
          <w:rFonts w:ascii="Times New Roman" w:hAnsi="Times New Roman"/>
          <w:i/>
          <w:color w:val="000000"/>
          <w:sz w:val="24"/>
          <w:shd w:fill="FFFFFF" w:val="clear"/>
        </w:rPr>
        <w:t xml:space="preserve">Internal Control – Integrated Framework </w:t>
      </w:r>
      <w:r>
        <w:rPr>
          <w:rFonts w:ascii="Times New Roman" w:hAnsi="Times New Roman"/>
          <w:color w:val="000000"/>
          <w:sz w:val="24"/>
          <w:shd w:fill="FFFFFF" w:val="clear"/>
        </w:rPr>
        <w:t>issued by the Committee of Sponsoring Organizations of the Treadway Commission.  Based on that evaluation, our management concluded that our internal control over financial reporting was effective as of December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Ernst &amp; Young LLP has issued an attestation report on the effectiveness of our internal control over financial reporting.  Their report is set forth below.</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60</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Report of Independent Registered Public Accounting Firm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To the Stockholders and the Board of Directors of Vishay Intertechnology,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Opinion on Internal Control over Financial Reporting</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audited Vishay Intertechnology, Inc.’s internal control over financial reporting as of December 31, 2023, based on criteria established in Internal Control—Integrated Framework issued by the Committee of Sponsoring Organizations of the Treadway Commission (2013 framework) (the COSO criteria). In our opinion, Vishay Intertechnology, Inc. (the Company) maintained, in all material respects, effective internal control over financial reporting as of December 31, 2023, based on the COSO criteria.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also have audited, in accordance with the standards of the Public Company Accounting Oversight Board (United States) (PCAOB), the consolidated balance sheets of the Company as of December 31, 2023 and 2022, and the related consolidated statements of operations, comprehensive income, stockholders’ equity, and cash flows for each of the three years in the period ended December 31, 2023, and the related notes and our report dated February 16, 2024 expressed an unqualified opinion thereon.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Basis for Opinion</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Definition and Limitations of Internal Control Over Financial Reporting</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 Ernst &amp; Young LLP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Philadelphia, Pennsylvania</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February 16, 2024</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29" w:name="Item9B"/>
      <w:bookmarkEnd w:id="29"/>
      <w:r>
        <w:rPr>
          <w:rFonts w:ascii="Times New Roman" w:hAnsi="Times New Roman"/>
          <w:b/>
          <w:color w:val="000000"/>
          <w:sz w:val="24"/>
          <w:u w:val="single"/>
          <w:shd w:fill="FFFFFF" w:val="clear"/>
        </w:rPr>
        <w:t>Item 9B.</w:t>
      </w:r>
      <w:r>
        <w:rPr>
          <w:rFonts w:ascii="Times New Roman" w:hAnsi="Times New Roman"/>
          <w:color w:val="000000"/>
          <w:sz w:val="20"/>
          <w:shd w:fill="FFFFFF" w:val="clear"/>
        </w:rPr>
        <w:t> </w:t>
      </w:r>
      <w:r>
        <w:rPr>
          <w:rFonts w:ascii="Times New Roman" w:hAnsi="Times New Roman"/>
          <w:b/>
          <w:color w:val="000000"/>
          <w:sz w:val="24"/>
          <w:u w:val="single"/>
          <w:shd w:fill="FFFFFF" w:val="clear"/>
        </w:rPr>
        <w:t>OTHER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None of our directors or executive officers adopted or terminated a Rule 10b5-1 trading arrangement or adopted or terminated a non-Rule 10b5-1 trading arrangement (as defined in Item 408(c) of Regulation S-K) during the fiscal quarter ended December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0" w:name="Item9C"/>
      <w:bookmarkEnd w:id="30"/>
      <w:r>
        <w:rPr>
          <w:rFonts w:ascii="Times New Roman" w:hAnsi="Times New Roman"/>
          <w:b/>
          <w:color w:val="000000"/>
          <w:sz w:val="24"/>
          <w:u w:val="single"/>
          <w:shd w:fill="FFFFFF" w:val="clear"/>
        </w:rPr>
        <w:t>Item 9C.</w:t>
      </w:r>
      <w:r>
        <w:rPr>
          <w:rFonts w:ascii="Times New Roman" w:hAnsi="Times New Roman"/>
          <w:color w:val="000000"/>
          <w:sz w:val="20"/>
          <w:shd w:fill="FFFFFF" w:val="clear"/>
        </w:rPr>
        <w:t> </w:t>
      </w:r>
      <w:r>
        <w:rPr>
          <w:rFonts w:ascii="Times New Roman" w:hAnsi="Times New Roman"/>
          <w:b/>
          <w:color w:val="000000"/>
          <w:sz w:val="24"/>
          <w:u w:val="single"/>
          <w:shd w:fill="FFFFFF" w:val="clear"/>
        </w:rPr>
        <w:t>DISCLOSURE REGARDING FOREIGN JURISDICTIONS THAT PREVENT INSPECTIONS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None.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u w:val="single"/>
          <w:shd w:fill="FFFFFF" w:val="clear"/>
        </w:rPr>
      </w:pPr>
      <w:bookmarkStart w:id="31" w:name="PARTIII"/>
      <w:bookmarkEnd w:id="31"/>
      <w:r>
        <w:rPr>
          <w:rFonts w:ascii="Times New Roman" w:hAnsi="Times New Roman"/>
          <w:b/>
          <w:color w:val="000000"/>
          <w:sz w:val="24"/>
          <w:u w:val="single"/>
          <w:shd w:fill="FFFFFF" w:val="clear"/>
        </w:rPr>
        <w:t>PART III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rFonts w:ascii="Times New Roman" w:hAnsi="Times New Roman"/>
          <w:color w:val="000000"/>
          <w:sz w:val="20"/>
          <w:shd w:fill="FFFFFF" w:val="clear"/>
        </w:rPr>
      </w:pPr>
      <w:bookmarkStart w:id="32" w:name="Item10"/>
      <w:bookmarkEnd w:id="32"/>
      <w:r>
        <w:rPr>
          <w:rFonts w:ascii="Times New Roman" w:hAnsi="Times New Roman"/>
          <w:b/>
          <w:color w:val="000000"/>
          <w:sz w:val="24"/>
          <w:u w:val="single"/>
          <w:shd w:fill="FFFFFF" w:val="clear"/>
        </w:rPr>
        <w:t>Item 10.</w:t>
      </w:r>
      <w:r>
        <w:rPr>
          <w:rFonts w:ascii="Times New Roman" w:hAnsi="Times New Roman"/>
          <w:color w:val="000000"/>
          <w:sz w:val="20"/>
          <w:shd w:fill="FFFFFF" w:val="clear"/>
        </w:rPr>
        <w:t> </w:t>
      </w:r>
      <w:r>
        <w:rPr>
          <w:rFonts w:ascii="Times New Roman" w:hAnsi="Times New Roman"/>
          <w:b/>
          <w:color w:val="000000"/>
          <w:sz w:val="24"/>
          <w:u w:val="single"/>
          <w:shd w:fill="FFFFFF" w:val="clear"/>
        </w:rPr>
        <w:t>DIRECTORS, EXECUTIVE OFFICERS, AND CORPORATE GOVERNANCE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1080" w:hanging="187"/>
        <w:jc w:val="left"/>
        <w:rPr>
          <w:rFonts w:ascii="Times New Roman" w:hAnsi="Times New Roman"/>
          <w:color w:val="000000"/>
          <w:sz w:val="24"/>
          <w:shd w:fill="FFFFFF" w:val="clear"/>
        </w:rPr>
      </w:pPr>
      <w:r>
        <w:rPr>
          <w:rFonts w:ascii="Times New Roman" w:hAnsi="Times New Roman"/>
          <w:color w:val="000000"/>
          <w:sz w:val="24"/>
          <w:shd w:fill="FFFFFF" w:val="clear"/>
        </w:rPr>
        <w:t>Corporate Investor Relations</w:t>
      </w:r>
    </w:p>
    <w:p>
      <w:pPr>
        <w:pStyle w:val="TextBody"/>
        <w:bidi w:val="0"/>
        <w:spacing w:before="0" w:after="0"/>
        <w:ind w:left="720" w:right="1080" w:hanging="187"/>
        <w:jc w:val="left"/>
        <w:rPr>
          <w:rFonts w:ascii="Times New Roman" w:hAnsi="Times New Roman"/>
          <w:color w:val="000000"/>
          <w:sz w:val="24"/>
          <w:shd w:fill="FFFFFF" w:val="clear"/>
        </w:rPr>
      </w:pPr>
      <w:r>
        <w:rPr>
          <w:rFonts w:ascii="Times New Roman" w:hAnsi="Times New Roman"/>
          <w:color w:val="000000"/>
          <w:sz w:val="24"/>
          <w:shd w:fill="FFFFFF" w:val="clear"/>
        </w:rPr>
        <w:t>Vishay Intertechnology, Inc.</w:t>
      </w:r>
    </w:p>
    <w:p>
      <w:pPr>
        <w:pStyle w:val="TextBody"/>
        <w:bidi w:val="0"/>
        <w:spacing w:before="0" w:after="0"/>
        <w:ind w:left="720" w:right="1080" w:hanging="187"/>
        <w:jc w:val="left"/>
        <w:rPr>
          <w:rFonts w:ascii="Times New Roman" w:hAnsi="Times New Roman"/>
          <w:color w:val="000000"/>
          <w:sz w:val="24"/>
          <w:shd w:fill="FFFFFF" w:val="clear"/>
        </w:rPr>
      </w:pPr>
      <w:r>
        <w:rPr>
          <w:rFonts w:ascii="Times New Roman" w:hAnsi="Times New Roman"/>
          <w:color w:val="000000"/>
          <w:sz w:val="24"/>
          <w:shd w:fill="FFFFFF" w:val="clear"/>
        </w:rPr>
        <w:t>63 Lancaster Avenue</w:t>
      </w:r>
    </w:p>
    <w:p>
      <w:pPr>
        <w:pStyle w:val="TextBody"/>
        <w:bidi w:val="0"/>
        <w:spacing w:before="0" w:after="0"/>
        <w:ind w:left="720" w:right="1080" w:hanging="187"/>
        <w:jc w:val="left"/>
        <w:rPr>
          <w:rFonts w:ascii="Times New Roman" w:hAnsi="Times New Roman"/>
          <w:color w:val="000000"/>
          <w:sz w:val="24"/>
          <w:shd w:fill="FFFFFF" w:val="clear"/>
        </w:rPr>
      </w:pPr>
      <w:r>
        <w:rPr>
          <w:rFonts w:ascii="Times New Roman" w:hAnsi="Times New Roman"/>
          <w:color w:val="000000"/>
          <w:sz w:val="24"/>
          <w:shd w:fill="FFFFFF" w:val="clear"/>
        </w:rPr>
        <w:t>Malvern, PA 19355-2143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It is our intention to satisfy the disclosure requirement under Item 5.05 of Form 8-K regarding any amendment to, or any waiver from, a provision of this code by posting such information on our website, at the aforementioned address and location.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240"/>
        <w:jc w:val="both"/>
        <w:rPr>
          <w:rFonts w:ascii="Times New Roman" w:hAnsi="Times New Roman"/>
          <w:color w:val="000000"/>
          <w:sz w:val="24"/>
          <w:shd w:fill="FFFFFF" w:val="clear"/>
        </w:rPr>
      </w:pPr>
      <w:r>
        <w:rPr>
          <w:rFonts w:ascii="Times New Roman" w:hAnsi="Times New Roman"/>
          <w:color w:val="000000"/>
          <w:sz w:val="24"/>
          <w:shd w:fill="FFFFFF" w:val="clear"/>
        </w:rPr>
        <w:t>Certain information required under this Item with respect to our Executive Officers is set forth in Part I hereof under the caption “Executive Officers of the Registrant.”</w:t>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Other information required under this Item will be contained in our definitive proxy statement, which will be filed within 120 days of December 31, 2023, our most recent fiscal year end,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3" w:name="Item11"/>
      <w:bookmarkEnd w:id="33"/>
      <w:r>
        <w:rPr>
          <w:rFonts w:ascii="Times New Roman" w:hAnsi="Times New Roman"/>
          <w:b/>
          <w:color w:val="000000"/>
          <w:sz w:val="24"/>
          <w:u w:val="single"/>
          <w:shd w:fill="FFFFFF" w:val="clear"/>
        </w:rPr>
        <w:t>Item 11.</w:t>
      </w:r>
      <w:r>
        <w:rPr>
          <w:rFonts w:ascii="Times New Roman" w:hAnsi="Times New Roman"/>
          <w:color w:val="000000"/>
          <w:sz w:val="20"/>
          <w:shd w:fill="FFFFFF" w:val="clear"/>
        </w:rPr>
        <w:t> </w:t>
      </w:r>
      <w:r>
        <w:rPr>
          <w:rFonts w:ascii="Times New Roman" w:hAnsi="Times New Roman"/>
          <w:b/>
          <w:color w:val="000000"/>
          <w:sz w:val="24"/>
          <w:u w:val="single"/>
          <w:shd w:fill="FFFFFF" w:val="clear"/>
        </w:rPr>
        <w:t>EXECUTIVE COMPENSATION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Information required under this Item will be contained in our definitive proxy statement, which will be filed within 120 days of December 31, 2023, our most recent fiscal year end,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4" w:name="Item12"/>
      <w:bookmarkEnd w:id="34"/>
      <w:r>
        <w:rPr>
          <w:rFonts w:ascii="Times New Roman" w:hAnsi="Times New Roman"/>
          <w:b/>
          <w:color w:val="000000"/>
          <w:sz w:val="24"/>
          <w:u w:val="single"/>
          <w:shd w:fill="FFFFFF" w:val="clear"/>
        </w:rPr>
        <w:t>Item 12.</w:t>
      </w:r>
      <w:r>
        <w:rPr>
          <w:rFonts w:ascii="Times New Roman" w:hAnsi="Times New Roman"/>
          <w:color w:val="000000"/>
          <w:sz w:val="20"/>
          <w:shd w:fill="FFFFFF" w:val="clear"/>
        </w:rPr>
        <w:t> </w:t>
      </w:r>
      <w:r>
        <w:rPr>
          <w:rFonts w:ascii="Times New Roman" w:hAnsi="Times New Roman"/>
          <w:b/>
          <w:color w:val="000000"/>
          <w:sz w:val="24"/>
          <w:u w:val="single"/>
          <w:shd w:fill="FFFFFF" w:val="clear"/>
        </w:rPr>
        <w:t>SECURITY OWNERSHIP OF CERTAIN BENEFICIAL OWNERS AND MANAGEMENT AND RELATED STOCKHOLDER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Information required under this Item will be contained in our definitive proxy statement, which will be filed within 120 days of December 31, 2023, our most recent fiscal year end,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5" w:name="Item13"/>
      <w:bookmarkEnd w:id="35"/>
      <w:r>
        <w:rPr>
          <w:rFonts w:ascii="Times New Roman" w:hAnsi="Times New Roman"/>
          <w:b/>
          <w:color w:val="000000"/>
          <w:sz w:val="24"/>
          <w:u w:val="single"/>
          <w:shd w:fill="FFFFFF" w:val="clear"/>
        </w:rPr>
        <w:t>Item 13.</w:t>
      </w:r>
      <w:r>
        <w:rPr>
          <w:rFonts w:ascii="Times New Roman" w:hAnsi="Times New Roman"/>
          <w:color w:val="000000"/>
          <w:sz w:val="20"/>
          <w:shd w:fill="FFFFFF" w:val="clear"/>
        </w:rPr>
        <w:t> </w:t>
      </w:r>
      <w:r>
        <w:rPr>
          <w:rFonts w:ascii="Times New Roman" w:hAnsi="Times New Roman"/>
          <w:b/>
          <w:color w:val="000000"/>
          <w:sz w:val="24"/>
          <w:u w:val="single"/>
          <w:shd w:fill="FFFFFF" w:val="clear"/>
        </w:rPr>
        <w:t>CERTAIN RELATIONSHIPS AND RELATED TRANSACTIONS, AND DIRECTOR INDEPENDENCE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Information required under this Item will be contained in our definitive proxy statement, which will be filed within 120 days of December 31, 2023, our most recent fiscal year end,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6" w:name="Item14"/>
      <w:bookmarkEnd w:id="36"/>
      <w:r>
        <w:rPr>
          <w:rFonts w:ascii="Times New Roman" w:hAnsi="Times New Roman"/>
          <w:b/>
          <w:color w:val="000000"/>
          <w:sz w:val="24"/>
          <w:u w:val="single"/>
          <w:shd w:fill="FFFFFF" w:val="clear"/>
        </w:rPr>
        <w:t>Item 14.</w:t>
      </w:r>
      <w:r>
        <w:rPr>
          <w:rFonts w:ascii="Times New Roman" w:hAnsi="Times New Roman"/>
          <w:color w:val="000000"/>
          <w:sz w:val="20"/>
          <w:shd w:fill="FFFFFF" w:val="clear"/>
        </w:rPr>
        <w:t> </w:t>
      </w:r>
      <w:r>
        <w:rPr>
          <w:rFonts w:ascii="Times New Roman" w:hAnsi="Times New Roman"/>
          <w:b/>
          <w:color w:val="000000"/>
          <w:sz w:val="24"/>
          <w:u w:val="single"/>
          <w:shd w:fill="FFFFFF" w:val="clear"/>
        </w:rPr>
        <w:t>PRINCIPAL ACCOUNTING FEES AND SERVICES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Information required under this Item will be contained in our definitive proxy statement, which will be filed within 120 days of December 31, 2023, our most recent fiscal year end, and is incorporated herein by reference.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u w:val="single"/>
          <w:shd w:fill="FFFFFF" w:val="clear"/>
        </w:rPr>
        <w:t>P</w:t>
      </w:r>
      <w:bookmarkStart w:id="37" w:name="PARTIV"/>
      <w:bookmarkEnd w:id="37"/>
      <w:r>
        <w:rPr>
          <w:rFonts w:ascii="Times New Roman" w:hAnsi="Times New Roman"/>
          <w:b/>
          <w:color w:val="000000"/>
          <w:sz w:val="24"/>
          <w:u w:val="single"/>
          <w:shd w:fill="FFFFFF" w:val="clear"/>
        </w:rPr>
        <w:t>ART IV</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color w:val="000000"/>
          <w:shd w:fill="FFFFFF" w:val="clear"/>
        </w:rPr>
      </w:pPr>
      <w:r>
        <w:rPr>
          <w:color w:val="000000"/>
          <w:u w:val="single"/>
          <w:shd w:fill="FFFFFF" w:val="clear"/>
        </w:rPr>
        <w:t> </w:t>
      </w:r>
      <w:bookmarkStart w:id="38" w:name="Item15"/>
      <w:bookmarkEnd w:id="38"/>
      <w:r>
        <w:rPr>
          <w:rFonts w:ascii="Times New Roman" w:hAnsi="Times New Roman"/>
          <w:b/>
          <w:color w:val="000000"/>
          <w:sz w:val="24"/>
          <w:u w:val="single"/>
          <w:shd w:fill="FFFFFF" w:val="clear"/>
        </w:rPr>
        <w:t>Item 15.</w:t>
      </w:r>
      <w:r>
        <w:rPr>
          <w:rFonts w:ascii="Times New Roman" w:hAnsi="Times New Roman"/>
          <w:color w:val="000000"/>
          <w:sz w:val="20"/>
          <w:shd w:fill="FFFFFF" w:val="clear"/>
        </w:rPr>
        <w:t> </w:t>
      </w:r>
      <w:r>
        <w:rPr>
          <w:rFonts w:ascii="Times New Roman" w:hAnsi="Times New Roman"/>
          <w:b/>
          <w:color w:val="000000"/>
          <w:sz w:val="24"/>
          <w:u w:val="single"/>
          <w:shd w:fill="FFFFFF" w:val="clear"/>
        </w:rPr>
        <w:t>EXHIBITS, FINANCIAL STATEMENT SCHEDULES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(a)  </w:t>
      </w:r>
      <w:r>
        <w:rPr>
          <w:rFonts w:ascii="Times New Roman" w:hAnsi="Times New Roman"/>
          <w:color w:val="000000"/>
          <w:sz w:val="24"/>
          <w:u w:val="single"/>
          <w:shd w:fill="FFFFFF" w:val="clear"/>
        </w:rPr>
        <w:t>Documents Filed as Part of Form 10-K</w:t>
      </w:r>
    </w:p>
    <w:p>
      <w:pPr>
        <w:pStyle w:val="TextBody"/>
        <w:bidi w:val="0"/>
        <w:spacing w:before="0" w:after="0"/>
        <w:jc w:val="left"/>
        <w:rPr>
          <w:rFonts w:ascii="Times New Roman" w:hAnsi="Times New Roman"/>
          <w:sz w:val="20"/>
        </w:rPr>
      </w:pPr>
      <w:r>
        <w:rPr>
          <w:rFonts w:ascii="Times New Roman" w:hAnsi="Times New Roman"/>
          <w:sz w:val="20"/>
        </w:rPr>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1.</w:t>
            </w:r>
          </w:p>
        </w:tc>
        <w:tc>
          <w:tcPr>
            <w:tcW w:w="1985" w:type="dxa"/>
            <w:tcBorders/>
            <w:vAlign w:val="center"/>
          </w:tcPr>
          <w:p>
            <w:pPr>
              <w:pStyle w:val="TableContents"/>
              <w:bidi w:val="0"/>
              <w:spacing w:before="0" w:after="0"/>
              <w:jc w:val="both"/>
              <w:rPr>
                <w:rFonts w:ascii="Times New Roman" w:hAnsi="Times New Roman"/>
                <w:sz w:val="24"/>
                <w:u w:val="single"/>
              </w:rPr>
            </w:pPr>
            <w:r>
              <w:rPr>
                <w:rFonts w:ascii="Times New Roman" w:hAnsi="Times New Roman"/>
                <w:sz w:val="24"/>
                <w:u w:val="single"/>
              </w:rPr>
              <w:t>Financial Statements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4"/>
          <w:shd w:fill="FFFFFF" w:val="clear"/>
        </w:rPr>
      </w:pPr>
      <w:r>
        <w:rPr>
          <w:rFonts w:ascii="Times New Roman" w:hAnsi="Times New Roman"/>
          <w:color w:val="000000"/>
          <w:sz w:val="24"/>
          <w:shd w:fill="FFFFFF" w:val="clear"/>
        </w:rPr>
        <w:t>The Consolidated Financial Statements for the year ended December 31, 2023 are filed herewith. See Index to the Consolidated Financial Statements on page F-1 of this report.</w:t>
      </w:r>
    </w:p>
    <w:p>
      <w:pPr>
        <w:pStyle w:val="TextBody"/>
        <w:bidi w:val="0"/>
        <w:spacing w:before="0" w:after="0"/>
        <w:jc w:val="left"/>
        <w:rPr>
          <w:rFonts w:ascii="Times New Roman" w:hAnsi="Times New Roman"/>
          <w:sz w:val="20"/>
        </w:rPr>
      </w:pPr>
      <w:r>
        <w:rPr>
          <w:rFonts w:ascii="Times New Roman" w:hAnsi="Times New Roman"/>
          <w:sz w:val="20"/>
        </w:rPr>
      </w:r>
    </w:p>
    <w:tbl>
      <w:tblPr>
        <w:tblW w:w="3130" w:type="dxa"/>
        <w:jc w:val="left"/>
        <w:tblInd w:w="0" w:type="dxa"/>
        <w:tblLayout w:type="fixed"/>
        <w:tblCellMar>
          <w:top w:w="0" w:type="dxa"/>
          <w:left w:w="0" w:type="dxa"/>
          <w:bottom w:w="0" w:type="dxa"/>
          <w:right w:w="0" w:type="dxa"/>
        </w:tblCellMar>
      </w:tblPr>
      <w:tblGrid>
        <w:gridCol w:w="215"/>
        <w:gridCol w:w="2915"/>
      </w:tblGrid>
      <w:tr>
        <w:trPr/>
        <w:tc>
          <w:tcPr>
            <w:tcW w:w="21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2.</w:t>
            </w:r>
          </w:p>
        </w:tc>
        <w:tc>
          <w:tcPr>
            <w:tcW w:w="2915" w:type="dxa"/>
            <w:tcBorders/>
            <w:vAlign w:val="center"/>
          </w:tcPr>
          <w:p>
            <w:pPr>
              <w:pStyle w:val="TableContents"/>
              <w:bidi w:val="0"/>
              <w:spacing w:before="0" w:after="0"/>
              <w:jc w:val="both"/>
              <w:rPr>
                <w:rFonts w:ascii="Times New Roman" w:hAnsi="Times New Roman"/>
                <w:sz w:val="24"/>
                <w:u w:val="single"/>
              </w:rPr>
            </w:pPr>
            <w:r>
              <w:rPr>
                <w:rFonts w:ascii="Times New Roman" w:hAnsi="Times New Roman"/>
                <w:sz w:val="24"/>
                <w:u w:val="single"/>
              </w:rPr>
              <w:t>Financial Statement Schedules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4"/>
          <w:shd w:fill="FFFFFF" w:val="clear"/>
        </w:rPr>
      </w:pPr>
      <w:r>
        <w:rPr>
          <w:rFonts w:ascii="Times New Roman" w:hAnsi="Times New Roman"/>
          <w:color w:val="000000"/>
          <w:sz w:val="24"/>
          <w:shd w:fill="FFFFFF" w:val="clear"/>
        </w:rPr>
        <w:t>All financial statement schedules have been omitted because they are not applicable, not material, or the required information is shown in the consolidated financial statements or the notes thereto.</w:t>
      </w:r>
    </w:p>
    <w:p>
      <w:pPr>
        <w:pStyle w:val="TextBody"/>
        <w:bidi w:val="0"/>
        <w:spacing w:before="0" w:after="0"/>
        <w:jc w:val="left"/>
        <w:rPr>
          <w:rFonts w:ascii="Times New Roman" w:hAnsi="Times New Roman"/>
          <w:sz w:val="20"/>
        </w:rPr>
      </w:pPr>
      <w:r>
        <w:rPr>
          <w:rFonts w:ascii="Times New Roman" w:hAnsi="Times New Roman"/>
          <w:sz w:val="20"/>
        </w:rPr>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3.</w:t>
            </w:r>
          </w:p>
        </w:tc>
        <w:tc>
          <w:tcPr>
            <w:tcW w:w="815" w:type="dxa"/>
            <w:tcBorders/>
            <w:vAlign w:val="center"/>
          </w:tcPr>
          <w:p>
            <w:pPr>
              <w:pStyle w:val="TableContents"/>
              <w:bidi w:val="0"/>
              <w:spacing w:before="0" w:after="0"/>
              <w:jc w:val="both"/>
              <w:rPr>
                <w:rFonts w:ascii="Times New Roman" w:hAnsi="Times New Roman"/>
                <w:sz w:val="24"/>
                <w:u w:val="single"/>
              </w:rPr>
            </w:pPr>
            <w:r>
              <w:rPr>
                <w:rFonts w:ascii="Times New Roman" w:hAnsi="Times New Roman"/>
                <w:sz w:val="24"/>
                <w:u w:val="single"/>
              </w:rPr>
              <w:t>Exhibits</w:t>
            </w:r>
          </w:p>
        </w:tc>
      </w:tr>
    </w:tbl>
    <w:tbl>
      <w:tblPr>
        <w:tblW w:w="10205" w:type="dxa"/>
        <w:jc w:val="left"/>
        <w:tblInd w:w="0" w:type="dxa"/>
        <w:tblLayout w:type="fixed"/>
        <w:tblCellMar>
          <w:top w:w="0" w:type="dxa"/>
          <w:left w:w="0" w:type="dxa"/>
          <w:bottom w:w="0" w:type="dxa"/>
          <w:right w:w="0" w:type="dxa"/>
        </w:tblCellMar>
      </w:tblPr>
      <w:tblGrid>
        <w:gridCol w:w="75"/>
        <w:gridCol w:w="466"/>
        <w:gridCol w:w="9664"/>
      </w:tblGrid>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0"/>
              <w:jc w:val="both"/>
              <w:rPr/>
            </w:pPr>
            <w:hyperlink r:id="rId3">
              <w:r>
                <w:rPr>
                  <w:rStyle w:val="InternetLink"/>
                  <w:rFonts w:ascii="Times New Roman" w:hAnsi="Times New Roman"/>
                  <w:sz w:val="24"/>
                </w:rPr>
                <w:t>3.1</w:t>
              </w:r>
            </w:hyperlink>
          </w:p>
        </w:tc>
        <w:tc>
          <w:tcPr>
            <w:tcW w:w="9664" w:type="dxa"/>
            <w:tcBorders/>
            <w:shd w:fill="CCEEFF" w:val="clear"/>
            <w:vAlign w:val="center"/>
          </w:tcPr>
          <w:p>
            <w:pPr>
              <w:pStyle w:val="TableContents"/>
              <w:bidi w:val="0"/>
              <w:spacing w:before="0" w:after="0"/>
              <w:jc w:val="both"/>
              <w:rPr/>
            </w:pPr>
            <w:hyperlink r:id="rId4">
              <w:r>
                <w:rPr>
                  <w:rStyle w:val="InternetLink"/>
                  <w:rFonts w:ascii="Times New Roman" w:hAnsi="Times New Roman"/>
                  <w:sz w:val="24"/>
                </w:rPr>
                <w:t>Corrected Amended and Restated Certificate of Incorporation of Vishay Intertechnology, Inc. dated June 5, 2012. Incorporated by reference to Exhibit 3.1 to our current report on Form 8-K filed June 5, 2012.</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5">
              <w:r>
                <w:rPr>
                  <w:rStyle w:val="InternetLink"/>
                  <w:rFonts w:ascii="Times New Roman" w:hAnsi="Times New Roman"/>
                  <w:sz w:val="24"/>
                </w:rPr>
                <w:t>3.2</w:t>
              </w:r>
            </w:hyperlink>
          </w:p>
        </w:tc>
        <w:tc>
          <w:tcPr>
            <w:tcW w:w="9664" w:type="dxa"/>
            <w:tcBorders/>
            <w:vAlign w:val="center"/>
          </w:tcPr>
          <w:p>
            <w:pPr>
              <w:pStyle w:val="TableContents"/>
              <w:bidi w:val="0"/>
              <w:spacing w:before="0" w:after="0"/>
              <w:jc w:val="both"/>
              <w:rPr/>
            </w:pPr>
            <w:hyperlink r:id="rId6">
              <w:r>
                <w:rPr>
                  <w:rStyle w:val="InternetLink"/>
                  <w:rFonts w:ascii="Times New Roman" w:hAnsi="Times New Roman"/>
                  <w:sz w:val="24"/>
                </w:rPr>
                <w:t>Amended and Restated Bylaws dated June 1, 2011. Incorporated by reference to Exhibit 3.2 to our current report on Form 8-K filed June 2, 2011.</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7">
              <w:r>
                <w:rPr>
                  <w:rStyle w:val="InternetLink"/>
                  <w:rFonts w:ascii="Times New Roman" w:hAnsi="Times New Roman"/>
                  <w:sz w:val="24"/>
                </w:rPr>
                <w:t>3.3</w:t>
              </w:r>
            </w:hyperlink>
          </w:p>
        </w:tc>
        <w:tc>
          <w:tcPr>
            <w:tcW w:w="9664" w:type="dxa"/>
            <w:tcBorders/>
            <w:shd w:fill="CCEEFF" w:val="clear"/>
            <w:vAlign w:val="center"/>
          </w:tcPr>
          <w:p>
            <w:pPr>
              <w:pStyle w:val="TableContents"/>
              <w:bidi w:val="0"/>
              <w:spacing w:before="0" w:after="0"/>
              <w:jc w:val="both"/>
              <w:rPr/>
            </w:pPr>
            <w:hyperlink r:id="rId8">
              <w:r>
                <w:rPr>
                  <w:rStyle w:val="InternetLink"/>
                  <w:rFonts w:ascii="Times New Roman" w:hAnsi="Times New Roman"/>
                  <w:sz w:val="24"/>
                </w:rPr>
                <w:t>First Amendment to Amended and Restated Bylaws.  Incorporated by reference to Exhibit 3.1 to our Current Report on Form 8-K, filed on August 11, 2015.</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hyperlink r:id="rId9">
              <w:r>
                <w:rPr>
                  <w:rStyle w:val="InternetLink"/>
                  <w:sz w:val="24"/>
                </w:rPr>
                <w:t>3.4</w:t>
              </w:r>
            </w:hyperlink>
          </w:p>
        </w:tc>
        <w:tc>
          <w:tcPr>
            <w:tcW w:w="9664" w:type="dxa"/>
            <w:tcBorders/>
            <w:vAlign w:val="center"/>
          </w:tcPr>
          <w:p>
            <w:pPr>
              <w:pStyle w:val="TableContents"/>
              <w:bidi w:val="0"/>
              <w:spacing w:before="0" w:after="283"/>
              <w:jc w:val="left"/>
              <w:rPr/>
            </w:pPr>
            <w:hyperlink r:id="rId10">
              <w:r>
                <w:rPr>
                  <w:rStyle w:val="InternetLink"/>
                  <w:sz w:val="24"/>
                </w:rPr>
                <w:t>Second Amendment to Amended and Restated Bylaws.  Incorporated by reference to Exhibit 3.1 to our Current Report on Form 8-K, filed on February 21, 2023.</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11">
              <w:r>
                <w:rPr>
                  <w:rStyle w:val="InternetLink"/>
                  <w:rFonts w:ascii="Times New Roman" w:hAnsi="Times New Roman"/>
                  <w:sz w:val="24"/>
                </w:rPr>
                <w:t>4.1</w:t>
              </w:r>
            </w:hyperlink>
          </w:p>
        </w:tc>
        <w:tc>
          <w:tcPr>
            <w:tcW w:w="9664" w:type="dxa"/>
            <w:tcBorders/>
            <w:shd w:fill="CCEEFF" w:val="clear"/>
            <w:vAlign w:val="center"/>
          </w:tcPr>
          <w:p>
            <w:pPr>
              <w:pStyle w:val="TableContents"/>
              <w:bidi w:val="0"/>
              <w:spacing w:before="0" w:after="0"/>
              <w:jc w:val="both"/>
              <w:rPr/>
            </w:pPr>
            <w:hyperlink r:id="rId12">
              <w:r>
                <w:rPr>
                  <w:rStyle w:val="InternetLink"/>
                  <w:rFonts w:ascii="Times New Roman" w:hAnsi="Times New Roman"/>
                  <w:sz w:val="24"/>
                </w:rPr>
                <w:t>Indenture, dated as of June 12, 2018, by and between Vishay Intertechnology, Inc. and HSBC Bank USA, N.A., as Trustee. Incorporated by reference to Exhibit 4.1 to our current report on Form 8-K filed June 13, 2018.</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13">
              <w:r>
                <w:rPr>
                  <w:rStyle w:val="InternetLink"/>
                  <w:rFonts w:ascii="Times New Roman" w:hAnsi="Times New Roman"/>
                  <w:sz w:val="24"/>
                </w:rPr>
                <w:t>4.2</w:t>
              </w:r>
            </w:hyperlink>
          </w:p>
        </w:tc>
        <w:tc>
          <w:tcPr>
            <w:tcW w:w="9664" w:type="dxa"/>
            <w:tcBorders/>
            <w:vAlign w:val="center"/>
          </w:tcPr>
          <w:p>
            <w:pPr>
              <w:pStyle w:val="TableContents"/>
              <w:bidi w:val="0"/>
              <w:spacing w:before="0" w:after="0"/>
              <w:jc w:val="both"/>
              <w:rPr/>
            </w:pPr>
            <w:hyperlink r:id="rId14">
              <w:r>
                <w:rPr>
                  <w:rStyle w:val="InternetLink"/>
                  <w:rFonts w:ascii="Times New Roman" w:hAnsi="Times New Roman"/>
                  <w:sz w:val="24"/>
                </w:rPr>
                <w:t>Form of Global Note, representing Vishay Intertechnology, Inc.'s  2.25% Senior Convertible Notes due 2025 (included as Exhibit A to the Indenture filed as Exhibit 4.5). Incorporated by reference to Exhibit 4.2 to our current report on Form 8-K, filed on June 13, 2018.</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15">
              <w:r>
                <w:rPr>
                  <w:rStyle w:val="InternetLink"/>
                  <w:rFonts w:ascii="Times New Roman" w:hAnsi="Times New Roman"/>
                  <w:sz w:val="24"/>
                </w:rPr>
                <w:t>4.3</w:t>
              </w:r>
            </w:hyperlink>
          </w:p>
        </w:tc>
        <w:tc>
          <w:tcPr>
            <w:tcW w:w="9664" w:type="dxa"/>
            <w:tcBorders/>
            <w:shd w:fill="CCEEFF" w:val="clear"/>
            <w:vAlign w:val="center"/>
          </w:tcPr>
          <w:p>
            <w:pPr>
              <w:pStyle w:val="TableContents"/>
              <w:bidi w:val="0"/>
              <w:spacing w:before="0" w:after="0"/>
              <w:jc w:val="both"/>
              <w:rPr/>
            </w:pPr>
            <w:hyperlink r:id="rId16">
              <w:r>
                <w:rPr>
                  <w:rStyle w:val="InternetLink"/>
                  <w:rFonts w:ascii="Times New Roman" w:hAnsi="Times New Roman"/>
                  <w:sz w:val="24"/>
                </w:rPr>
                <w:t>Description of Capital Stock.  Incorporated by reference to Exhibit 4.1 to our quarterly report on Form 10-Q for the fiscal quarter ended October 1, 2022.</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17">
              <w:r>
                <w:rPr>
                  <w:rStyle w:val="InternetLink"/>
                  <w:rFonts w:ascii="Times New Roman" w:hAnsi="Times New Roman"/>
                  <w:sz w:val="24"/>
                </w:rPr>
                <w:t>4.4</w:t>
              </w:r>
            </w:hyperlink>
          </w:p>
        </w:tc>
        <w:tc>
          <w:tcPr>
            <w:tcW w:w="9664" w:type="dxa"/>
            <w:tcBorders/>
            <w:vAlign w:val="center"/>
          </w:tcPr>
          <w:p>
            <w:pPr>
              <w:pStyle w:val="TableContents"/>
              <w:bidi w:val="0"/>
              <w:spacing w:before="0" w:after="0"/>
              <w:jc w:val="both"/>
              <w:rPr/>
            </w:pPr>
            <w:hyperlink r:id="rId18">
              <w:r>
                <w:rPr>
                  <w:rStyle w:val="InternetLink"/>
                  <w:rFonts w:ascii="Times New Roman" w:hAnsi="Times New Roman"/>
                  <w:sz w:val="24"/>
                </w:rPr>
                <w:t>First Supplemental Indenture, dated as of December 23, 2020, by and between Vishay Intertechnology, Inc. and HSBC Bank USA, N.A., as Trustee.  Incorporated by reference to Exhibit 4.1 to our current report on Form 8-K filed January 5, 2021.</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hyperlink r:id="rId19">
              <w:r>
                <w:rPr>
                  <w:rStyle w:val="InternetLink"/>
                  <w:sz w:val="24"/>
                </w:rPr>
                <w:t>4.5</w:t>
              </w:r>
            </w:hyperlink>
          </w:p>
        </w:tc>
        <w:tc>
          <w:tcPr>
            <w:tcW w:w="9664" w:type="dxa"/>
            <w:tcBorders/>
            <w:shd w:fill="CCEEFF" w:val="clear"/>
            <w:vAlign w:val="center"/>
          </w:tcPr>
          <w:p>
            <w:pPr>
              <w:pStyle w:val="TableContents"/>
              <w:bidi w:val="0"/>
              <w:spacing w:before="0" w:after="0"/>
              <w:jc w:val="both"/>
              <w:rPr/>
            </w:pPr>
            <w:hyperlink r:id="rId20">
              <w:r>
                <w:rPr>
                  <w:rStyle w:val="InternetLink"/>
                  <w:rFonts w:ascii="Times New Roman;Times;serif" w:hAnsi="Times New Roman;Times;serif"/>
                  <w:sz w:val="24"/>
                </w:rPr>
                <w:t>Indenture, dated as of September 12, 2023, by and between Vishay Intertechnology, Inc. and HSBC Bank USA, National Association, as Trustee.  Incorporated by reference to Exhibit 4.1 in our current report on Form 8-K filed September 12, 2023.</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fldChar w:fldCharType="begin"/>
            </w:r>
            <w:r>
              <w:rPr>
                <w:rStyle w:val="InternetLink"/>
                <w:sz w:val="24"/>
              </w:rPr>
              <w:instrText xml:space="preserve"> HYPERLINK "https://www.sec.gov/Archives/edgar/data/103730/000010373023000078/exhibit4-1.htm" \l "EXHIBITA"</w:instrText>
            </w:r>
            <w:r>
              <w:rPr>
                <w:rStyle w:val="InternetLink"/>
                <w:sz w:val="24"/>
              </w:rPr>
              <w:fldChar w:fldCharType="separate"/>
            </w:r>
            <w:r>
              <w:rPr>
                <w:rStyle w:val="InternetLink"/>
                <w:sz w:val="24"/>
              </w:rPr>
              <w:t>4.6</w:t>
            </w:r>
            <w:r>
              <w:rPr>
                <w:rStyle w:val="InternetLink"/>
                <w:sz w:val="24"/>
              </w:rPr>
              <w:fldChar w:fldCharType="end"/>
            </w:r>
          </w:p>
        </w:tc>
        <w:tc>
          <w:tcPr>
            <w:tcW w:w="9664" w:type="dxa"/>
            <w:tcBorders/>
            <w:vAlign w:val="center"/>
          </w:tcPr>
          <w:p>
            <w:pPr>
              <w:pStyle w:val="TableContents"/>
              <w:bidi w:val="0"/>
              <w:spacing w:before="0" w:after="0"/>
              <w:jc w:val="both"/>
              <w:rPr/>
            </w:pPr>
            <w:r>
              <w:fldChar w:fldCharType="begin"/>
            </w:r>
            <w:r>
              <w:rPr>
                <w:rStyle w:val="InternetLink"/>
                <w:sz w:val="24"/>
                <w:rFonts w:ascii="Times New Roman;Times;serif" w:hAnsi="Times New Roman;Times;serif"/>
              </w:rPr>
              <w:instrText xml:space="preserve"> HYPERLINK "https://www.sec.gov/Archives/edgar/data/103730/000010373023000078/exhibit4-1.htm" \l "EXHIBITA"</w:instrText>
            </w:r>
            <w:r>
              <w:rPr>
                <w:rStyle w:val="InternetLink"/>
                <w:sz w:val="24"/>
                <w:rFonts w:ascii="Times New Roman;Times;serif" w:hAnsi="Times New Roman;Times;serif"/>
              </w:rPr>
              <w:fldChar w:fldCharType="separate"/>
            </w:r>
            <w:r>
              <w:rPr>
                <w:rStyle w:val="InternetLink"/>
                <w:rFonts w:ascii="Times New Roman;Times;serif" w:hAnsi="Times New Roman;Times;serif"/>
                <w:sz w:val="24"/>
              </w:rPr>
              <w:t>Form of Global Note, representing Vishay Intertechnology, Inc.'s 2.25% Senior Convertible Notes due 2030 (included as Exhibit A to the Indenture filed as Exhibit 4.1).  Incorporated by reference to Exhibit 4.2 in our current report on Form 8-K filed September 12, 2023.</w:t>
            </w:r>
            <w:r>
              <w:rPr>
                <w:rStyle w:val="InternetLink"/>
                <w:sz w:val="24"/>
                <w:rFonts w:ascii="Times New Roman;Times;serif" w:hAnsi="Times New Roman;Times;serif"/>
              </w:rPr>
              <w:fldChar w:fldCharType="end"/>
            </w:r>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21">
              <w:r>
                <w:rPr>
                  <w:rStyle w:val="InternetLink"/>
                  <w:rFonts w:ascii="Times New Roman" w:hAnsi="Times New Roman"/>
                  <w:sz w:val="24"/>
                </w:rPr>
                <w:t>10.1†</w:t>
              </w:r>
            </w:hyperlink>
          </w:p>
        </w:tc>
        <w:tc>
          <w:tcPr>
            <w:tcW w:w="9664" w:type="dxa"/>
            <w:tcBorders/>
            <w:shd w:fill="CCEEFF" w:val="clear"/>
            <w:vAlign w:val="center"/>
          </w:tcPr>
          <w:p>
            <w:pPr>
              <w:pStyle w:val="TableContents"/>
              <w:bidi w:val="0"/>
              <w:spacing w:before="0" w:after="0"/>
              <w:jc w:val="both"/>
              <w:rPr/>
            </w:pPr>
            <w:hyperlink r:id="rId22">
              <w:r>
                <w:rPr>
                  <w:rStyle w:val="InternetLink"/>
                  <w:rFonts w:ascii="Times New Roman" w:hAnsi="Times New Roman"/>
                  <w:sz w:val="24"/>
                </w:rPr>
                <w:t>Amended and restated Vishay Intertechnology 162(m) Cash Bonus Plan.  Incorporated by reference to Annex A to our Proxy Statement, dated March 31, 2017, for our 2017 Annual Meeting of Stockholders.</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23">
              <w:r>
                <w:rPr>
                  <w:rStyle w:val="InternetLink"/>
                  <w:rFonts w:ascii="Times New Roman" w:hAnsi="Times New Roman"/>
                  <w:sz w:val="24"/>
                </w:rPr>
                <w:t>10.2†</w:t>
              </w:r>
            </w:hyperlink>
          </w:p>
        </w:tc>
        <w:tc>
          <w:tcPr>
            <w:tcW w:w="9664" w:type="dxa"/>
            <w:tcBorders/>
            <w:vAlign w:val="center"/>
          </w:tcPr>
          <w:p>
            <w:pPr>
              <w:pStyle w:val="TableContents"/>
              <w:bidi w:val="0"/>
              <w:spacing w:before="0" w:after="0"/>
              <w:jc w:val="both"/>
              <w:rPr/>
            </w:pPr>
            <w:hyperlink r:id="rId24">
              <w:r>
                <w:rPr>
                  <w:rStyle w:val="InternetLink"/>
                  <w:rFonts w:ascii="Times New Roman" w:hAnsi="Times New Roman"/>
                  <w:sz w:val="24"/>
                </w:rPr>
                <w:t>Amended and Restated Vishay Intertechnology, Inc. 2007 Stock Incentive Program. Incorporated by reference to Annex A to our definitive proxy statement, dated April 4, 2014, for our 2014 Annual Meeting of Stockholders.</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hyperlink r:id="rId25">
              <w:r>
                <w:rPr>
                  <w:rStyle w:val="InternetLink"/>
                  <w:sz w:val="24"/>
                </w:rPr>
                <w:t>10.3†</w:t>
              </w:r>
            </w:hyperlink>
          </w:p>
        </w:tc>
        <w:tc>
          <w:tcPr>
            <w:tcW w:w="9664" w:type="dxa"/>
            <w:tcBorders/>
            <w:shd w:fill="CCEEFF" w:val="clear"/>
            <w:vAlign w:val="center"/>
          </w:tcPr>
          <w:p>
            <w:pPr>
              <w:pStyle w:val="TableContents"/>
              <w:bidi w:val="0"/>
              <w:spacing w:before="0" w:after="0"/>
              <w:jc w:val="both"/>
              <w:rPr/>
            </w:pPr>
            <w:hyperlink r:id="rId26">
              <w:r>
                <w:rPr>
                  <w:rStyle w:val="InternetLink"/>
                  <w:rFonts w:ascii="Times New Roman;Times;serif" w:hAnsi="Times New Roman;Times;serif"/>
                  <w:sz w:val="24"/>
                </w:rPr>
                <w:t>Amended and Restated Vishay Intertechnology, Inc. 2007 Stock Incentive Program (Including Restated Annex A – Israel).  Incorporated by reference to Exhibit 10.3 to our annual report on Form 10-K for the year ended December 31, 2022.</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fldChar w:fldCharType="begin"/>
            </w:r>
            <w:r>
              <w:rPr>
                <w:rStyle w:val="InternetLink"/>
                <w:sz w:val="24"/>
              </w:rPr>
              <w:instrText xml:space="preserve"> HYPERLINK "https://www.sec.gov/Archives/edgar/data/103730/000114036123016002/vishay_def14a.htm" \l "ANNEXA"</w:instrText>
            </w:r>
            <w:r>
              <w:rPr>
                <w:rStyle w:val="InternetLink"/>
                <w:sz w:val="24"/>
              </w:rPr>
              <w:fldChar w:fldCharType="separate"/>
            </w:r>
            <w:r>
              <w:rPr>
                <w:rStyle w:val="InternetLink"/>
                <w:sz w:val="24"/>
              </w:rPr>
              <w:t>10.4†</w:t>
            </w:r>
            <w:r>
              <w:rPr>
                <w:rStyle w:val="InternetLink"/>
                <w:sz w:val="24"/>
              </w:rPr>
              <w:fldChar w:fldCharType="end"/>
            </w:r>
          </w:p>
        </w:tc>
        <w:tc>
          <w:tcPr>
            <w:tcW w:w="9664" w:type="dxa"/>
            <w:tcBorders/>
            <w:vAlign w:val="center"/>
          </w:tcPr>
          <w:p>
            <w:pPr>
              <w:pStyle w:val="TableContents"/>
              <w:bidi w:val="0"/>
              <w:spacing w:before="0" w:after="0"/>
              <w:jc w:val="both"/>
              <w:rPr/>
            </w:pPr>
            <w:r>
              <w:fldChar w:fldCharType="begin"/>
            </w:r>
            <w:r>
              <w:rPr>
                <w:rStyle w:val="InternetLink"/>
                <w:sz w:val="24"/>
                <w:rFonts w:ascii="Times New Roman;Times;serif" w:hAnsi="Times New Roman;Times;serif"/>
              </w:rPr>
              <w:instrText xml:space="preserve"> HYPERLINK "https://www.sec.gov/Archives/edgar/data/103730/000114036123016002/vishay_def14a.htm" \l "ANNEXA"</w:instrText>
            </w:r>
            <w:r>
              <w:rPr>
                <w:rStyle w:val="InternetLink"/>
                <w:sz w:val="24"/>
                <w:rFonts w:ascii="Times New Roman;Times;serif" w:hAnsi="Times New Roman;Times;serif"/>
              </w:rPr>
              <w:fldChar w:fldCharType="separate"/>
            </w:r>
            <w:r>
              <w:rPr>
                <w:rStyle w:val="InternetLink"/>
                <w:rFonts w:ascii="Times New Roman;Times;serif" w:hAnsi="Times New Roman;Times;serif"/>
                <w:sz w:val="24"/>
              </w:rPr>
              <w:t>Vishay Intertechnology, Inc. 2023 Long-Term Incentive Plan. Incorporated by reference to Annex A to our definitive proxy statement, dated April 4, 2023, for our 2023 Annual Meeting of Stockholders.</w:t>
            </w:r>
            <w:r>
              <w:rPr>
                <w:rStyle w:val="InternetLink"/>
                <w:sz w:val="24"/>
                <w:rFonts w:ascii="Times New Roman;Times;serif" w:hAnsi="Times New Roman;Times;serif"/>
              </w:rPr>
              <w:fldChar w:fldCharType="end"/>
            </w:r>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27">
              <w:r>
                <w:rPr>
                  <w:rStyle w:val="InternetLink"/>
                  <w:rFonts w:ascii="Times New Roman" w:hAnsi="Times New Roman"/>
                  <w:sz w:val="24"/>
                </w:rPr>
                <w:t>10.5†</w:t>
              </w:r>
            </w:hyperlink>
          </w:p>
        </w:tc>
        <w:tc>
          <w:tcPr>
            <w:tcW w:w="9664" w:type="dxa"/>
            <w:tcBorders/>
            <w:shd w:fill="CCEEFF" w:val="clear"/>
            <w:vAlign w:val="center"/>
          </w:tcPr>
          <w:p>
            <w:pPr>
              <w:pStyle w:val="TableContents"/>
              <w:bidi w:val="0"/>
              <w:spacing w:before="0" w:after="0"/>
              <w:jc w:val="both"/>
              <w:rPr/>
            </w:pPr>
            <w:hyperlink r:id="rId28">
              <w:r>
                <w:rPr>
                  <w:rStyle w:val="InternetLink"/>
                  <w:rFonts w:ascii="Times New Roman" w:hAnsi="Times New Roman"/>
                  <w:sz w:val="24"/>
                </w:rPr>
                <w:t>Employment agreement, dated January 1, 2004, between Vishay Europe GmbH (an indirect wholly owned subsidiary of Vishay Intertechnology, Inc.) and Dr. Gerald Paul. Incorporated by reference to Exhibit 10.3 to our quarterly report on Form 10-Q for the fiscal quarter ended October 2, 2004.</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29">
              <w:r>
                <w:rPr>
                  <w:rStyle w:val="InternetLink"/>
                  <w:rFonts w:ascii="Times New Roman" w:hAnsi="Times New Roman"/>
                  <w:sz w:val="24"/>
                </w:rPr>
                <w:t>10.6†</w:t>
              </w:r>
            </w:hyperlink>
          </w:p>
        </w:tc>
        <w:tc>
          <w:tcPr>
            <w:tcW w:w="9664" w:type="dxa"/>
            <w:tcBorders/>
            <w:vAlign w:val="center"/>
          </w:tcPr>
          <w:p>
            <w:pPr>
              <w:pStyle w:val="TableContents"/>
              <w:bidi w:val="0"/>
              <w:spacing w:before="0" w:after="0"/>
              <w:jc w:val="both"/>
              <w:rPr/>
            </w:pPr>
            <w:hyperlink r:id="rId30">
              <w:r>
                <w:rPr>
                  <w:rStyle w:val="InternetLink"/>
                  <w:rFonts w:ascii="Times New Roman" w:hAnsi="Times New Roman"/>
                  <w:sz w:val="24"/>
                </w:rPr>
                <w:t>Amendment to Employment Agreement, dated August 8, 2010, between Vishay Europe GmbH (an indirect wholly owned subsidiary of Vishay Intertechnology, Inc.) and Dr. Gerald Paul. Incorporated by reference to Exhibit 10.5 to our quarterly report on Form 10-Q for the fiscal quarter ended July 3, 2010.</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31">
              <w:r>
                <w:rPr>
                  <w:rStyle w:val="InternetLink"/>
                  <w:rFonts w:ascii="Times New Roman" w:hAnsi="Times New Roman"/>
                  <w:sz w:val="24"/>
                </w:rPr>
                <w:t>10.7†</w:t>
              </w:r>
            </w:hyperlink>
          </w:p>
        </w:tc>
        <w:tc>
          <w:tcPr>
            <w:tcW w:w="9664" w:type="dxa"/>
            <w:tcBorders/>
            <w:shd w:fill="CCEEFF" w:val="clear"/>
            <w:vAlign w:val="center"/>
          </w:tcPr>
          <w:p>
            <w:pPr>
              <w:pStyle w:val="TableContents"/>
              <w:bidi w:val="0"/>
              <w:spacing w:before="0" w:after="0"/>
              <w:jc w:val="both"/>
              <w:rPr/>
            </w:pPr>
            <w:hyperlink r:id="rId32">
              <w:r>
                <w:rPr>
                  <w:rStyle w:val="InternetLink"/>
                  <w:rFonts w:ascii="Times New Roman" w:hAnsi="Times New Roman"/>
                  <w:sz w:val="24"/>
                </w:rPr>
                <w:t>Amendment to Employment Agreement, dated August 28, 2011, between Vishay Europe GmbH (an indirect wholly owned subsidiary of Vishay Intertechnology, Inc.) and Dr. Gerald Paul. Incorporated by reference to Exhibit 10.3 to our quarterly report on Form 10-Q for the fiscal quarter ended October 1, 2011.</w:t>
              </w:r>
            </w:hyperlink>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both"/>
              <w:rPr/>
            </w:pPr>
            <w:hyperlink r:id="rId33">
              <w:r>
                <w:rPr>
                  <w:rStyle w:val="InternetLink"/>
                  <w:rFonts w:ascii="Times New Roman" w:hAnsi="Times New Roman"/>
                  <w:sz w:val="24"/>
                </w:rPr>
                <w:t>10.8†</w:t>
              </w:r>
            </w:hyperlink>
          </w:p>
        </w:tc>
        <w:tc>
          <w:tcPr>
            <w:tcW w:w="9664" w:type="dxa"/>
            <w:tcBorders/>
            <w:vAlign w:val="center"/>
          </w:tcPr>
          <w:p>
            <w:pPr>
              <w:pStyle w:val="TableContents"/>
              <w:bidi w:val="0"/>
              <w:spacing w:before="0" w:after="0"/>
              <w:jc w:val="both"/>
              <w:rPr/>
            </w:pPr>
            <w:hyperlink r:id="rId34">
              <w:r>
                <w:rPr>
                  <w:rStyle w:val="InternetLink"/>
                  <w:rFonts w:ascii="Times New Roman" w:hAnsi="Times New Roman"/>
                  <w:sz w:val="24"/>
                </w:rPr>
                <w:t>Amendment to Employment Agreement, dated July 1, 2021, between Vishay Europe GmbH (an indirect wholly owned subsidiary of Vishay Intertechnology, Inc.), Vishay Electronic GmbH (an indirect wholly owned subsidiary of Vishay Intertechnology, Inc.), and Dr. Gerald Paul.  Incorporated by reference to Exhibit 10.1 to our quarterly report on Form 10-Q for the fiscal quarter ended July 3, 2021.</w:t>
              </w:r>
            </w:hyperlink>
          </w:p>
        </w:tc>
      </w:tr>
      <w:tr>
        <w:trPr/>
        <w:tc>
          <w:tcPr>
            <w:tcW w:w="75"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0"/>
              <w:jc w:val="both"/>
              <w:rPr/>
            </w:pPr>
            <w:hyperlink r:id="rId35">
              <w:r>
                <w:rPr>
                  <w:rStyle w:val="InternetLink"/>
                  <w:rFonts w:ascii="Times New Roman" w:hAnsi="Times New Roman"/>
                  <w:sz w:val="24"/>
                </w:rPr>
                <w:t>10.9†</w:t>
              </w:r>
            </w:hyperlink>
          </w:p>
        </w:tc>
        <w:tc>
          <w:tcPr>
            <w:tcW w:w="9664" w:type="dxa"/>
            <w:tcBorders/>
            <w:shd w:fill="CCEEFF" w:val="clear"/>
            <w:vAlign w:val="center"/>
          </w:tcPr>
          <w:p>
            <w:pPr>
              <w:pStyle w:val="TableContents"/>
              <w:bidi w:val="0"/>
              <w:spacing w:before="0" w:after="0"/>
              <w:jc w:val="both"/>
              <w:rPr/>
            </w:pPr>
            <w:hyperlink r:id="rId36">
              <w:r>
                <w:rPr>
                  <w:rStyle w:val="InternetLink"/>
                  <w:rFonts w:ascii="Times New Roman" w:hAnsi="Times New Roman"/>
                  <w:sz w:val="24"/>
                </w:rPr>
                <w:t>Employment Agreement, dated January 1, 2004, between Vishay Israel Ltd. (a wholly owned subsidiary of Vishay Intertechnology, Inc.) and Marc Zandman.  Incorporated by reference to Exhibit 10.2 to our quarterly report on Form 10-Q for the fiscal quarter ended October 2, 2004.</w:t>
              </w:r>
            </w:hyperlink>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590"/>
        <w:gridCol w:w="954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hyperlink r:id="rId37">
              <w:r>
                <w:rPr>
                  <w:rStyle w:val="InternetLink"/>
                  <w:rFonts w:ascii="Times New Roman" w:hAnsi="Times New Roman"/>
                  <w:sz w:val="24"/>
                </w:rPr>
                <w:t>10.10†</w:t>
              </w:r>
            </w:hyperlink>
          </w:p>
        </w:tc>
        <w:tc>
          <w:tcPr>
            <w:tcW w:w="9540" w:type="dxa"/>
            <w:tcBorders/>
            <w:vAlign w:val="center"/>
          </w:tcPr>
          <w:p>
            <w:pPr>
              <w:pStyle w:val="TableContents"/>
              <w:bidi w:val="0"/>
              <w:spacing w:before="0" w:after="283"/>
              <w:jc w:val="both"/>
              <w:rPr/>
            </w:pPr>
            <w:hyperlink r:id="rId38">
              <w:r>
                <w:rPr>
                  <w:rStyle w:val="InternetLink"/>
                  <w:rFonts w:ascii="Times New Roman" w:hAnsi="Times New Roman"/>
                  <w:sz w:val="24"/>
                </w:rPr>
                <w:t>Amendment to Employment Agreement, dated August 8, 2010, between Vishay Israel Ltd. (a wholly owned subsidiary of Vishay Intertechnology, Inc.) and Marc Zandman. Incorporated by reference to Exhibit 10.6 to our quarterly report on Form 10-Q for the fiscal quarter ended July 3, 2010.</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39">
              <w:r>
                <w:rPr>
                  <w:rStyle w:val="InternetLink"/>
                  <w:rFonts w:ascii="Times New Roman" w:hAnsi="Times New Roman"/>
                  <w:sz w:val="24"/>
                </w:rPr>
                <w:t>10.11†</w:t>
              </w:r>
            </w:hyperlink>
          </w:p>
        </w:tc>
        <w:tc>
          <w:tcPr>
            <w:tcW w:w="9540" w:type="dxa"/>
            <w:tcBorders/>
            <w:shd w:fill="CCEEFF" w:val="clear"/>
            <w:vAlign w:val="center"/>
          </w:tcPr>
          <w:p>
            <w:pPr>
              <w:pStyle w:val="TableContents"/>
              <w:bidi w:val="0"/>
              <w:spacing w:before="0" w:after="283"/>
              <w:jc w:val="both"/>
              <w:rPr/>
            </w:pPr>
            <w:hyperlink r:id="rId40">
              <w:r>
                <w:rPr>
                  <w:rStyle w:val="InternetLink"/>
                  <w:rFonts w:ascii="Times New Roman" w:hAnsi="Times New Roman"/>
                  <w:sz w:val="24"/>
                </w:rPr>
                <w:t>Amendment to Employment Agreement, dated August 30, 2011, between Vishay Israel Ltd. (a wholly owned subsidiary of Vishay Intertechnology, Inc.) and Marc Zandman. Incorporated by reference to Exhibit 10.2 to our quarterly report on Form 10-Q for the fiscal quarter ended October 1, 2011.</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hyperlink r:id="rId41">
              <w:r>
                <w:rPr>
                  <w:rStyle w:val="InternetLink"/>
                  <w:rFonts w:ascii="Times New Roman" w:hAnsi="Times New Roman"/>
                  <w:sz w:val="24"/>
                </w:rPr>
                <w:t>10.12†</w:t>
              </w:r>
            </w:hyperlink>
          </w:p>
        </w:tc>
        <w:tc>
          <w:tcPr>
            <w:tcW w:w="9540" w:type="dxa"/>
            <w:tcBorders/>
            <w:vAlign w:val="center"/>
          </w:tcPr>
          <w:p>
            <w:pPr>
              <w:pStyle w:val="TableContents"/>
              <w:bidi w:val="0"/>
              <w:spacing w:before="0" w:after="283"/>
              <w:jc w:val="both"/>
              <w:rPr/>
            </w:pPr>
            <w:hyperlink r:id="rId42">
              <w:r>
                <w:rPr>
                  <w:rStyle w:val="InternetLink"/>
                  <w:rFonts w:ascii="Times New Roman" w:hAnsi="Times New Roman"/>
                  <w:sz w:val="24"/>
                </w:rPr>
                <w:t>Amendment to Employment Agreement, dated February 23, 2021, between Vishay Israel Ltd. (a wholly owned subsidiary of Vishay Intertechnology, Inc.) and Marc Zandman.  Incorporated by reference to Exhibit 10.1 to our quarterly report on Form 10-Q for the fiscal quarter ended April 3, 2021.</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43">
              <w:r>
                <w:rPr>
                  <w:rStyle w:val="InternetLink"/>
                  <w:sz w:val="24"/>
                </w:rPr>
                <w:t>10.13</w:t>
              </w:r>
            </w:hyperlink>
            <w:hyperlink r:id="rId44">
              <w:r>
                <w:rPr>
                  <w:rStyle w:val="InternetLink"/>
                </w:rPr>
                <w:t>†</w:t>
              </w:r>
            </w:hyperlink>
          </w:p>
        </w:tc>
        <w:tc>
          <w:tcPr>
            <w:tcW w:w="9540" w:type="dxa"/>
            <w:tcBorders/>
            <w:shd w:fill="CCEEFF" w:val="clear"/>
            <w:vAlign w:val="center"/>
          </w:tcPr>
          <w:p>
            <w:pPr>
              <w:pStyle w:val="TableContents"/>
              <w:bidi w:val="0"/>
              <w:spacing w:before="0" w:after="0"/>
              <w:jc w:val="both"/>
              <w:rPr/>
            </w:pPr>
            <w:hyperlink r:id="rId45">
              <w:r>
                <w:rPr>
                  <w:rStyle w:val="InternetLink"/>
                  <w:rFonts w:ascii="Times New Roman;Times;serif" w:hAnsi="Times New Roman;Times;serif"/>
                  <w:sz w:val="24"/>
                </w:rPr>
                <w:t>Amendment to Employment Agreement, dated July 14, 2022, between Vishay Israel Ltd. (a wholly owned subsidiary of Vishay Intertechnology, Inc.) and Marc Zandman.  Incorporated by reference to Exhibit 10.1 to our current report on Form 8-K, filed July 18, 2022.</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hyperlink r:id="rId46">
              <w:r>
                <w:rPr>
                  <w:rStyle w:val="InternetLink"/>
                  <w:sz w:val="24"/>
                </w:rPr>
                <w:t>10.14†</w:t>
              </w:r>
            </w:hyperlink>
          </w:p>
        </w:tc>
        <w:tc>
          <w:tcPr>
            <w:tcW w:w="9540" w:type="dxa"/>
            <w:tcBorders/>
            <w:vAlign w:val="center"/>
          </w:tcPr>
          <w:p>
            <w:pPr>
              <w:pStyle w:val="TableContents"/>
              <w:bidi w:val="0"/>
              <w:spacing w:before="0" w:after="283"/>
              <w:jc w:val="both"/>
              <w:rPr/>
            </w:pPr>
            <w:hyperlink r:id="rId47">
              <w:r>
                <w:rPr>
                  <w:rStyle w:val="InternetLink"/>
                  <w:rFonts w:ascii="Times New Roman" w:hAnsi="Times New Roman"/>
                  <w:sz w:val="24"/>
                </w:rPr>
                <w:t>Employment Agreement, dated February 15, 2018, between Vishay Americas, Inc. (a wholly owned subsidiary of Vishay Intertechnology, Inc.), Vishay Intertechnology, Inc., and Joel Smejkal.  Incorporated by reference to Exhibit 10.5 to our current report on Form 8-K, filed on February 16, 2018.</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48">
              <w:r>
                <w:rPr>
                  <w:rStyle w:val="InternetLink"/>
                  <w:sz w:val="24"/>
                </w:rPr>
                <w:t>10.15†</w:t>
              </w:r>
            </w:hyperlink>
          </w:p>
        </w:tc>
        <w:tc>
          <w:tcPr>
            <w:tcW w:w="9540" w:type="dxa"/>
            <w:tcBorders/>
            <w:shd w:fill="CCEEFF" w:val="clear"/>
            <w:vAlign w:val="center"/>
          </w:tcPr>
          <w:p>
            <w:pPr>
              <w:pStyle w:val="TableContents"/>
              <w:bidi w:val="0"/>
              <w:spacing w:before="0" w:after="283"/>
              <w:jc w:val="both"/>
              <w:rPr/>
            </w:pPr>
            <w:hyperlink r:id="rId49">
              <w:r>
                <w:rPr>
                  <w:rStyle w:val="InternetLink"/>
                  <w:rFonts w:ascii="Times New Roman" w:hAnsi="Times New Roman"/>
                  <w:sz w:val="24"/>
                </w:rPr>
                <w:t>Amendment to Employment Agreement between Vishay Dale Electronics, LLC (a wholly owned subsidiary of Vishay Intertechnology, Inc.), Vishay Intertechnology, Inc., and Joel Smejkal dated May 20, 2020.  Incorporated by reference to Exhibit 10.1 to our quarterly report on Form 10-Q for the fiscal quarter ended July 4, 2020.</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hyperlink r:id="rId50">
              <w:r>
                <w:rPr>
                  <w:rStyle w:val="InternetLink"/>
                  <w:sz w:val="24"/>
                </w:rPr>
                <w:t>10.16†</w:t>
              </w:r>
            </w:hyperlink>
          </w:p>
        </w:tc>
        <w:tc>
          <w:tcPr>
            <w:tcW w:w="9540" w:type="dxa"/>
            <w:tcBorders/>
            <w:vAlign w:val="center"/>
          </w:tcPr>
          <w:p>
            <w:pPr>
              <w:pStyle w:val="TableContents"/>
              <w:bidi w:val="0"/>
              <w:spacing w:before="0" w:after="283"/>
              <w:jc w:val="both"/>
              <w:rPr/>
            </w:pPr>
            <w:hyperlink r:id="rId51">
              <w:r>
                <w:rPr>
                  <w:rStyle w:val="InternetLink"/>
                  <w:rFonts w:ascii="Times New Roman" w:hAnsi="Times New Roman"/>
                  <w:sz w:val="24"/>
                </w:rPr>
                <w:t>Second Amendment to Employment Agreement, dated February 23, 2021, between Vishay Dale Electronics, LLC (a wholly owned subsidiary of Vishay Intertechnology, Inc.), Vishay Intertechnology, Inc., and Joel Smejkal.  Incorporated by reference to Exhibit 10.6 to our quarterly report on Form 10-Q for the fiscal quarter ended April 3, 2021.</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52">
              <w:r>
                <w:rPr>
                  <w:rStyle w:val="InternetLink"/>
                  <w:sz w:val="24"/>
                </w:rPr>
                <w:t>10.17†</w:t>
              </w:r>
            </w:hyperlink>
          </w:p>
        </w:tc>
        <w:tc>
          <w:tcPr>
            <w:tcW w:w="9540" w:type="dxa"/>
            <w:tcBorders/>
            <w:shd w:fill="CCEEFF" w:val="clear"/>
            <w:vAlign w:val="center"/>
          </w:tcPr>
          <w:p>
            <w:pPr>
              <w:pStyle w:val="TableContents"/>
              <w:bidi w:val="0"/>
              <w:spacing w:before="0" w:after="283"/>
              <w:jc w:val="both"/>
              <w:rPr/>
            </w:pPr>
            <w:hyperlink r:id="rId53">
              <w:r>
                <w:rPr>
                  <w:rStyle w:val="InternetLink"/>
                  <w:sz w:val="24"/>
                </w:rPr>
                <w:t>Amended and Restated Employment Agreement, dated July 14, 2022, between Vishay Dale Electronics LLC (a wholly owned subsidiary of Vishay Intertechnology, Inc.), Vishay Intertechnology, Inc., and Joel Smejkal.  Incorporated by reference to Exhibit 10.2 to our current report on Form 8-K, filed July 18, 2022.</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0"/>
              <w:jc w:val="both"/>
              <w:rPr/>
            </w:pPr>
            <w:hyperlink r:id="rId54">
              <w:r>
                <w:rPr>
                  <w:rStyle w:val="InternetLink"/>
                  <w:rFonts w:ascii="Times New Roman" w:hAnsi="Times New Roman"/>
                  <w:sz w:val="24"/>
                </w:rPr>
                <w:t>10.18†</w:t>
              </w:r>
            </w:hyperlink>
          </w:p>
        </w:tc>
        <w:tc>
          <w:tcPr>
            <w:tcW w:w="9540" w:type="dxa"/>
            <w:tcBorders/>
            <w:vAlign w:val="center"/>
          </w:tcPr>
          <w:p>
            <w:pPr>
              <w:pStyle w:val="TableContents"/>
              <w:bidi w:val="0"/>
              <w:spacing w:before="0" w:after="0"/>
              <w:jc w:val="both"/>
              <w:rPr/>
            </w:pPr>
            <w:hyperlink r:id="rId55">
              <w:r>
                <w:rPr>
                  <w:rStyle w:val="InternetLink"/>
                  <w:rFonts w:ascii="Times New Roman" w:hAnsi="Times New Roman"/>
                  <w:sz w:val="24"/>
                </w:rPr>
                <w:t>Employment Agreement, dated February 15, 2018, between Vishay Europe GmbH (an indirect wholly owned subsidiary of Vishay Intertechnology, Inc.), Vishay Intertechnology, Inc., and Lori Lipcaman.  Incorporated by reference to Exhibit 10.1 to our current report on Form 8-K, filed on February 16, 2018.</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both"/>
              <w:rPr/>
            </w:pPr>
            <w:hyperlink r:id="rId56">
              <w:r>
                <w:rPr>
                  <w:rStyle w:val="InternetLink"/>
                  <w:rFonts w:ascii="Times New Roman" w:hAnsi="Times New Roman"/>
                  <w:sz w:val="24"/>
                </w:rPr>
                <w:t>10.19†</w:t>
              </w:r>
            </w:hyperlink>
          </w:p>
        </w:tc>
        <w:tc>
          <w:tcPr>
            <w:tcW w:w="9540" w:type="dxa"/>
            <w:tcBorders/>
            <w:shd w:fill="CCEEFF" w:val="clear"/>
            <w:vAlign w:val="center"/>
          </w:tcPr>
          <w:p>
            <w:pPr>
              <w:pStyle w:val="TableContents"/>
              <w:bidi w:val="0"/>
              <w:spacing w:before="0" w:after="0"/>
              <w:jc w:val="both"/>
              <w:rPr/>
            </w:pPr>
            <w:hyperlink r:id="rId57">
              <w:r>
                <w:rPr>
                  <w:rStyle w:val="InternetLink"/>
                  <w:rFonts w:ascii="Times New Roman" w:hAnsi="Times New Roman"/>
                  <w:sz w:val="24"/>
                </w:rPr>
                <w:t>First Amendment to Employment Agreement, dated February 28, 2020, between Vishay Europe GmbH (an indirect wholly owned subsidiary of Vishay Intertechnology, Inc.), Vishay Intertechnology, Inc., and Lori Lipcaman.  Incorporated by reference to Exhibit 10.1 to our current report on Form 8-K, filed February 28, 2020.</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58">
              <w:r>
                <w:rPr>
                  <w:rStyle w:val="InternetLink"/>
                  <w:rFonts w:ascii="Times New Roman" w:hAnsi="Times New Roman"/>
                  <w:sz w:val="24"/>
                </w:rPr>
                <w:t>10.20†</w:t>
              </w:r>
            </w:hyperlink>
          </w:p>
        </w:tc>
        <w:tc>
          <w:tcPr>
            <w:tcW w:w="9540" w:type="dxa"/>
            <w:tcBorders/>
            <w:vAlign w:val="center"/>
          </w:tcPr>
          <w:p>
            <w:pPr>
              <w:pStyle w:val="TableContents"/>
              <w:bidi w:val="0"/>
              <w:spacing w:before="0" w:after="0"/>
              <w:jc w:val="both"/>
              <w:rPr/>
            </w:pPr>
            <w:hyperlink r:id="rId59">
              <w:r>
                <w:rPr>
                  <w:rStyle w:val="InternetLink"/>
                  <w:rFonts w:ascii="Times New Roman" w:hAnsi="Times New Roman"/>
                  <w:sz w:val="24"/>
                </w:rPr>
                <w:t>Second Amendment to Employment Agreement, dated February 23, 2021, between Vishay Europe GmbH (an indirect wholly owned subsidiary of Vishay Intertechnology, Inc.), Vishay Intertechnology, Inc., and Lori Lipcaman.  Incorporated by reference to Exhibit 10.2 to our quarterly report on Form 10-Q for the fiscal quarter ended April 3, 2021.</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60">
              <w:r>
                <w:rPr>
                  <w:rStyle w:val="InternetLink"/>
                  <w:sz w:val="24"/>
                </w:rPr>
                <w:t>10.21†</w:t>
              </w:r>
            </w:hyperlink>
          </w:p>
        </w:tc>
        <w:tc>
          <w:tcPr>
            <w:tcW w:w="9540" w:type="dxa"/>
            <w:tcBorders/>
            <w:shd w:fill="CCEEFF" w:val="clear"/>
            <w:vAlign w:val="center"/>
          </w:tcPr>
          <w:p>
            <w:pPr>
              <w:pStyle w:val="TableContents"/>
              <w:bidi w:val="0"/>
              <w:spacing w:before="0" w:after="0"/>
              <w:jc w:val="both"/>
              <w:rPr/>
            </w:pPr>
            <w:hyperlink r:id="rId61">
              <w:r>
                <w:rPr>
                  <w:rStyle w:val="InternetLink"/>
                  <w:rFonts w:ascii="Times New Roman;Times;serif" w:hAnsi="Times New Roman;Times;serif"/>
                  <w:sz w:val="24"/>
                </w:rPr>
                <w:t>Third Amendment to Employment Agreement, dated July 14, 2022, between Vishay Europe GmbH (an indirect wholly owned subsidiary of Vishay Intertechnology, Inc.), Vishay Intertechnology, Inc., and Lori Lipcaman.  Incorporated by reference to Exhibit 10.3 to our current report on Form 8-K, filed July 18, 2022.</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62">
              <w:r>
                <w:rPr>
                  <w:rStyle w:val="InternetLink"/>
                  <w:rFonts w:ascii="Times New Roman" w:hAnsi="Times New Roman"/>
                  <w:sz w:val="24"/>
                </w:rPr>
                <w:t>10.22†</w:t>
              </w:r>
            </w:hyperlink>
          </w:p>
        </w:tc>
        <w:tc>
          <w:tcPr>
            <w:tcW w:w="9540" w:type="dxa"/>
            <w:tcBorders/>
            <w:vAlign w:val="center"/>
          </w:tcPr>
          <w:p>
            <w:pPr>
              <w:pStyle w:val="TableContents"/>
              <w:bidi w:val="0"/>
              <w:spacing w:before="0" w:after="0"/>
              <w:jc w:val="both"/>
              <w:rPr/>
            </w:pPr>
            <w:hyperlink r:id="rId63">
              <w:r>
                <w:rPr>
                  <w:rStyle w:val="InternetLink"/>
                  <w:rFonts w:ascii="Times New Roman" w:hAnsi="Times New Roman"/>
                  <w:sz w:val="24"/>
                </w:rPr>
                <w:t>Terms and Conditions of Johan Vandoorn Employment Agreement, dated January 16, 2012. Incorporated by reference to Exhibit 10.31 to our 2011 annual report on Form 10-K.</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both"/>
              <w:rPr/>
            </w:pPr>
            <w:hyperlink r:id="rId64">
              <w:r>
                <w:rPr>
                  <w:rStyle w:val="InternetLink"/>
                  <w:rFonts w:ascii="Times New Roman" w:hAnsi="Times New Roman"/>
                  <w:sz w:val="24"/>
                </w:rPr>
                <w:t>10.23†</w:t>
              </w:r>
            </w:hyperlink>
          </w:p>
        </w:tc>
        <w:tc>
          <w:tcPr>
            <w:tcW w:w="9540" w:type="dxa"/>
            <w:tcBorders/>
            <w:shd w:fill="CCEEFF" w:val="clear"/>
            <w:vAlign w:val="center"/>
          </w:tcPr>
          <w:p>
            <w:pPr>
              <w:pStyle w:val="TableContents"/>
              <w:bidi w:val="0"/>
              <w:spacing w:before="0" w:after="0"/>
              <w:jc w:val="both"/>
              <w:rPr/>
            </w:pPr>
            <w:hyperlink r:id="rId65">
              <w:r>
                <w:rPr>
                  <w:rStyle w:val="InternetLink"/>
                  <w:rFonts w:ascii="Times New Roman" w:hAnsi="Times New Roman"/>
                  <w:sz w:val="24"/>
                </w:rPr>
                <w:t>Amendment to Terms and Conditions of Johan Vandoorn Employment Agreement, dated March 4, 2014.  Incorporated by reference to Exhibit 10.3 to our quarterly report on Form 10-Q for the fiscal quarter ended March 29, 2014.</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66">
              <w:r>
                <w:rPr>
                  <w:rStyle w:val="InternetLink"/>
                  <w:rFonts w:ascii="Times New Roman" w:hAnsi="Times New Roman"/>
                  <w:sz w:val="24"/>
                </w:rPr>
                <w:t>10.24†</w:t>
              </w:r>
            </w:hyperlink>
          </w:p>
        </w:tc>
        <w:tc>
          <w:tcPr>
            <w:tcW w:w="9540" w:type="dxa"/>
            <w:tcBorders/>
            <w:vAlign w:val="center"/>
          </w:tcPr>
          <w:p>
            <w:pPr>
              <w:pStyle w:val="TableContents"/>
              <w:bidi w:val="0"/>
              <w:spacing w:before="0" w:after="0"/>
              <w:jc w:val="both"/>
              <w:rPr/>
            </w:pPr>
            <w:hyperlink r:id="rId67">
              <w:r>
                <w:rPr>
                  <w:rStyle w:val="InternetLink"/>
                  <w:rFonts w:ascii="Times New Roman" w:hAnsi="Times New Roman"/>
                  <w:sz w:val="24"/>
                </w:rPr>
                <w:t>Second Amendment to Terms and Conditions of Johan Vandoorn Employment Agreement, dated March 3, 2015.  Incorporated by reference to Exhibit 10.4 to our quarterly report on Form 10-Q for the fiscal quarter ended April 4, 2015.</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both"/>
              <w:rPr/>
            </w:pPr>
            <w:hyperlink r:id="rId68">
              <w:r>
                <w:rPr>
                  <w:rStyle w:val="InternetLink"/>
                  <w:rFonts w:ascii="Times New Roman" w:hAnsi="Times New Roman"/>
                  <w:sz w:val="24"/>
                </w:rPr>
                <w:t>10.25†</w:t>
              </w:r>
            </w:hyperlink>
          </w:p>
        </w:tc>
        <w:tc>
          <w:tcPr>
            <w:tcW w:w="9540" w:type="dxa"/>
            <w:tcBorders/>
            <w:shd w:fill="CCEEFF" w:val="clear"/>
            <w:vAlign w:val="center"/>
          </w:tcPr>
          <w:p>
            <w:pPr>
              <w:pStyle w:val="TableContents"/>
              <w:bidi w:val="0"/>
              <w:spacing w:before="0" w:after="0"/>
              <w:jc w:val="both"/>
              <w:rPr/>
            </w:pPr>
            <w:hyperlink r:id="rId69">
              <w:r>
                <w:rPr>
                  <w:rStyle w:val="InternetLink"/>
                  <w:rFonts w:ascii="Times New Roman" w:hAnsi="Times New Roman"/>
                  <w:sz w:val="24"/>
                </w:rPr>
                <w:t>Third Amendment to Terms and Conditions of Johan Vandoorn Employment Agreement, dated February 15, 2018.  Incorporated by reference to Exhibit 10.2 to our current report on Form 8-K, filed on February 16, 2018.</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70">
              <w:r>
                <w:rPr>
                  <w:rStyle w:val="InternetLink"/>
                  <w:rFonts w:ascii="Times New Roman" w:hAnsi="Times New Roman"/>
                  <w:sz w:val="24"/>
                </w:rPr>
                <w:t>10.26†</w:t>
              </w:r>
            </w:hyperlink>
          </w:p>
        </w:tc>
        <w:tc>
          <w:tcPr>
            <w:tcW w:w="9540" w:type="dxa"/>
            <w:tcBorders/>
            <w:vAlign w:val="center"/>
          </w:tcPr>
          <w:p>
            <w:pPr>
              <w:pStyle w:val="TableContents"/>
              <w:bidi w:val="0"/>
              <w:spacing w:before="0" w:after="0"/>
              <w:jc w:val="both"/>
              <w:rPr/>
            </w:pPr>
            <w:hyperlink r:id="rId71">
              <w:r>
                <w:rPr>
                  <w:rStyle w:val="InternetLink"/>
                  <w:rFonts w:ascii="Times New Roman" w:hAnsi="Times New Roman"/>
                  <w:sz w:val="24"/>
                </w:rPr>
                <w:t>Fourth Amendment to the Terms and Conditions of Johan Vandoorn Employment Agreement, dated February 23, 2021.  Incorporated by reference to Exhibit 10.3 to our quarterly report on Form 10-Q for the fiscal quarter ended April 3, 2021.</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hyperlink r:id="rId72">
              <w:r>
                <w:rPr>
                  <w:rStyle w:val="InternetLink"/>
                  <w:sz w:val="24"/>
                </w:rPr>
                <w:t>10.27</w:t>
              </w:r>
            </w:hyperlink>
            <w:hyperlink r:id="rId73">
              <w:r>
                <w:rPr>
                  <w:rStyle w:val="InternetLink"/>
                </w:rPr>
                <w:t>†</w:t>
              </w:r>
            </w:hyperlink>
          </w:p>
        </w:tc>
        <w:tc>
          <w:tcPr>
            <w:tcW w:w="9540" w:type="dxa"/>
            <w:tcBorders/>
            <w:shd w:fill="CCEEFF" w:val="clear"/>
            <w:vAlign w:val="center"/>
          </w:tcPr>
          <w:p>
            <w:pPr>
              <w:pStyle w:val="TableContents"/>
              <w:bidi w:val="0"/>
              <w:spacing w:before="0" w:after="0"/>
              <w:jc w:val="both"/>
              <w:rPr/>
            </w:pPr>
            <w:hyperlink r:id="rId74">
              <w:r>
                <w:rPr>
                  <w:rStyle w:val="InternetLink"/>
                  <w:rFonts w:ascii="Times New Roman;Times;serif" w:hAnsi="Times New Roman;Times;serif"/>
                  <w:sz w:val="24"/>
                </w:rPr>
                <w:t>Transition Agreement, dated July 15, 2022, between Vishay Capacitors Belgium NV (an indirect wholly owned subsidiary of Vishay Intertechnology, Inc.) and Johan Vandoorn.  Incorporated by reference to Exhibit 10.8 to our quarterly report on Form 10-Q for the fiscal quarter ended October 1, 2022.</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75">
              <w:r>
                <w:rPr>
                  <w:rStyle w:val="InternetLink"/>
                  <w:rFonts w:ascii="Times New Roman" w:hAnsi="Times New Roman"/>
                  <w:sz w:val="24"/>
                </w:rPr>
                <w:t>10.28†</w:t>
              </w:r>
            </w:hyperlink>
          </w:p>
        </w:tc>
        <w:tc>
          <w:tcPr>
            <w:tcW w:w="9540" w:type="dxa"/>
            <w:tcBorders/>
            <w:vAlign w:val="center"/>
          </w:tcPr>
          <w:p>
            <w:pPr>
              <w:pStyle w:val="TableContents"/>
              <w:bidi w:val="0"/>
              <w:spacing w:before="0" w:after="0"/>
              <w:jc w:val="both"/>
              <w:rPr/>
            </w:pPr>
            <w:hyperlink r:id="rId76">
              <w:r>
                <w:rPr>
                  <w:rStyle w:val="InternetLink"/>
                  <w:rFonts w:ascii="Times New Roman" w:hAnsi="Times New Roman"/>
                  <w:sz w:val="24"/>
                </w:rPr>
                <w:t>Employment Agreement, dated February 15, 2018, between Vishay Americas, Inc. (a wholly owned subsidiary of Vishay Intertechnology, Inc.), Vishay Intertechnology, Inc., and David Valletta.  Incorporated by reference to Exhibit 10.3 to our current report on Form 8-K, filed on February 16, 2018.</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both"/>
              <w:rPr/>
            </w:pPr>
            <w:hyperlink r:id="rId77">
              <w:r>
                <w:rPr>
                  <w:rStyle w:val="InternetLink"/>
                  <w:rFonts w:ascii="Times New Roman" w:hAnsi="Times New Roman"/>
                  <w:sz w:val="24"/>
                </w:rPr>
                <w:t>10.29†</w:t>
              </w:r>
            </w:hyperlink>
          </w:p>
        </w:tc>
        <w:tc>
          <w:tcPr>
            <w:tcW w:w="9540" w:type="dxa"/>
            <w:tcBorders/>
            <w:shd w:fill="CCEEFF" w:val="clear"/>
            <w:vAlign w:val="center"/>
          </w:tcPr>
          <w:p>
            <w:pPr>
              <w:pStyle w:val="TableContents"/>
              <w:bidi w:val="0"/>
              <w:spacing w:before="0" w:after="0"/>
              <w:jc w:val="both"/>
              <w:rPr/>
            </w:pPr>
            <w:hyperlink r:id="rId78">
              <w:r>
                <w:rPr>
                  <w:rStyle w:val="InternetLink"/>
                  <w:rFonts w:ascii="Times New Roman" w:hAnsi="Times New Roman"/>
                  <w:sz w:val="24"/>
                </w:rPr>
                <w:t>First Amendment to Employment Agreement, dated February 23, 2021, between Vishay Americas, Inc. (a wholly owned subsidiary of Vishay Intertechnology, Inc.) Vishay Intertechnology, Inc., and David Valletta.  Incorporated by reference to Exhibit 10.4 to our quarterly report on Form 10-Q for the fiscal quarter ended April 3, 2021.</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hyperlink r:id="rId79">
              <w:r>
                <w:rPr>
                  <w:rStyle w:val="InternetLink"/>
                  <w:sz w:val="24"/>
                </w:rPr>
                <w:t>10.30</w:t>
              </w:r>
            </w:hyperlink>
            <w:hyperlink r:id="rId80">
              <w:r>
                <w:rPr>
                  <w:rStyle w:val="InternetLink"/>
                </w:rPr>
                <w:t>†</w:t>
              </w:r>
            </w:hyperlink>
          </w:p>
        </w:tc>
        <w:tc>
          <w:tcPr>
            <w:tcW w:w="9540" w:type="dxa"/>
            <w:tcBorders/>
            <w:vAlign w:val="center"/>
          </w:tcPr>
          <w:p>
            <w:pPr>
              <w:pStyle w:val="TableContents"/>
              <w:bidi w:val="0"/>
              <w:spacing w:before="0" w:after="0"/>
              <w:jc w:val="both"/>
              <w:rPr/>
            </w:pPr>
            <w:hyperlink r:id="rId81">
              <w:r>
                <w:rPr>
                  <w:rStyle w:val="InternetLink"/>
                  <w:rFonts w:ascii="Times New Roman;Times;serif" w:hAnsi="Times New Roman;Times;serif"/>
                  <w:sz w:val="24"/>
                </w:rPr>
                <w:t>Transition Agreement, dated July 15, 2022, between Vishay Americas, Inc. (a wholly owned subsidiary of Vishay Intertechnology, Inc.), Vishay Intertechnology, Inc., and David Valletta.  Incorporated by reference to Exhibit 10.9 to our quarterly report on Form 10-Q for the fiscal quarter ended October 1, 2022.</w:t>
              </w:r>
            </w:hyperlink>
          </w:p>
        </w:tc>
      </w:tr>
      <w:tr>
        <w:trPr/>
        <w:tc>
          <w:tcPr>
            <w:tcW w:w="7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both"/>
              <w:rPr/>
            </w:pPr>
            <w:hyperlink r:id="rId82">
              <w:r>
                <w:rPr>
                  <w:rStyle w:val="InternetLink"/>
                  <w:rFonts w:ascii="Times New Roman" w:hAnsi="Times New Roman"/>
                  <w:sz w:val="24"/>
                </w:rPr>
                <w:t>10.31†</w:t>
              </w:r>
            </w:hyperlink>
          </w:p>
        </w:tc>
        <w:tc>
          <w:tcPr>
            <w:tcW w:w="9540" w:type="dxa"/>
            <w:tcBorders/>
            <w:shd w:fill="CCEEFF" w:val="clear"/>
            <w:vAlign w:val="center"/>
          </w:tcPr>
          <w:p>
            <w:pPr>
              <w:pStyle w:val="TableContents"/>
              <w:bidi w:val="0"/>
              <w:spacing w:before="0" w:after="0"/>
              <w:jc w:val="both"/>
              <w:rPr/>
            </w:pPr>
            <w:hyperlink r:id="rId83">
              <w:r>
                <w:rPr>
                  <w:rStyle w:val="InternetLink"/>
                  <w:rFonts w:ascii="Times New Roman" w:hAnsi="Times New Roman"/>
                  <w:sz w:val="24"/>
                </w:rPr>
                <w:t>Employment Agreement, dated February 15, 2018, between Vishay Singapore Pte. Ltd. (an indirect wholly owned subsidiary of Vishay Intertechnology, Inc.), Vishay Intertechnology, Inc., and Clarence Tse.  Incorporated by reference to Exhibit 10.4 to our current report on Form 8-K, filed on February 16, 2018.</w:t>
              </w:r>
            </w:hyperlink>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both"/>
              <w:rPr/>
            </w:pPr>
            <w:hyperlink r:id="rId84">
              <w:r>
                <w:rPr>
                  <w:rStyle w:val="InternetLink"/>
                  <w:rFonts w:ascii="Times New Roman" w:hAnsi="Times New Roman"/>
                  <w:sz w:val="24"/>
                </w:rPr>
                <w:t>10.32†</w:t>
              </w:r>
            </w:hyperlink>
          </w:p>
        </w:tc>
        <w:tc>
          <w:tcPr>
            <w:tcW w:w="9540" w:type="dxa"/>
            <w:tcBorders/>
            <w:vAlign w:val="center"/>
          </w:tcPr>
          <w:p>
            <w:pPr>
              <w:pStyle w:val="TableContents"/>
              <w:bidi w:val="0"/>
              <w:spacing w:before="0" w:after="0"/>
              <w:jc w:val="both"/>
              <w:rPr/>
            </w:pPr>
            <w:hyperlink r:id="rId85">
              <w:r>
                <w:rPr>
                  <w:rStyle w:val="InternetLink"/>
                  <w:rFonts w:ascii="Times New Roman" w:hAnsi="Times New Roman"/>
                  <w:sz w:val="24"/>
                </w:rPr>
                <w:t>First Amendment to Employment Agreement, dated February 23, 2021, between Vishay Singapore Pte. Ltd. (an indirect wholly owned subsidiary of Vishay Intertechnology, Inc.), Vishay Intertechnology, Inc., and Clarence Tse.  Incorporated by reference to Exhibit 10.5 to our quarterly report on Form 10-Q for the fiscal quarter ended April 3, 2021</w:t>
              </w:r>
            </w:hyperlink>
            <w:r>
              <w:rPr>
                <w:rFonts w:ascii="Times New Roman" w:hAnsi="Times New Roman"/>
                <w:sz w:val="24"/>
              </w:rPr>
              <w:t>.</w:t>
            </w:r>
          </w:p>
        </w:tc>
      </w:tr>
    </w:tbl>
    <w:p>
      <w:pPr>
        <w:pStyle w:val="TextBody"/>
        <w:bidi w:val="0"/>
        <w:spacing w:before="0" w:after="0"/>
        <w:jc w:val="left"/>
        <w:rPr/>
      </w:pPr>
      <w:r>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64</w:t>
      </w:r>
    </w:p>
    <w:p>
      <w:pPr>
        <w:pStyle w:val="HorizontalLine"/>
        <w:bidi w:val="0"/>
        <w:spacing w:before="240" w:after="240"/>
        <w:jc w:val="left"/>
        <w:rPr/>
      </w:pPr>
      <w:r>
        <w:rPr/>
      </w:r>
    </w:p>
    <w:p>
      <w:pPr>
        <w:pStyle w:val="TextBody"/>
        <w:bidi w:val="0"/>
        <w:spacing w:before="240" w:after="24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0"/>
        <w:gridCol w:w="589"/>
        <w:gridCol w:w="9556"/>
      </w:tblGrid>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hyperlink r:id="rId86">
              <w:r>
                <w:rPr>
                  <w:rStyle w:val="InternetLink"/>
                  <w:sz w:val="24"/>
                </w:rPr>
                <w:t>10.33†</w:t>
              </w:r>
            </w:hyperlink>
          </w:p>
        </w:tc>
        <w:tc>
          <w:tcPr>
            <w:tcW w:w="9556" w:type="dxa"/>
            <w:tcBorders/>
            <w:shd w:fill="CCEEFF" w:val="clear"/>
            <w:vAlign w:val="center"/>
          </w:tcPr>
          <w:p>
            <w:pPr>
              <w:pStyle w:val="TableContents"/>
              <w:bidi w:val="0"/>
              <w:spacing w:before="0" w:after="283"/>
              <w:jc w:val="both"/>
              <w:rPr/>
            </w:pPr>
            <w:hyperlink r:id="rId87">
              <w:r>
                <w:rPr>
                  <w:rStyle w:val="InternetLink"/>
                  <w:sz w:val="24"/>
                </w:rPr>
                <w:t>Transition Agreement, dated July 15, 2022, between Vishay Singapore Pte. Ltd. (an indirect wholly owned subsidiary of Vishay Intertechnology, Inc.), Vishay Intertechnology, Inc., and Clarence Tse.  Incorporated by reference to Exhibit 10.10 to our quarterly report on Form 10-Q for the fiscal quarter ended October 1, 2022.</w:t>
              </w:r>
            </w:hyperlink>
          </w:p>
        </w:tc>
      </w:tr>
      <w:tr>
        <w:trPr/>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hyperlink r:id="rId88">
              <w:r>
                <w:rPr>
                  <w:rStyle w:val="InternetLink"/>
                  <w:rFonts w:ascii="Times New Roman" w:hAnsi="Times New Roman"/>
                  <w:sz w:val="24"/>
                </w:rPr>
                <w:t>10.34†</w:t>
              </w:r>
            </w:hyperlink>
          </w:p>
        </w:tc>
        <w:tc>
          <w:tcPr>
            <w:tcW w:w="9556" w:type="dxa"/>
            <w:tcBorders/>
            <w:vAlign w:val="center"/>
          </w:tcPr>
          <w:p>
            <w:pPr>
              <w:pStyle w:val="TableContents"/>
              <w:bidi w:val="0"/>
              <w:spacing w:before="0" w:after="283"/>
              <w:jc w:val="both"/>
              <w:rPr/>
            </w:pPr>
            <w:hyperlink r:id="rId89">
              <w:r>
                <w:rPr>
                  <w:rStyle w:val="InternetLink"/>
                  <w:rFonts w:ascii="Times New Roman" w:hAnsi="Times New Roman"/>
                  <w:sz w:val="24"/>
                </w:rPr>
                <w:t>Employment Agreement between Vishay Israel Ltd. (a wholly owned subsidiary of Vishay Intertechnology, Inc.), Vishay Intertechnology, Inc., and Jeffrey Webster dated May 20, 2020.  Incorporated by reference to Exhibit 10.2 to our quarterly report on Form 10-Q for the fiscal quarter ended July 4, 2020.</w:t>
              </w:r>
            </w:hyperlink>
          </w:p>
        </w:tc>
      </w:tr>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hyperlink r:id="rId90">
              <w:r>
                <w:rPr>
                  <w:rStyle w:val="InternetLink"/>
                  <w:rFonts w:ascii="Times New Roman" w:hAnsi="Times New Roman"/>
                  <w:sz w:val="24"/>
                </w:rPr>
                <w:t>10.35†</w:t>
              </w:r>
            </w:hyperlink>
          </w:p>
        </w:tc>
        <w:tc>
          <w:tcPr>
            <w:tcW w:w="9556" w:type="dxa"/>
            <w:tcBorders/>
            <w:shd w:fill="CCEEFF" w:val="clear"/>
            <w:vAlign w:val="center"/>
          </w:tcPr>
          <w:p>
            <w:pPr>
              <w:pStyle w:val="TableContents"/>
              <w:bidi w:val="0"/>
              <w:spacing w:before="0" w:after="283"/>
              <w:jc w:val="both"/>
              <w:rPr/>
            </w:pPr>
            <w:hyperlink r:id="rId91">
              <w:r>
                <w:rPr>
                  <w:rStyle w:val="InternetLink"/>
                  <w:rFonts w:ascii="Times New Roman" w:hAnsi="Times New Roman"/>
                  <w:sz w:val="24"/>
                </w:rPr>
                <w:t>First Amendment to Employment Agreement, dated February 23, 2021, between Vishay Israel Ltd. (a wholly owned subsidiary of Vishay Intertechnology, Inc.), Vishay Intertechnology, Inc., and Jeffrey Webster.  Incorporated by reference to Exhibit 10.7 to our quarterly report on Form 10-Q for the fiscal quarter ended April 3, 2021.</w:t>
              </w:r>
            </w:hyperlink>
          </w:p>
        </w:tc>
      </w:tr>
      <w:tr>
        <w:trPr/>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hyperlink r:id="rId92">
              <w:r>
                <w:rPr>
                  <w:rStyle w:val="InternetLink"/>
                  <w:sz w:val="24"/>
                </w:rPr>
                <w:t>10.36†</w:t>
              </w:r>
            </w:hyperlink>
          </w:p>
        </w:tc>
        <w:tc>
          <w:tcPr>
            <w:tcW w:w="9556" w:type="dxa"/>
            <w:tcBorders/>
            <w:vAlign w:val="center"/>
          </w:tcPr>
          <w:p>
            <w:pPr>
              <w:pStyle w:val="TableContents"/>
              <w:bidi w:val="0"/>
              <w:spacing w:before="0" w:after="283"/>
              <w:jc w:val="both"/>
              <w:rPr/>
            </w:pPr>
            <w:hyperlink r:id="rId93">
              <w:r>
                <w:rPr>
                  <w:rStyle w:val="InternetLink"/>
                  <w:sz w:val="24"/>
                </w:rPr>
                <w:t>Amended and Restated Employment Agreement, dated July 14, 2022, between Vishay Israel Ltd. (a wholly owned subsidiary of Vishay Intertechnology, Inc.), Vishay Intertechnology, Inc., and Jeff Webster.  Incorporated by reference to Exhibit 10.4 to our current report on Form 8-K, filed July 18, 2022.</w:t>
              </w:r>
            </w:hyperlink>
          </w:p>
        </w:tc>
      </w:tr>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hyperlink r:id="rId94">
              <w:r>
                <w:rPr>
                  <w:rStyle w:val="InternetLink"/>
                  <w:sz w:val="24"/>
                </w:rPr>
                <w:t>10.37†</w:t>
              </w:r>
            </w:hyperlink>
          </w:p>
        </w:tc>
        <w:tc>
          <w:tcPr>
            <w:tcW w:w="9556" w:type="dxa"/>
            <w:tcBorders/>
            <w:shd w:fill="CCEEFF" w:val="clear"/>
            <w:vAlign w:val="center"/>
          </w:tcPr>
          <w:p>
            <w:pPr>
              <w:pStyle w:val="TableContents"/>
              <w:bidi w:val="0"/>
              <w:spacing w:before="0" w:after="0"/>
              <w:jc w:val="both"/>
              <w:rPr/>
            </w:pPr>
            <w:hyperlink r:id="rId95">
              <w:r>
                <w:rPr>
                  <w:rStyle w:val="InternetLink"/>
                  <w:rFonts w:ascii="Times New Roman;Times;serif" w:hAnsi="Times New Roman;Times;serif"/>
                  <w:sz w:val="24"/>
                </w:rPr>
                <w:t>Employment Agreement, dated July 14, 2022, between Siliconix incorporated (a wholly owned subsidiary of Vishay Intertechnology, Inc.), Vishay Intertechnology, Inc. and Roy Shoshani.  Incorporated by reference to Exhibit 10.5 to our current report on Form 8-K, filed July 18, 2022.</w:t>
              </w:r>
            </w:hyperlink>
          </w:p>
        </w:tc>
      </w:tr>
      <w:tr>
        <w:trPr/>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0"/>
              <w:jc w:val="both"/>
              <w:rPr/>
            </w:pPr>
            <w:hyperlink r:id="rId96">
              <w:r>
                <w:rPr>
                  <w:rStyle w:val="InternetLink"/>
                  <w:rFonts w:ascii="Times New Roman" w:hAnsi="Times New Roman"/>
                  <w:sz w:val="24"/>
                </w:rPr>
                <w:t>10.38†</w:t>
              </w:r>
            </w:hyperlink>
          </w:p>
        </w:tc>
        <w:tc>
          <w:tcPr>
            <w:tcW w:w="9556" w:type="dxa"/>
            <w:tcBorders/>
            <w:vAlign w:val="center"/>
          </w:tcPr>
          <w:p>
            <w:pPr>
              <w:pStyle w:val="TableContents"/>
              <w:bidi w:val="0"/>
              <w:spacing w:before="0" w:after="0"/>
              <w:jc w:val="both"/>
              <w:rPr/>
            </w:pPr>
            <w:hyperlink r:id="rId97">
              <w:r>
                <w:rPr>
                  <w:rStyle w:val="InternetLink"/>
                  <w:rFonts w:ascii="Times New Roman" w:hAnsi="Times New Roman"/>
                  <w:sz w:val="24"/>
                </w:rPr>
                <w:t>Employment Agreement between Vishay Electronic GmbH (an indirect wholly owned subsidiary of Vishay Intertechnology, Inc.), Vishay Intertechnology, Inc., and Andreas Randebrock dated May 20, 2020.  Incorporated by reference to Exhibit 10.3 to our quarterly report on Form 10-Q for the fiscal quarter ended July 4, 2020.</w:t>
              </w:r>
            </w:hyperlink>
          </w:p>
        </w:tc>
      </w:tr>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0"/>
              <w:jc w:val="both"/>
              <w:rPr/>
            </w:pPr>
            <w:hyperlink r:id="rId98">
              <w:r>
                <w:rPr>
                  <w:rStyle w:val="InternetLink"/>
                  <w:rFonts w:ascii="Times New Roman" w:hAnsi="Times New Roman"/>
                  <w:sz w:val="24"/>
                </w:rPr>
                <w:t>10.39†</w:t>
              </w:r>
            </w:hyperlink>
          </w:p>
        </w:tc>
        <w:tc>
          <w:tcPr>
            <w:tcW w:w="9556" w:type="dxa"/>
            <w:tcBorders/>
            <w:shd w:fill="CCEEFF" w:val="clear"/>
            <w:vAlign w:val="center"/>
          </w:tcPr>
          <w:p>
            <w:pPr>
              <w:pStyle w:val="TableContents"/>
              <w:bidi w:val="0"/>
              <w:spacing w:before="0" w:after="0"/>
              <w:jc w:val="both"/>
              <w:rPr/>
            </w:pPr>
            <w:hyperlink r:id="rId99">
              <w:r>
                <w:rPr>
                  <w:rStyle w:val="InternetLink"/>
                  <w:rFonts w:ascii="Times New Roman" w:hAnsi="Times New Roman"/>
                  <w:sz w:val="24"/>
                </w:rPr>
                <w:t>First Amendment to Employment Agreement, dated February 23, 2021, between Vishay Electronic GmbH (an indirect wholly owned subsidiary of Vishay Intertechnology, Inc.), Vishay Intertechnology, Inc., and Andreas Randebrock.  Incorporated by reference to Exhibit 10.8 to our quarterly report on Form 10-Q for the fiscal quarter ended April 3, 2021.</w:t>
              </w:r>
            </w:hyperlink>
          </w:p>
        </w:tc>
      </w:tr>
      <w:tr>
        <w:trPr/>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hyperlink r:id="rId100">
              <w:r>
                <w:rPr>
                  <w:rStyle w:val="InternetLink"/>
                  <w:sz w:val="24"/>
                </w:rPr>
                <w:t>10.40†</w:t>
              </w:r>
            </w:hyperlink>
          </w:p>
        </w:tc>
        <w:tc>
          <w:tcPr>
            <w:tcW w:w="9556" w:type="dxa"/>
            <w:tcBorders/>
            <w:vAlign w:val="center"/>
          </w:tcPr>
          <w:p>
            <w:pPr>
              <w:pStyle w:val="TableContents"/>
              <w:bidi w:val="0"/>
              <w:spacing w:before="0" w:after="0"/>
              <w:jc w:val="both"/>
              <w:rPr/>
            </w:pPr>
            <w:hyperlink r:id="rId101">
              <w:r>
                <w:rPr>
                  <w:rStyle w:val="InternetLink"/>
                  <w:rFonts w:ascii="Times New Roman;Times;serif" w:hAnsi="Times New Roman;Times;serif"/>
                  <w:sz w:val="24"/>
                </w:rPr>
                <w:t>Second Amendment to Employment Agreement, dated July 14, 2022, between Vishay Electronic GmbH (an indirect wholly owned subsidiary of Vishay Intertechnology, Inc.), Vishay Intertechnology, Inc., and Andreas Randebrock.  Incorporated by reference to Exhibit 10.6 to our current report on Form 8-K, filed July 18, 2022.</w:t>
              </w:r>
            </w:hyperlink>
          </w:p>
        </w:tc>
      </w:tr>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hyperlink r:id="rId102">
              <w:r>
                <w:rPr>
                  <w:rStyle w:val="InternetLink"/>
                  <w:sz w:val="24"/>
                </w:rPr>
                <w:t>10.41†</w:t>
              </w:r>
            </w:hyperlink>
          </w:p>
        </w:tc>
        <w:tc>
          <w:tcPr>
            <w:tcW w:w="9556" w:type="dxa"/>
            <w:tcBorders/>
            <w:shd w:fill="CCEEFF" w:val="clear"/>
            <w:vAlign w:val="center"/>
          </w:tcPr>
          <w:p>
            <w:pPr>
              <w:pStyle w:val="TableContents"/>
              <w:bidi w:val="0"/>
              <w:spacing w:before="0" w:after="0"/>
              <w:jc w:val="both"/>
              <w:rPr/>
            </w:pPr>
            <w:hyperlink r:id="rId103">
              <w:r>
                <w:rPr>
                  <w:rStyle w:val="InternetLink"/>
                  <w:rFonts w:ascii="Times New Roman;Times;serif" w:hAnsi="Times New Roman;Times;serif"/>
                  <w:sz w:val="24"/>
                </w:rPr>
                <w:t>Second Amended and Restated Employment Agreement, dated July 14, 2022, between Vishay Intertechnology, Inc. and Peter Henrici.  Incorporated by reference to Exhibit 10.7 to our current report on Form 8-K, filed July 18, 2022.</w:t>
              </w:r>
            </w:hyperlink>
          </w:p>
        </w:tc>
      </w:tr>
      <w:tr>
        <w:trPr/>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0"/>
              <w:jc w:val="both"/>
              <w:rPr/>
            </w:pPr>
            <w:hyperlink r:id="rId104">
              <w:r>
                <w:rPr>
                  <w:rStyle w:val="InternetLink"/>
                  <w:rFonts w:ascii="Times New Roman" w:hAnsi="Times New Roman"/>
                  <w:sz w:val="24"/>
                </w:rPr>
                <w:t>10.42†</w:t>
              </w:r>
            </w:hyperlink>
          </w:p>
        </w:tc>
        <w:tc>
          <w:tcPr>
            <w:tcW w:w="9556" w:type="dxa"/>
            <w:tcBorders/>
            <w:vAlign w:val="center"/>
          </w:tcPr>
          <w:p>
            <w:pPr>
              <w:pStyle w:val="TableContents"/>
              <w:bidi w:val="0"/>
              <w:spacing w:before="0" w:after="0"/>
              <w:jc w:val="both"/>
              <w:rPr/>
            </w:pPr>
            <w:hyperlink r:id="rId105">
              <w:r>
                <w:rPr>
                  <w:rStyle w:val="InternetLink"/>
                  <w:rFonts w:ascii="Times New Roman" w:hAnsi="Times New Roman"/>
                  <w:sz w:val="24"/>
                </w:rPr>
                <w:t>Vishay Intertechnology, Inc. Key Employee Wealth Accumulation Plan (as amended and restated, effective January 1, 2017).  Incorporated by reference to Exhibit 10.1 to our current report on Form 8-K filed December 23, 2016.</w:t>
              </w:r>
            </w:hyperlink>
          </w:p>
        </w:tc>
      </w:tr>
      <w:tr>
        <w:trPr/>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0"/>
              <w:jc w:val="both"/>
              <w:rPr/>
            </w:pPr>
            <w:hyperlink r:id="rId106">
              <w:r>
                <w:rPr>
                  <w:rStyle w:val="InternetLink"/>
                  <w:rFonts w:ascii="Times New Roman" w:hAnsi="Times New Roman"/>
                  <w:sz w:val="24"/>
                </w:rPr>
                <w:t>10.43</w:t>
              </w:r>
            </w:hyperlink>
          </w:p>
        </w:tc>
        <w:tc>
          <w:tcPr>
            <w:tcW w:w="9556" w:type="dxa"/>
            <w:tcBorders/>
            <w:shd w:fill="CCEEFF" w:val="clear"/>
            <w:vAlign w:val="center"/>
          </w:tcPr>
          <w:p>
            <w:pPr>
              <w:pStyle w:val="TableContents"/>
              <w:bidi w:val="0"/>
              <w:spacing w:before="0" w:after="0"/>
              <w:jc w:val="both"/>
              <w:rPr/>
            </w:pPr>
            <w:hyperlink r:id="rId107">
              <w:r>
                <w:rPr>
                  <w:rStyle w:val="InternetLink"/>
                  <w:rFonts w:ascii="Times New Roman" w:hAnsi="Times New Roman"/>
                  <w:sz w:val="24"/>
                </w:rPr>
                <w:t>Master Separation and Distribution Agreement, dated June 22, 2010, by and among Vishay Intertechnology, Inc. and Vishay Precision Group, Inc. Incorporated by reference to Exhibit 10.1 to our current report on Form 8-K filed June 23, 2010.</w:t>
              </w:r>
            </w:hyperlink>
          </w:p>
        </w:tc>
      </w:tr>
    </w:tbl>
    <w:tbl>
      <w:tblPr>
        <w:tblW w:w="10205" w:type="dxa"/>
        <w:jc w:val="left"/>
        <w:tblInd w:w="0" w:type="dxa"/>
        <w:tblLayout w:type="fixed"/>
        <w:tblCellMar>
          <w:top w:w="0" w:type="dxa"/>
          <w:left w:w="0" w:type="dxa"/>
          <w:bottom w:w="0" w:type="dxa"/>
          <w:right w:w="0" w:type="dxa"/>
        </w:tblCellMar>
      </w:tblPr>
      <w:tblGrid>
        <w:gridCol w:w="75"/>
        <w:gridCol w:w="591"/>
        <w:gridCol w:w="9539"/>
      </w:tblGrid>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08">
              <w:r>
                <w:rPr>
                  <w:rStyle w:val="InternetLink"/>
                  <w:rFonts w:ascii="Times New Roman" w:hAnsi="Times New Roman"/>
                  <w:sz w:val="24"/>
                </w:rPr>
                <w:t>10.44</w:t>
              </w:r>
            </w:hyperlink>
          </w:p>
        </w:tc>
        <w:tc>
          <w:tcPr>
            <w:tcW w:w="9539" w:type="dxa"/>
            <w:tcBorders/>
            <w:vAlign w:val="center"/>
          </w:tcPr>
          <w:p>
            <w:pPr>
              <w:pStyle w:val="TableContents"/>
              <w:bidi w:val="0"/>
              <w:spacing w:before="0" w:after="0"/>
              <w:jc w:val="both"/>
              <w:rPr/>
            </w:pPr>
            <w:hyperlink r:id="rId109">
              <w:r>
                <w:rPr>
                  <w:rStyle w:val="InternetLink"/>
                  <w:rFonts w:ascii="Times New Roman" w:hAnsi="Times New Roman"/>
                  <w:sz w:val="24"/>
                </w:rPr>
                <w:t>Employee Matters Agreement, dated June 22, 2010, by and among Vishay Intertechnology, Inc. and Vishay Precision Group, Inc. Incorporated by reference to Exhibit 10.2 to our current report on Form 8-K filed June 23,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10">
              <w:r>
                <w:rPr>
                  <w:rStyle w:val="InternetLink"/>
                  <w:rFonts w:ascii="Times New Roman" w:hAnsi="Times New Roman"/>
                  <w:sz w:val="24"/>
                </w:rPr>
                <w:t>10.45</w:t>
              </w:r>
            </w:hyperlink>
          </w:p>
        </w:tc>
        <w:tc>
          <w:tcPr>
            <w:tcW w:w="9539" w:type="dxa"/>
            <w:tcBorders/>
            <w:shd w:fill="CCEEFF" w:val="clear"/>
            <w:vAlign w:val="center"/>
          </w:tcPr>
          <w:p>
            <w:pPr>
              <w:pStyle w:val="TableContents"/>
              <w:bidi w:val="0"/>
              <w:spacing w:before="0" w:after="0"/>
              <w:jc w:val="both"/>
              <w:rPr/>
            </w:pPr>
            <w:hyperlink r:id="rId111">
              <w:r>
                <w:rPr>
                  <w:rStyle w:val="InternetLink"/>
                  <w:rFonts w:ascii="Times New Roman" w:hAnsi="Times New Roman"/>
                  <w:sz w:val="24"/>
                </w:rPr>
                <w:t>Tax Matters Agreement, dated July 6, 2010, between Vishay Precision Group, Inc. and Vishay Intertechnology, Inc. Incorporated by reference to Exhibit 10.1 to Vishay Precision Group, Inc.’s current report on Form 8-K filed July 7, 2010.</w:t>
              </w:r>
            </w:hyperlink>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12">
              <w:r>
                <w:rPr>
                  <w:rStyle w:val="InternetLink"/>
                  <w:rFonts w:ascii="Times New Roman" w:hAnsi="Times New Roman"/>
                  <w:sz w:val="24"/>
                </w:rPr>
                <w:t>10.46</w:t>
              </w:r>
            </w:hyperlink>
          </w:p>
        </w:tc>
        <w:tc>
          <w:tcPr>
            <w:tcW w:w="9539" w:type="dxa"/>
            <w:tcBorders/>
            <w:vAlign w:val="center"/>
          </w:tcPr>
          <w:p>
            <w:pPr>
              <w:pStyle w:val="TableContents"/>
              <w:bidi w:val="0"/>
              <w:spacing w:before="0" w:after="0"/>
              <w:jc w:val="both"/>
              <w:rPr/>
            </w:pPr>
            <w:hyperlink r:id="rId113">
              <w:r>
                <w:rPr>
                  <w:rStyle w:val="InternetLink"/>
                  <w:rFonts w:ascii="Times New Roman" w:hAnsi="Times New Roman"/>
                  <w:sz w:val="24"/>
                </w:rPr>
                <w:t>Trademark License Agreement, dated July 6, 2010, between Vishay Precision Group, Inc. and Vishay Intertechnology, Inc. Incorporated by reference to Exhibit 10.2 to Vishay Precision Group, Inc.’s current report on Form 8-K filed July 7,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14">
              <w:r>
                <w:rPr>
                  <w:rStyle w:val="InternetLink"/>
                  <w:rFonts w:ascii="Times New Roman" w:hAnsi="Times New Roman"/>
                  <w:sz w:val="24"/>
                </w:rPr>
                <w:t>10.47*</w:t>
              </w:r>
            </w:hyperlink>
          </w:p>
        </w:tc>
        <w:tc>
          <w:tcPr>
            <w:tcW w:w="9539" w:type="dxa"/>
            <w:tcBorders/>
            <w:shd w:fill="CCEEFF" w:val="clear"/>
            <w:vAlign w:val="center"/>
          </w:tcPr>
          <w:p>
            <w:pPr>
              <w:pStyle w:val="TableContents"/>
              <w:bidi w:val="0"/>
              <w:spacing w:before="0" w:after="0"/>
              <w:jc w:val="both"/>
              <w:rPr/>
            </w:pPr>
            <w:hyperlink r:id="rId115">
              <w:r>
                <w:rPr>
                  <w:rStyle w:val="InternetLink"/>
                  <w:rFonts w:ascii="Times New Roman" w:hAnsi="Times New Roman"/>
                  <w:sz w:val="24"/>
                </w:rPr>
                <w:t>Supply Agreement, dated July 6, 2010, between Vishay Advanced Technology, Ltd. And Vishay Dale Electronics, Inc. Incorporated by reference to Exhibit 10.4 to Vishay Precision Group, Inc.’s current report on Form 8-K filed July 7, 2010.</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0"/>
              <w:jc w:val="both"/>
              <w:rPr/>
            </w:pPr>
            <w:hyperlink r:id="rId116">
              <w:r>
                <w:rPr>
                  <w:rStyle w:val="InternetLink"/>
                  <w:rFonts w:ascii="Times New Roman" w:hAnsi="Times New Roman"/>
                  <w:sz w:val="24"/>
                </w:rPr>
                <w:t>10.48*</w:t>
              </w:r>
            </w:hyperlink>
          </w:p>
        </w:tc>
        <w:tc>
          <w:tcPr>
            <w:tcW w:w="9539" w:type="dxa"/>
            <w:tcBorders/>
            <w:vAlign w:val="center"/>
          </w:tcPr>
          <w:p>
            <w:pPr>
              <w:pStyle w:val="TableContents"/>
              <w:bidi w:val="0"/>
              <w:spacing w:before="0" w:after="0"/>
              <w:jc w:val="both"/>
              <w:rPr/>
            </w:pPr>
            <w:hyperlink r:id="rId117">
              <w:r>
                <w:rPr>
                  <w:rStyle w:val="InternetLink"/>
                  <w:rFonts w:ascii="Times New Roman" w:hAnsi="Times New Roman"/>
                  <w:sz w:val="24"/>
                </w:rPr>
                <w:t>Patent License Agreement, dated July 6, 2010, between Vishay Precision Group, Inc. and Vishay Dale Electronics, Inc. Incorporated by reference to Exhibit 10.6 to Vishay Precision Group, Inc.’s current report on Form 8-K filed July 7,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18">
              <w:r>
                <w:rPr>
                  <w:rStyle w:val="InternetLink"/>
                  <w:rFonts w:ascii="Times New Roman" w:hAnsi="Times New Roman"/>
                  <w:sz w:val="24"/>
                </w:rPr>
                <w:t>10.49*</w:t>
              </w:r>
            </w:hyperlink>
          </w:p>
        </w:tc>
        <w:tc>
          <w:tcPr>
            <w:tcW w:w="9539" w:type="dxa"/>
            <w:tcBorders/>
            <w:shd w:fill="CCEEFF" w:val="clear"/>
            <w:vAlign w:val="center"/>
          </w:tcPr>
          <w:p>
            <w:pPr>
              <w:pStyle w:val="TableContents"/>
              <w:bidi w:val="0"/>
              <w:spacing w:before="0" w:after="0"/>
              <w:jc w:val="both"/>
              <w:rPr/>
            </w:pPr>
            <w:hyperlink r:id="rId119">
              <w:r>
                <w:rPr>
                  <w:rStyle w:val="InternetLink"/>
                  <w:rFonts w:ascii="Times New Roman" w:hAnsi="Times New Roman"/>
                  <w:sz w:val="24"/>
                </w:rPr>
                <w:t>Supply Agreement, dated July 6, 2010, between Vishay Dale Electronics, Inc. and Vishay Advanced Technology, Ltd. Incorporated by reference to Exhibit 10.8 to Vishay Precision Group, Inc.’s current report on Form 8-K filed July 7, 2010.</w:t>
              </w:r>
            </w:hyperlink>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20">
              <w:r>
                <w:rPr>
                  <w:rStyle w:val="InternetLink"/>
                  <w:rFonts w:ascii="Times New Roman" w:hAnsi="Times New Roman"/>
                  <w:sz w:val="24"/>
                </w:rPr>
                <w:t>10.50*</w:t>
              </w:r>
            </w:hyperlink>
          </w:p>
        </w:tc>
        <w:tc>
          <w:tcPr>
            <w:tcW w:w="9539" w:type="dxa"/>
            <w:tcBorders/>
            <w:vAlign w:val="center"/>
          </w:tcPr>
          <w:p>
            <w:pPr>
              <w:pStyle w:val="TableContents"/>
              <w:bidi w:val="0"/>
              <w:spacing w:before="0" w:after="0"/>
              <w:jc w:val="both"/>
              <w:rPr/>
            </w:pPr>
            <w:hyperlink r:id="rId121">
              <w:r>
                <w:rPr>
                  <w:rStyle w:val="InternetLink"/>
                  <w:rFonts w:ascii="Times New Roman" w:hAnsi="Times New Roman"/>
                  <w:sz w:val="24"/>
                </w:rPr>
                <w:t>Supply Agreement, dated July 6, 2010, between Vishay Measurements Group, Inc. and Vishay S.A. Incorporated by reference to Exhibit 10.9 to Vishay Precision Group, Inc.’s current report on Form 8-K filed July 7,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22">
              <w:r>
                <w:rPr>
                  <w:rStyle w:val="InternetLink"/>
                  <w:rFonts w:ascii="Times New Roman" w:hAnsi="Times New Roman"/>
                  <w:sz w:val="24"/>
                </w:rPr>
                <w:t>10.51*</w:t>
              </w:r>
            </w:hyperlink>
          </w:p>
        </w:tc>
        <w:tc>
          <w:tcPr>
            <w:tcW w:w="9539" w:type="dxa"/>
            <w:tcBorders/>
            <w:shd w:fill="CCEEFF" w:val="clear"/>
            <w:vAlign w:val="center"/>
          </w:tcPr>
          <w:p>
            <w:pPr>
              <w:pStyle w:val="TableContents"/>
              <w:bidi w:val="0"/>
              <w:spacing w:before="0" w:after="0"/>
              <w:jc w:val="both"/>
              <w:rPr/>
            </w:pPr>
            <w:hyperlink r:id="rId123">
              <w:r>
                <w:rPr>
                  <w:rStyle w:val="InternetLink"/>
                  <w:rFonts w:ascii="Times New Roman" w:hAnsi="Times New Roman"/>
                  <w:sz w:val="24"/>
                </w:rPr>
                <w:t>Manufacturing Agreement, dated July 6, 2010, between Vishay S.A. and Vishay Precision Foil GmbH. Incorporated by reference to Exhibit 10.10 to Vishay Precision Group, Inc.’s current report on Form 8-K filed July 7, 2010.</w:t>
              </w:r>
            </w:hyperlink>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24">
              <w:r>
                <w:rPr>
                  <w:rStyle w:val="InternetLink"/>
                  <w:rFonts w:ascii="Times New Roman" w:hAnsi="Times New Roman"/>
                  <w:sz w:val="24"/>
                </w:rPr>
                <w:t>10.52</w:t>
              </w:r>
            </w:hyperlink>
          </w:p>
        </w:tc>
        <w:tc>
          <w:tcPr>
            <w:tcW w:w="9539" w:type="dxa"/>
            <w:tcBorders/>
            <w:vAlign w:val="center"/>
          </w:tcPr>
          <w:p>
            <w:pPr>
              <w:pStyle w:val="TableContents"/>
              <w:bidi w:val="0"/>
              <w:spacing w:before="0" w:after="0"/>
              <w:jc w:val="both"/>
              <w:rPr/>
            </w:pPr>
            <w:hyperlink r:id="rId125">
              <w:r>
                <w:rPr>
                  <w:rStyle w:val="InternetLink"/>
                  <w:rFonts w:ascii="Times New Roman" w:hAnsi="Times New Roman"/>
                  <w:sz w:val="24"/>
                </w:rPr>
                <w:t>Intellectual Property License Agreement, dated July 6, 2010, between Vishay S.A. and Vishay Precision Foil GmbH. Incorporated by reference to Exhibit 10.11 to Vishay Precision Group, Inc.’s current report on Form 8-K filed July 7,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26">
              <w:r>
                <w:rPr>
                  <w:rStyle w:val="InternetLink"/>
                  <w:rFonts w:ascii="Times New Roman" w:hAnsi="Times New Roman"/>
                  <w:sz w:val="24"/>
                </w:rPr>
                <w:t>10.53*</w:t>
              </w:r>
            </w:hyperlink>
          </w:p>
        </w:tc>
        <w:tc>
          <w:tcPr>
            <w:tcW w:w="9539" w:type="dxa"/>
            <w:tcBorders/>
            <w:shd w:fill="CCEEFF" w:val="clear"/>
            <w:vAlign w:val="center"/>
          </w:tcPr>
          <w:p>
            <w:pPr>
              <w:pStyle w:val="TableContents"/>
              <w:bidi w:val="0"/>
              <w:spacing w:before="0" w:after="0"/>
              <w:jc w:val="both"/>
              <w:rPr/>
            </w:pPr>
            <w:hyperlink r:id="rId127">
              <w:r>
                <w:rPr>
                  <w:rStyle w:val="InternetLink"/>
                  <w:rFonts w:ascii="Times New Roman" w:hAnsi="Times New Roman"/>
                  <w:sz w:val="24"/>
                </w:rPr>
                <w:t>Supply Agreement, dated July 6, 2010, between Vishay Precision Foil GmbH and Vishay S.A. Incorporated by reference to Exhibit 10.12 to Vishay Precision Group, Inc.’s current report on Form 8-K filed July 7, 2010.</w:t>
              </w:r>
            </w:hyperlink>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28">
              <w:r>
                <w:rPr>
                  <w:rStyle w:val="InternetLink"/>
                  <w:rFonts w:ascii="Times New Roman" w:hAnsi="Times New Roman"/>
                  <w:sz w:val="24"/>
                </w:rPr>
                <w:t>10.54*</w:t>
              </w:r>
            </w:hyperlink>
          </w:p>
        </w:tc>
        <w:tc>
          <w:tcPr>
            <w:tcW w:w="9539" w:type="dxa"/>
            <w:tcBorders/>
            <w:vAlign w:val="center"/>
          </w:tcPr>
          <w:p>
            <w:pPr>
              <w:pStyle w:val="TableContents"/>
              <w:bidi w:val="0"/>
              <w:spacing w:before="0" w:after="0"/>
              <w:jc w:val="both"/>
              <w:rPr/>
            </w:pPr>
            <w:hyperlink r:id="rId129">
              <w:r>
                <w:rPr>
                  <w:rStyle w:val="InternetLink"/>
                  <w:rFonts w:ascii="Times New Roman" w:hAnsi="Times New Roman"/>
                  <w:sz w:val="24"/>
                </w:rPr>
                <w:t>Intellectual Property License Agreement, dated July 6, 2010, between Vishay S.A. and Vishay Measurements Group, Inc. Incorporated by reference to Exhibit 10.13 to Vishay Precision Group, Inc.’s current report on Form 8-K filed July 7, 2010.</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both"/>
              <w:rPr/>
            </w:pPr>
            <w:hyperlink r:id="rId130">
              <w:r>
                <w:rPr>
                  <w:rStyle w:val="InternetLink"/>
                  <w:rFonts w:ascii="Times New Roman" w:hAnsi="Times New Roman"/>
                  <w:sz w:val="24"/>
                </w:rPr>
                <w:t>10.55</w:t>
              </w:r>
            </w:hyperlink>
          </w:p>
        </w:tc>
        <w:tc>
          <w:tcPr>
            <w:tcW w:w="9539" w:type="dxa"/>
            <w:tcBorders/>
            <w:shd w:fill="CCEEFF" w:val="clear"/>
            <w:vAlign w:val="center"/>
          </w:tcPr>
          <w:p>
            <w:pPr>
              <w:pStyle w:val="TableContents"/>
              <w:bidi w:val="0"/>
              <w:spacing w:before="0" w:after="0"/>
              <w:jc w:val="both"/>
              <w:rPr/>
            </w:pPr>
            <w:hyperlink r:id="rId131">
              <w:r>
                <w:rPr>
                  <w:rStyle w:val="InternetLink"/>
                  <w:rFonts w:ascii="Times New Roman" w:hAnsi="Times New Roman"/>
                  <w:sz w:val="24"/>
                </w:rPr>
                <w:t>Credit Agreement, dated as of June 5, 2019, among Vishay Intertechnology, Inc. and JPMorgan Chase Bank, N.A., as administrative agent and the lenders and other parties thereto. Incorporated by reference to Exhibit 10.1 to our current report on Form 8-K filed June 5, 2019.</w:t>
              </w:r>
            </w:hyperlink>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both"/>
              <w:rPr/>
            </w:pPr>
            <w:hyperlink r:id="rId132">
              <w:r>
                <w:rPr>
                  <w:rStyle w:val="InternetLink"/>
                  <w:rFonts w:ascii="Times New Roman" w:hAnsi="Times New Roman"/>
                  <w:sz w:val="24"/>
                </w:rPr>
                <w:t>10.56</w:t>
              </w:r>
            </w:hyperlink>
          </w:p>
        </w:tc>
        <w:tc>
          <w:tcPr>
            <w:tcW w:w="9539" w:type="dxa"/>
            <w:tcBorders/>
            <w:vAlign w:val="center"/>
          </w:tcPr>
          <w:p>
            <w:pPr>
              <w:pStyle w:val="TableContents"/>
              <w:bidi w:val="0"/>
              <w:spacing w:before="0" w:after="0"/>
              <w:jc w:val="both"/>
              <w:rPr/>
            </w:pPr>
            <w:hyperlink r:id="rId133">
              <w:r>
                <w:rPr>
                  <w:rStyle w:val="InternetLink"/>
                  <w:rFonts w:ascii="Times New Roman" w:hAnsi="Times New Roman"/>
                  <w:sz w:val="24"/>
                </w:rPr>
                <w:t>Amendment No. 1 to Credit Agreement, dated as of September 20, 2019, among Vishay Intertechnology, Inc. and JPMorgan Chase Bank, N.A., as administrative agent and the lenders and other parties thereto. Incorporated by reference to Exhibit 10.1 to our quarterly report on Form 10-Q for the fiscal quarter ended September 28, 2019.</w:t>
              </w:r>
            </w:hyperlink>
          </w:p>
        </w:tc>
      </w:tr>
      <w:tr>
        <w:trPr/>
        <w:tc>
          <w:tcPr>
            <w:tcW w:w="75"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hyperlink r:id="rId134">
              <w:r>
                <w:rPr>
                  <w:rStyle w:val="InternetLink"/>
                  <w:sz w:val="24"/>
                </w:rPr>
                <w:t>10.57</w:t>
              </w:r>
            </w:hyperlink>
          </w:p>
        </w:tc>
        <w:tc>
          <w:tcPr>
            <w:tcW w:w="9539" w:type="dxa"/>
            <w:tcBorders/>
            <w:shd w:fill="CCEEFF" w:val="clear"/>
            <w:vAlign w:val="center"/>
          </w:tcPr>
          <w:p>
            <w:pPr>
              <w:pStyle w:val="TableContents"/>
              <w:bidi w:val="0"/>
              <w:spacing w:before="0" w:after="0"/>
              <w:jc w:val="both"/>
              <w:rPr/>
            </w:pPr>
            <w:hyperlink r:id="rId135">
              <w:r>
                <w:rPr>
                  <w:rStyle w:val="InternetLink"/>
                  <w:rFonts w:ascii="Times New Roman;Times;serif" w:hAnsi="Times New Roman;Times;serif"/>
                  <w:sz w:val="24"/>
                </w:rPr>
                <w:t>Amendment and Restatement Agreement, dated as of May 8, 2023 among Vishay Intertechnology, Inc. and JPMorgan Chase Bank, N.A., as administrative agent, and the lenders and other parties thereto.  Incorporated by reference to Exhibit 10.1 to our current report on Form 8-K, filed May 8, 2023.</w:t>
              </w:r>
            </w:hyperlink>
          </w:p>
        </w:tc>
      </w:tr>
    </w:tbl>
    <w:p>
      <w:pPr>
        <w:pStyle w:val="TextBody"/>
        <w:bidi w:val="0"/>
        <w:spacing w:before="0" w:after="0"/>
        <w:jc w:val="left"/>
        <w:rPr/>
      </w:pPr>
      <w:r>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65</w:t>
      </w:r>
    </w:p>
    <w:p>
      <w:pPr>
        <w:pStyle w:val="HorizontalLine"/>
        <w:bidi w:val="0"/>
        <w:spacing w:before="240" w:after="240"/>
        <w:jc w:val="left"/>
        <w:rPr/>
      </w:pPr>
      <w:r>
        <w:rPr/>
      </w:r>
    </w:p>
    <w:p>
      <w:pPr>
        <w:pStyle w:val="TextBody"/>
        <w:bidi w:val="0"/>
        <w:spacing w:before="240" w:after="24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694"/>
        <w:gridCol w:w="9436"/>
      </w:tblGrid>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hyperlink r:id="rId136">
              <w:r>
                <w:rPr>
                  <w:rStyle w:val="InternetLink"/>
                  <w:sz w:val="24"/>
                </w:rPr>
                <w:t>10.58†</w:t>
              </w:r>
            </w:hyperlink>
          </w:p>
        </w:tc>
        <w:tc>
          <w:tcPr>
            <w:tcW w:w="9436" w:type="dxa"/>
            <w:tcBorders/>
            <w:vAlign w:val="center"/>
          </w:tcPr>
          <w:p>
            <w:pPr>
              <w:pStyle w:val="TableContents"/>
              <w:bidi w:val="0"/>
              <w:spacing w:before="0" w:after="283"/>
              <w:jc w:val="left"/>
              <w:rPr/>
            </w:pPr>
            <w:hyperlink r:id="rId137">
              <w:r>
                <w:rPr>
                  <w:rStyle w:val="InternetLink"/>
                  <w:sz w:val="24"/>
                </w:rPr>
                <w:t>Vishay Intertechnology, Inc. Form of Executive Officer Restricted Stock Unit Agreement.  Incorporated by reference to Exhibit 10.1 in our quarterly report on Form 10-Q for the fiscal quarter ended April 1, 2023.</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hyperlink r:id="rId138">
              <w:r>
                <w:rPr>
                  <w:rStyle w:val="InternetLink"/>
                  <w:rFonts w:ascii="Times New Roman" w:hAnsi="Times New Roman"/>
                  <w:sz w:val="24"/>
                </w:rPr>
                <w:t>10.59†</w:t>
              </w:r>
            </w:hyperlink>
          </w:p>
        </w:tc>
        <w:tc>
          <w:tcPr>
            <w:tcW w:w="9436" w:type="dxa"/>
            <w:tcBorders/>
            <w:shd w:fill="CCEEFF" w:val="clear"/>
            <w:vAlign w:val="center"/>
          </w:tcPr>
          <w:p>
            <w:pPr>
              <w:pStyle w:val="TableContents"/>
              <w:bidi w:val="0"/>
              <w:spacing w:before="0" w:after="283"/>
              <w:jc w:val="both"/>
              <w:rPr/>
            </w:pPr>
            <w:hyperlink r:id="rId139">
              <w:r>
                <w:rPr>
                  <w:rStyle w:val="InternetLink"/>
                  <w:rFonts w:ascii="Times New Roman" w:hAnsi="Times New Roman"/>
                  <w:sz w:val="24"/>
                </w:rPr>
                <w:t>Vishay Intertechnology, Inc. Form of Non-Employee Director Restricted Stock Unit Agreement.  Incorporated by reference to Exhibit 10.48 to our 2019 annual report on Form 10-K.</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hyperlink r:id="rId140">
              <w:r>
                <w:rPr>
                  <w:rStyle w:val="InternetLink"/>
                  <w:rFonts w:ascii="Times New Roman" w:hAnsi="Times New Roman"/>
                  <w:sz w:val="24"/>
                </w:rPr>
                <w:t>10.60†</w:t>
              </w:r>
            </w:hyperlink>
          </w:p>
        </w:tc>
        <w:tc>
          <w:tcPr>
            <w:tcW w:w="9436" w:type="dxa"/>
            <w:tcBorders/>
            <w:vAlign w:val="center"/>
          </w:tcPr>
          <w:p>
            <w:pPr>
              <w:pStyle w:val="TableContents"/>
              <w:bidi w:val="0"/>
              <w:spacing w:before="0" w:after="283"/>
              <w:jc w:val="both"/>
              <w:rPr/>
            </w:pPr>
            <w:hyperlink r:id="rId141">
              <w:r>
                <w:rPr>
                  <w:rStyle w:val="InternetLink"/>
                  <w:rFonts w:ascii="Times New Roman" w:hAnsi="Times New Roman"/>
                  <w:sz w:val="24"/>
                </w:rPr>
                <w:t>Vishay Intertechnology, Inc. Form of Executive Officer Phantom Stock Unit Agreement.  Incorporated by reference to Exhibit 10.50 to our 2019 annual report on Form 10-K.</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hyperlink r:id="rId142">
              <w:r>
                <w:rPr>
                  <w:rStyle w:val="InternetLink"/>
                  <w:sz w:val="24"/>
                  <w:u w:val="single"/>
                </w:rPr>
                <w:t>10.61†</w:t>
              </w:r>
            </w:hyperlink>
          </w:p>
        </w:tc>
        <w:tc>
          <w:tcPr>
            <w:tcW w:w="9436" w:type="dxa"/>
            <w:tcBorders/>
            <w:shd w:fill="CCEEFF" w:val="clear"/>
            <w:vAlign w:val="center"/>
          </w:tcPr>
          <w:p>
            <w:pPr>
              <w:pStyle w:val="TableContents"/>
              <w:bidi w:val="0"/>
              <w:spacing w:before="0" w:after="283"/>
              <w:jc w:val="both"/>
              <w:rPr/>
            </w:pPr>
            <w:hyperlink r:id="rId143">
              <w:r>
                <w:rPr>
                  <w:rStyle w:val="InternetLink"/>
                  <w:sz w:val="24"/>
                  <w:u w:val="single"/>
                </w:rPr>
                <w:t>Vishay Intertechnology, Inc. Non-Employee Director Compensation Plan. Incorporated by reference to Exhibit 10.44 to our 2020 annual report on Form 10-K.</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hyperlink r:id="rId144">
              <w:r>
                <w:rPr>
                  <w:rStyle w:val="InternetLink"/>
                  <w:sz w:val="24"/>
                </w:rPr>
                <w:t>10.62†</w:t>
              </w:r>
            </w:hyperlink>
          </w:p>
        </w:tc>
        <w:tc>
          <w:tcPr>
            <w:tcW w:w="9436" w:type="dxa"/>
            <w:tcBorders/>
            <w:vAlign w:val="center"/>
          </w:tcPr>
          <w:p>
            <w:pPr>
              <w:pStyle w:val="TableContents"/>
              <w:bidi w:val="0"/>
              <w:spacing w:before="0" w:after="283"/>
              <w:jc w:val="both"/>
              <w:rPr/>
            </w:pPr>
            <w:hyperlink r:id="rId145">
              <w:r>
                <w:rPr>
                  <w:rStyle w:val="InternetLink"/>
                  <w:sz w:val="24"/>
                </w:rPr>
                <w:t>Form of Future Deferred Remuneration Arrangement of Vishay Israel Ltd. (a wholly owned subsidiary of Vishay Intertechnology, Inc.).  Incorporated by reference to Exhibit 10.1 to our current report on Form 8-K filed December 28, 2021.</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hyperlink r:id="rId146">
              <w:r>
                <w:rPr>
                  <w:rStyle w:val="InternetLink"/>
                  <w:sz w:val="24"/>
                </w:rPr>
                <w:t>10.63</w:t>
              </w:r>
            </w:hyperlink>
          </w:p>
        </w:tc>
        <w:tc>
          <w:tcPr>
            <w:tcW w:w="9436" w:type="dxa"/>
            <w:tcBorders/>
            <w:shd w:fill="CCEEFF" w:val="clear"/>
            <w:vAlign w:val="center"/>
          </w:tcPr>
          <w:p>
            <w:pPr>
              <w:pStyle w:val="TableContents"/>
              <w:bidi w:val="0"/>
              <w:spacing w:before="0" w:after="283"/>
              <w:jc w:val="both"/>
              <w:rPr/>
            </w:pPr>
            <w:hyperlink r:id="rId147">
              <w:r>
                <w:rPr>
                  <w:rStyle w:val="InternetLink"/>
                  <w:sz w:val="24"/>
                </w:rPr>
                <w:t>Form of Base Capped Call Confirmation.  Incorporated by reference to Exhibit 10.1 in our current report on Form 8-K filed September 12, 2023.</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hyperlink r:id="rId148">
              <w:r>
                <w:rPr>
                  <w:rStyle w:val="InternetLink"/>
                  <w:sz w:val="24"/>
                </w:rPr>
                <w:t>10.64</w:t>
              </w:r>
            </w:hyperlink>
          </w:p>
        </w:tc>
        <w:tc>
          <w:tcPr>
            <w:tcW w:w="9436" w:type="dxa"/>
            <w:tcBorders/>
            <w:vAlign w:val="center"/>
          </w:tcPr>
          <w:p>
            <w:pPr>
              <w:pStyle w:val="TableContents"/>
              <w:bidi w:val="0"/>
              <w:spacing w:before="0" w:after="283"/>
              <w:jc w:val="both"/>
              <w:rPr/>
            </w:pPr>
            <w:hyperlink r:id="rId149">
              <w:r>
                <w:rPr>
                  <w:rStyle w:val="InternetLink"/>
                  <w:sz w:val="24"/>
                </w:rPr>
                <w:t>Form of Additional Capped Call Confirmation.  Incorporated by reference to Exhibit 10.2 in our current report on Form 8-K filed September 12, 2023.</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hyperlink w:anchor="exhibit10-66.htm">
              <w:r>
                <w:rPr>
                  <w:rStyle w:val="InternetLink"/>
                  <w:sz w:val="24"/>
                </w:rPr>
                <w:t>10.66</w:t>
              </w:r>
            </w:hyperlink>
            <w:hyperlink w:anchor="exhibit10-66.htm">
              <w:r>
                <w:rPr>
                  <w:rStyle w:val="InternetLink"/>
                  <w:sz w:val="24"/>
                  <w:u w:val="single"/>
                </w:rPr>
                <w:t>†</w:t>
              </w:r>
            </w:hyperlink>
            <w:hyperlink w:anchor="exhibit10-66.htm">
              <w:r>
                <w:rPr>
                  <w:rStyle w:val="InternetLink"/>
                  <w:sz w:val="24"/>
                </w:rPr>
                <w:t>**</w:t>
              </w:r>
            </w:hyperlink>
          </w:p>
        </w:tc>
        <w:tc>
          <w:tcPr>
            <w:tcW w:w="9436" w:type="dxa"/>
            <w:tcBorders/>
            <w:shd w:fill="CCEEFF" w:val="clear"/>
            <w:vAlign w:val="center"/>
          </w:tcPr>
          <w:p>
            <w:pPr>
              <w:pStyle w:val="TableContents"/>
              <w:bidi w:val="0"/>
              <w:spacing w:before="0" w:after="283"/>
              <w:jc w:val="both"/>
              <w:rPr/>
            </w:pPr>
            <w:hyperlink w:anchor="exhibit10-66.htm">
              <w:r>
                <w:rPr>
                  <w:rStyle w:val="InternetLink"/>
                  <w:sz w:val="24"/>
                </w:rPr>
                <w:t>Form of Phantom Stock Award Agreement.</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hyperlink w:anchor="exhibit10-67.htm">
              <w:r>
                <w:rPr>
                  <w:rStyle w:val="InternetLink"/>
                  <w:sz w:val="24"/>
                </w:rPr>
                <w:t>10.67</w:t>
              </w:r>
            </w:hyperlink>
            <w:hyperlink w:anchor="exhibit10-67.htm">
              <w:r>
                <w:rPr>
                  <w:rStyle w:val="InternetLink"/>
                  <w:sz w:val="24"/>
                  <w:u w:val="single"/>
                </w:rPr>
                <w:t>†</w:t>
              </w:r>
            </w:hyperlink>
            <w:hyperlink w:anchor="exhibit10-67.htm">
              <w:r>
                <w:rPr>
                  <w:rStyle w:val="InternetLink"/>
                  <w:sz w:val="24"/>
                </w:rPr>
                <w:t>**</w:t>
              </w:r>
            </w:hyperlink>
          </w:p>
        </w:tc>
        <w:tc>
          <w:tcPr>
            <w:tcW w:w="9436" w:type="dxa"/>
            <w:tcBorders/>
            <w:vAlign w:val="center"/>
          </w:tcPr>
          <w:p>
            <w:pPr>
              <w:pStyle w:val="TableContents"/>
              <w:bidi w:val="0"/>
              <w:spacing w:before="0" w:after="283"/>
              <w:jc w:val="both"/>
              <w:rPr/>
            </w:pPr>
            <w:hyperlink w:anchor="exhibit10-67.htm">
              <w:r>
                <w:rPr>
                  <w:rStyle w:val="InternetLink"/>
                  <w:sz w:val="24"/>
                </w:rPr>
                <w:t>Form of Non-Employee Director RSU Agreement.</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0"/>
              <w:jc w:val="both"/>
              <w:rPr/>
            </w:pPr>
            <w:hyperlink w:anchor="exhibit21.htm">
              <w:r>
                <w:rPr>
                  <w:rStyle w:val="InternetLink"/>
                  <w:rFonts w:ascii="Times New Roman" w:hAnsi="Times New Roman"/>
                  <w:sz w:val="24"/>
                  <w:u w:val="single"/>
                </w:rPr>
                <w:t>21**</w:t>
              </w:r>
            </w:hyperlink>
          </w:p>
        </w:tc>
        <w:tc>
          <w:tcPr>
            <w:tcW w:w="9436" w:type="dxa"/>
            <w:tcBorders/>
            <w:shd w:fill="CCEEFF" w:val="clear"/>
            <w:vAlign w:val="center"/>
          </w:tcPr>
          <w:p>
            <w:pPr>
              <w:pStyle w:val="TableContents"/>
              <w:bidi w:val="0"/>
              <w:spacing w:before="0" w:after="0"/>
              <w:jc w:val="both"/>
              <w:rPr/>
            </w:pPr>
            <w:hyperlink w:anchor="exhibit21.htm">
              <w:r>
                <w:rPr>
                  <w:rStyle w:val="InternetLink"/>
                  <w:rFonts w:ascii="Times New Roman" w:hAnsi="Times New Roman"/>
                  <w:sz w:val="24"/>
                  <w:u w:val="single"/>
                </w:rPr>
                <w:t>Subsidiaries of the Registrant.</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0"/>
              <w:jc w:val="both"/>
              <w:rPr/>
            </w:pPr>
            <w:hyperlink w:anchor="exhibit23-1.htm">
              <w:r>
                <w:rPr>
                  <w:rStyle w:val="InternetLink"/>
                  <w:rFonts w:ascii="Times New Roman" w:hAnsi="Times New Roman"/>
                  <w:sz w:val="24"/>
                  <w:u w:val="single"/>
                </w:rPr>
                <w:t>23.1**</w:t>
              </w:r>
            </w:hyperlink>
          </w:p>
        </w:tc>
        <w:tc>
          <w:tcPr>
            <w:tcW w:w="9436" w:type="dxa"/>
            <w:tcBorders/>
            <w:vAlign w:val="center"/>
          </w:tcPr>
          <w:p>
            <w:pPr>
              <w:pStyle w:val="TableContents"/>
              <w:bidi w:val="0"/>
              <w:spacing w:before="0" w:after="0"/>
              <w:jc w:val="both"/>
              <w:rPr/>
            </w:pPr>
            <w:hyperlink w:anchor="exhibit23-1.htm">
              <w:r>
                <w:rPr>
                  <w:rStyle w:val="InternetLink"/>
                  <w:rFonts w:ascii="Times New Roman" w:hAnsi="Times New Roman"/>
                  <w:sz w:val="24"/>
                  <w:u w:val="single"/>
                </w:rPr>
                <w:t>Consent of Independent Registered Public Accounting Firm.</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0"/>
              <w:jc w:val="both"/>
              <w:rPr/>
            </w:pPr>
            <w:hyperlink w:anchor="exhibit31-1.htm">
              <w:r>
                <w:rPr>
                  <w:rStyle w:val="InternetLink"/>
                  <w:rFonts w:ascii="Times New Roman" w:hAnsi="Times New Roman"/>
                  <w:sz w:val="24"/>
                  <w:u w:val="single"/>
                </w:rPr>
                <w:t>31.1**</w:t>
              </w:r>
            </w:hyperlink>
          </w:p>
        </w:tc>
        <w:tc>
          <w:tcPr>
            <w:tcW w:w="9436" w:type="dxa"/>
            <w:tcBorders/>
            <w:shd w:fill="CCEEFF" w:val="clear"/>
            <w:vAlign w:val="center"/>
          </w:tcPr>
          <w:p>
            <w:pPr>
              <w:pStyle w:val="TableContents"/>
              <w:bidi w:val="0"/>
              <w:spacing w:before="0" w:after="0"/>
              <w:jc w:val="both"/>
              <w:rPr/>
            </w:pPr>
            <w:hyperlink w:anchor="exhibit31-1.htm">
              <w:r>
                <w:rPr>
                  <w:rStyle w:val="InternetLink"/>
                  <w:rFonts w:ascii="Times New Roman" w:hAnsi="Times New Roman"/>
                  <w:sz w:val="24"/>
                  <w:u w:val="single"/>
                </w:rPr>
                <w:t>Certification pursuant to Rules 13a-15(e) or 15d-15(e) under the Securities Exchange Act of 1934, as adopted pursuant to Section 302 of the Sarbanes-Oxley Act of 2002 – Chief Executive Officer.</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0"/>
              <w:jc w:val="both"/>
              <w:rPr/>
            </w:pPr>
            <w:hyperlink w:anchor="exhibit31-2.htm">
              <w:r>
                <w:rPr>
                  <w:rStyle w:val="InternetLink"/>
                  <w:rFonts w:ascii="Times New Roman" w:hAnsi="Times New Roman"/>
                  <w:sz w:val="24"/>
                  <w:u w:val="single"/>
                </w:rPr>
                <w:t>31.2**</w:t>
              </w:r>
            </w:hyperlink>
          </w:p>
        </w:tc>
        <w:tc>
          <w:tcPr>
            <w:tcW w:w="9436" w:type="dxa"/>
            <w:tcBorders/>
            <w:vAlign w:val="center"/>
          </w:tcPr>
          <w:p>
            <w:pPr>
              <w:pStyle w:val="TableContents"/>
              <w:bidi w:val="0"/>
              <w:spacing w:before="0" w:after="0"/>
              <w:jc w:val="both"/>
              <w:rPr/>
            </w:pPr>
            <w:hyperlink w:anchor="exhibit31-2.htm">
              <w:r>
                <w:rPr>
                  <w:rStyle w:val="InternetLink"/>
                  <w:rFonts w:ascii="Times New Roman" w:hAnsi="Times New Roman"/>
                  <w:sz w:val="24"/>
                  <w:u w:val="single"/>
                </w:rPr>
                <w:t>Certification pursuant to Rules 13a-15(e) or 15d-15(e) under the Securities Exchange Act of 1934, as adopted pursuant to Section 302 of the Sarbanes-Oxley Act of 2002 – Chief Financial Officer.</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0"/>
              <w:jc w:val="both"/>
              <w:rPr/>
            </w:pPr>
            <w:hyperlink w:anchor="exhibit32-1.htm">
              <w:r>
                <w:rPr>
                  <w:rStyle w:val="InternetLink"/>
                  <w:rFonts w:ascii="Times New Roman" w:hAnsi="Times New Roman"/>
                  <w:sz w:val="24"/>
                  <w:u w:val="single"/>
                </w:rPr>
                <w:t>32.1**</w:t>
              </w:r>
            </w:hyperlink>
          </w:p>
        </w:tc>
        <w:tc>
          <w:tcPr>
            <w:tcW w:w="9436" w:type="dxa"/>
            <w:tcBorders/>
            <w:shd w:fill="CCEEFF" w:val="clear"/>
            <w:vAlign w:val="center"/>
          </w:tcPr>
          <w:p>
            <w:pPr>
              <w:pStyle w:val="TableContents"/>
              <w:bidi w:val="0"/>
              <w:spacing w:before="0" w:after="0"/>
              <w:jc w:val="both"/>
              <w:rPr/>
            </w:pPr>
            <w:hyperlink w:anchor="exhibit32-1.htm">
              <w:r>
                <w:rPr>
                  <w:rStyle w:val="InternetLink"/>
                  <w:rFonts w:ascii="Times New Roman" w:hAnsi="Times New Roman"/>
                  <w:sz w:val="24"/>
                  <w:u w:val="single"/>
                </w:rPr>
                <w:t>Certification Pursuant to 18 U.S.C. Section 1350, as adopted pursuant to Section 906 of the Sarbanes-Oxley Act of 2002 – Chief Executive Officer.</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0"/>
              <w:jc w:val="both"/>
              <w:rPr/>
            </w:pPr>
            <w:hyperlink w:anchor="exhibit32-2.htm">
              <w:r>
                <w:rPr>
                  <w:rStyle w:val="InternetLink"/>
                  <w:rFonts w:ascii="Times New Roman" w:hAnsi="Times New Roman"/>
                  <w:sz w:val="24"/>
                  <w:u w:val="single"/>
                </w:rPr>
                <w:t>32.2**</w:t>
              </w:r>
            </w:hyperlink>
          </w:p>
        </w:tc>
        <w:tc>
          <w:tcPr>
            <w:tcW w:w="9436" w:type="dxa"/>
            <w:tcBorders/>
            <w:vAlign w:val="center"/>
          </w:tcPr>
          <w:p>
            <w:pPr>
              <w:pStyle w:val="TableContents"/>
              <w:bidi w:val="0"/>
              <w:spacing w:before="0" w:after="0"/>
              <w:jc w:val="both"/>
              <w:rPr/>
            </w:pPr>
            <w:hyperlink w:anchor="exhibit32-2.htm">
              <w:r>
                <w:rPr>
                  <w:rStyle w:val="InternetLink"/>
                  <w:rFonts w:ascii="Times New Roman" w:hAnsi="Times New Roman"/>
                  <w:sz w:val="24"/>
                  <w:u w:val="single"/>
                </w:rPr>
                <w:t>Certification Pursuant to 18 U.S.C. Section 1350, as adopted pursuant to Section 906 of the Sarbanes-Oxley Act of 2002 – Chief Financial Officer.</w:t>
              </w:r>
            </w:hyperlink>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both"/>
              <w:rPr/>
            </w:pPr>
            <w:hyperlink w:anchor="exhibit97-1.htm">
              <w:r>
                <w:rPr>
                  <w:rStyle w:val="InternetLink"/>
                  <w:sz w:val="24"/>
                </w:rPr>
                <w:t>97.1**</w:t>
              </w:r>
            </w:hyperlink>
          </w:p>
        </w:tc>
        <w:tc>
          <w:tcPr>
            <w:tcW w:w="9436" w:type="dxa"/>
            <w:tcBorders/>
            <w:shd w:fill="CCEEFF" w:val="clear"/>
            <w:vAlign w:val="center"/>
          </w:tcPr>
          <w:p>
            <w:pPr>
              <w:pStyle w:val="TableContents"/>
              <w:bidi w:val="0"/>
              <w:spacing w:before="0" w:after="283"/>
              <w:jc w:val="both"/>
              <w:rPr/>
            </w:pPr>
            <w:hyperlink w:anchor="exhibit97-1.htm">
              <w:r>
                <w:rPr>
                  <w:rStyle w:val="InternetLink"/>
                  <w:sz w:val="24"/>
                </w:rPr>
                <w:t xml:space="preserve">Vishay Intertechnology, Inc. Dodd-Frank Clawback Policy </w:t>
              </w:r>
            </w:hyperlink>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101**</w:t>
            </w:r>
          </w:p>
        </w:tc>
        <w:tc>
          <w:tcPr>
            <w:tcW w:w="943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Interactive Data File (Annual Report on Form 10-K, for the year ended December 31, 2023, furnished in iXBRL (Inline eXtensible Business Reporting Language)).</w:t>
            </w:r>
          </w:p>
        </w:tc>
      </w:tr>
      <w:tr>
        <w:trPr/>
        <w:tc>
          <w:tcPr>
            <w:tcW w:w="7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104**</w:t>
            </w:r>
          </w:p>
        </w:tc>
        <w:tc>
          <w:tcPr>
            <w:tcW w:w="9436"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Cover Page Interactive Data File (formatted as Inline eXtensible Business Reporting Language and contained in Exhibit 101)</w:t>
            </w:r>
          </w:p>
        </w:tc>
      </w:tr>
    </w:tbl>
    <w:p>
      <w:pPr>
        <w:pStyle w:val="TextBody"/>
        <w:bidi w:val="0"/>
        <w:spacing w:before="0" w:after="60"/>
        <w:jc w:val="left"/>
        <w:rPr>
          <w:rFonts w:ascii="Times New Roman" w:hAnsi="Times New Roman"/>
          <w:color w:val="000000"/>
          <w:sz w:val="24"/>
          <w:shd w:fill="FFFFFF" w:val="clear"/>
        </w:rPr>
      </w:pPr>
      <w:r>
        <w:rPr>
          <w:rFonts w:ascii="Times New Roman" w:hAnsi="Times New Roman"/>
          <w:color w:val="000000"/>
          <w:sz w:val="24"/>
          <w:shd w:fill="FFFFFF" w:val="clear"/>
        </w:rPr>
        <w:t>__________________</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Confidential treatment has been requested by, and accorded to, VPG with respect to certain portions of this Exhibit. Omitted portions have been filed separately by VPG with the Securities and Exchange Commission.</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Filed herewith.</w:t>
      </w:r>
    </w:p>
    <w:p>
      <w:pPr>
        <w:pStyle w:val="TextBody"/>
        <w:bidi w:val="0"/>
        <w:spacing w:before="0" w:after="120"/>
        <w:jc w:val="both"/>
        <w:rPr>
          <w:color w:val="000000"/>
          <w:shd w:fill="FFFFFF" w:val="clear"/>
        </w:rPr>
      </w:pPr>
      <w:r>
        <w:rPr>
          <w:color w:val="000000"/>
          <w:shd w:fill="FFFFFF" w:val="clear"/>
        </w:rPr>
        <w:t xml:space="preserve">† </w:t>
      </w:r>
      <w:r>
        <w:rPr>
          <w:rFonts w:ascii="Times New Roman" w:hAnsi="Times New Roman"/>
          <w:color w:val="000000"/>
          <w:sz w:val="20"/>
          <w:shd w:fill="FFFFFF" w:val="clear"/>
        </w:rPr>
        <w:t>Denotes a management contract or compensatory plan, contract, or arrangement.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bookmarkStart w:id="39" w:name="Item16"/>
      <w:bookmarkEnd w:id="39"/>
      <w:r>
        <w:rPr>
          <w:rFonts w:ascii="Times New Roman" w:hAnsi="Times New Roman"/>
          <w:b/>
          <w:color w:val="000000"/>
          <w:sz w:val="24"/>
          <w:u w:val="single"/>
          <w:shd w:fill="FFFFFF" w:val="clear"/>
        </w:rPr>
        <w:t>Item 16.</w:t>
      </w:r>
      <w:r>
        <w:rPr>
          <w:rFonts w:ascii="Times New Roman" w:hAnsi="Times New Roman"/>
          <w:color w:val="000000"/>
          <w:sz w:val="20"/>
          <w:shd w:fill="FFFFFF" w:val="clear"/>
        </w:rPr>
        <w:t> </w:t>
      </w:r>
      <w:r>
        <w:rPr>
          <w:rFonts w:ascii="Times New Roman" w:hAnsi="Times New Roman"/>
          <w:b/>
          <w:color w:val="000000"/>
          <w:sz w:val="24"/>
          <w:u w:val="single"/>
          <w:shd w:fill="FFFFFF" w:val="clear"/>
        </w:rPr>
        <w:t>FORM 10-K SUMMARY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Not applicable.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u w:val="single"/>
          <w:shd w:fill="FFFFFF" w:val="clear"/>
        </w:rPr>
      </w:pPr>
      <w:bookmarkStart w:id="40" w:name="SIGNATURES"/>
      <w:bookmarkEnd w:id="40"/>
      <w:r>
        <w:rPr>
          <w:rFonts w:ascii="Times New Roman" w:hAnsi="Times New Roman"/>
          <w:b/>
          <w:color w:val="000000"/>
          <w:sz w:val="24"/>
          <w:u w:val="single"/>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Pursuant to the requirement of Section 13 or 15(d)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3840" w:right="0" w:hanging="0"/>
        <w:jc w:val="left"/>
        <w:rPr>
          <w:rFonts w:ascii="Times New Roman" w:hAnsi="Times New Roman"/>
          <w:color w:val="000000"/>
          <w:sz w:val="24"/>
          <w:shd w:fill="FFFFFF" w:val="clear"/>
        </w:rPr>
      </w:pPr>
      <w:r>
        <w:rPr>
          <w:rFonts w:ascii="Times New Roman" w:hAnsi="Times New Roman"/>
          <w:color w:val="000000"/>
          <w:sz w:val="24"/>
          <w:shd w:fill="FFFFFF" w:val="clear"/>
        </w:rPr>
        <w:t>VISHAY INTERTECHNOLOGY, INC.</w:t>
      </w:r>
    </w:p>
    <w:tbl>
      <w:tblPr>
        <w:tblW w:w="4075" w:type="dxa"/>
        <w:jc w:val="left"/>
        <w:tblInd w:w="0" w:type="dxa"/>
        <w:tblLayout w:type="fixed"/>
        <w:tblCellMar>
          <w:top w:w="0" w:type="dxa"/>
          <w:left w:w="0" w:type="dxa"/>
          <w:bottom w:w="0" w:type="dxa"/>
          <w:right w:w="0" w:type="dxa"/>
        </w:tblCellMar>
      </w:tblPr>
      <w:tblGrid>
        <w:gridCol w:w="380"/>
        <w:gridCol w:w="3620"/>
        <w:gridCol w:w="75"/>
      </w:tblGrid>
      <w:tr>
        <w:trPr/>
        <w:tc>
          <w:tcPr>
            <w:tcW w:w="38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By:</w:t>
            </w:r>
          </w:p>
        </w:tc>
        <w:tc>
          <w:tcPr>
            <w:tcW w:w="3620"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Joel Smejkal</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Joel Smejkal</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President and Chief Executive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Pursuant to the requirements of the Securities Exchange Act of 1934, this report has been signed below by the following persons on behalf of the Registrant and in the capacities and on the dates indicated below.</w:t>
      </w:r>
    </w:p>
    <w:p>
      <w:pPr>
        <w:pStyle w:val="TextBody"/>
        <w:bidi w:val="0"/>
        <w:spacing w:before="0" w:after="0"/>
        <w:jc w:val="left"/>
        <w:rPr>
          <w:rFonts w:ascii="Times New Roman" w:hAnsi="Times New Roman"/>
          <w:sz w:val="20"/>
        </w:rPr>
      </w:pPr>
      <w:r>
        <w:rPr>
          <w:rFonts w:ascii="Times New Roman" w:hAnsi="Times New Roman"/>
          <w:sz w:val="20"/>
        </w:rPr>
      </w:r>
    </w:p>
    <w:tbl>
      <w:tblPr>
        <w:tblW w:w="9600" w:type="dxa"/>
        <w:jc w:val="left"/>
        <w:tblInd w:w="0" w:type="dxa"/>
        <w:tblLayout w:type="fixed"/>
        <w:tblCellMar>
          <w:top w:w="0" w:type="dxa"/>
          <w:left w:w="0" w:type="dxa"/>
          <w:bottom w:w="0" w:type="dxa"/>
          <w:right w:w="0" w:type="dxa"/>
        </w:tblCellMar>
      </w:tblPr>
      <w:tblGrid>
        <w:gridCol w:w="4415"/>
        <w:gridCol w:w="3395"/>
        <w:gridCol w:w="1790"/>
      </w:tblGrid>
      <w:tr>
        <w:trPr/>
        <w:tc>
          <w:tcPr>
            <w:tcW w:w="4415" w:type="dxa"/>
            <w:tcBorders/>
            <w:vAlign w:val="center"/>
          </w:tcPr>
          <w:p>
            <w:pPr>
              <w:pStyle w:val="TableContents"/>
              <w:bidi w:val="0"/>
              <w:spacing w:before="0" w:after="0"/>
              <w:jc w:val="left"/>
              <w:rPr>
                <w:rFonts w:ascii="Times New Roman" w:hAnsi="Times New Roman"/>
                <w:b/>
                <w:sz w:val="24"/>
                <w:u w:val="single"/>
              </w:rPr>
            </w:pPr>
            <w:r>
              <w:rPr>
                <w:rFonts w:ascii="Times New Roman" w:hAnsi="Times New Roman"/>
                <w:b/>
                <w:sz w:val="24"/>
                <w:u w:val="single"/>
              </w:rPr>
              <w:t>Signature</w:t>
            </w:r>
          </w:p>
        </w:tc>
        <w:tc>
          <w:tcPr>
            <w:tcW w:w="3395" w:type="dxa"/>
            <w:tcBorders/>
            <w:vAlign w:val="center"/>
          </w:tcPr>
          <w:p>
            <w:pPr>
              <w:pStyle w:val="TableContents"/>
              <w:bidi w:val="0"/>
              <w:spacing w:before="0" w:after="0"/>
              <w:jc w:val="left"/>
              <w:rPr>
                <w:rFonts w:ascii="Times New Roman" w:hAnsi="Times New Roman"/>
                <w:b/>
                <w:sz w:val="24"/>
                <w:u w:val="single"/>
              </w:rPr>
            </w:pPr>
            <w:r>
              <w:rPr>
                <w:rFonts w:ascii="Times New Roman" w:hAnsi="Times New Roman"/>
                <w:b/>
                <w:sz w:val="24"/>
                <w:u w:val="single"/>
              </w:rPr>
              <w:t>Title</w:t>
            </w:r>
          </w:p>
        </w:tc>
        <w:tc>
          <w:tcPr>
            <w:tcW w:w="1790" w:type="dxa"/>
            <w:tcBorders/>
            <w:vAlign w:val="center"/>
          </w:tcPr>
          <w:p>
            <w:pPr>
              <w:pStyle w:val="TableContents"/>
              <w:bidi w:val="0"/>
              <w:spacing w:before="0" w:after="0"/>
              <w:jc w:val="left"/>
              <w:rPr>
                <w:rFonts w:ascii="Times New Roman" w:hAnsi="Times New Roman"/>
                <w:b/>
                <w:sz w:val="24"/>
                <w:u w:val="single"/>
              </w:rPr>
            </w:pPr>
            <w:r>
              <w:rPr>
                <w:rFonts w:ascii="Times New Roman" w:hAnsi="Times New Roman"/>
                <w:b/>
                <w:sz w:val="24"/>
                <w:u w:val="single"/>
              </w:rPr>
              <w:t>Date</w:t>
            </w:r>
          </w:p>
        </w:tc>
      </w:tr>
      <w:tr>
        <w:trPr/>
        <w:tc>
          <w:tcPr>
            <w:tcW w:w="4415" w:type="dxa"/>
            <w:tcBorders/>
            <w:shd w:fill="CCEEFF" w:val="clear"/>
            <w:vAlign w:val="center"/>
          </w:tcPr>
          <w:p>
            <w:pPr>
              <w:pStyle w:val="TableContents"/>
              <w:bidi w:val="0"/>
              <w:spacing w:before="0" w:after="0"/>
              <w:jc w:val="left"/>
              <w:rPr>
                <w:rFonts w:ascii="Times New Roman" w:hAnsi="Times New Roman"/>
                <w:b/>
                <w:i/>
                <w:sz w:val="24"/>
              </w:rPr>
            </w:pPr>
            <w:r>
              <w:rPr>
                <w:rFonts w:ascii="Times New Roman" w:hAnsi="Times New Roman"/>
                <w:b/>
                <w:i/>
                <w:sz w:val="24"/>
              </w:rPr>
              <w:t>Principal Executive Officer:</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Joel Smejkal</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President, Chief Executive Officer,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Joel Smejkal</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and Director</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b/>
                <w:i/>
                <w:sz w:val="24"/>
              </w:rPr>
            </w:pPr>
            <w:r>
              <w:rPr>
                <w:rFonts w:ascii="Times New Roman" w:hAnsi="Times New Roman"/>
                <w:b/>
                <w:i/>
                <w:sz w:val="24"/>
              </w:rPr>
              <w:t>Principal Financial and Accounting Officer:</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Lori Lipcaman</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Executive Vice President and Chief</w:t>
            </w:r>
          </w:p>
        </w:tc>
        <w:tc>
          <w:tcPr>
            <w:tcW w:w="17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Lori Lipcaman</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Financial Officer</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b/>
                <w:i/>
                <w:sz w:val="24"/>
              </w:rPr>
            </w:pPr>
            <w:r>
              <w:rPr>
                <w:rFonts w:ascii="Times New Roman" w:hAnsi="Times New Roman"/>
                <w:b/>
                <w:i/>
                <w:sz w:val="24"/>
              </w:rPr>
              <w:t>Board of Directors:</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Marc Zandman</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Executive Chairman of</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Marc Zandman</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the Board of Directors</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Renee B. Booth</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Dr. Renee B. Booth</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Michael J. Cody</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Michael J. Cody</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Michiko Kurahashi</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Dr. Michiko Kurahashi</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Abraham Ludomirski</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Dr. Abraham Ludomirski</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r>
              <w:rPr>
                <w:sz w:val="24"/>
                <w:u w:val="single"/>
              </w:rPr>
              <w:t>/s/ John Malvisi</w:t>
            </w:r>
          </w:p>
        </w:tc>
        <w:tc>
          <w:tcPr>
            <w:tcW w:w="3395" w:type="dxa"/>
            <w:tcBorders/>
            <w:vAlign w:val="center"/>
          </w:tcPr>
          <w:p>
            <w:pPr>
              <w:pStyle w:val="TableContents"/>
              <w:bidi w:val="0"/>
              <w:spacing w:before="0" w:after="283"/>
              <w:jc w:val="left"/>
              <w:rPr>
                <w:sz w:val="24"/>
              </w:rPr>
            </w:pPr>
            <w:r>
              <w:rPr>
                <w:sz w:val="24"/>
              </w:rPr>
              <w:t>Director</w:t>
            </w:r>
          </w:p>
        </w:tc>
        <w:tc>
          <w:tcPr>
            <w:tcW w:w="1790" w:type="dxa"/>
            <w:tcBorders/>
            <w:vAlign w:val="center"/>
          </w:tcPr>
          <w:p>
            <w:pPr>
              <w:pStyle w:val="TableContents"/>
              <w:bidi w:val="0"/>
              <w:spacing w:before="0" w:after="283"/>
              <w:jc w:val="left"/>
              <w:rPr>
                <w:sz w:val="24"/>
              </w:rPr>
            </w:pPr>
            <w:r>
              <w:rPr>
                <w:sz w:val="24"/>
              </w:rPr>
              <w:t>February 16, 2024</w:t>
            </w:r>
          </w:p>
        </w:tc>
      </w:tr>
      <w:tr>
        <w:trPr/>
        <w:tc>
          <w:tcPr>
            <w:tcW w:w="4415" w:type="dxa"/>
            <w:tcBorders/>
            <w:shd w:fill="CCEEFF" w:val="clear"/>
            <w:vAlign w:val="center"/>
          </w:tcPr>
          <w:p>
            <w:pPr>
              <w:pStyle w:val="TableContents"/>
              <w:bidi w:val="0"/>
              <w:spacing w:before="0" w:after="283"/>
              <w:jc w:val="left"/>
              <w:rPr/>
            </w:pPr>
            <w:r>
              <w:rPr/>
              <w:t> </w:t>
            </w:r>
            <w:r>
              <w:rPr>
                <w:sz w:val="24"/>
              </w:rPr>
              <w:t>John Malvisi</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Ziv Shoshani</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Ziv Shoshani</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Timothy V. Talbert</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Timothy V. Talbert</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Jeffrey H. Vanneste</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Jeffrey H. Vanneste</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Ruta Zandman</w:t>
            </w:r>
          </w:p>
        </w:tc>
        <w:tc>
          <w:tcPr>
            <w:tcW w:w="33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Ruta Zandman</w:t>
            </w:r>
          </w:p>
        </w:tc>
        <w:tc>
          <w:tcPr>
            <w:tcW w:w="339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4"/>
                <w:u w:val="single"/>
              </w:rPr>
            </w:pPr>
            <w:r>
              <w:rPr>
                <w:rFonts w:ascii="Times New Roman" w:hAnsi="Times New Roman"/>
                <w:sz w:val="24"/>
                <w:u w:val="single"/>
              </w:rPr>
              <w:t>/s/ Raanan Zilberman</w:t>
            </w:r>
          </w:p>
        </w:tc>
        <w:tc>
          <w:tcPr>
            <w:tcW w:w="33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179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February 16, 2024</w:t>
            </w:r>
          </w:p>
        </w:tc>
      </w:tr>
      <w:tr>
        <w:trPr/>
        <w:tc>
          <w:tcPr>
            <w:tcW w:w="44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Raanan Zilberman</w:t>
            </w:r>
          </w:p>
        </w:tc>
        <w:tc>
          <w:tcPr>
            <w:tcW w:w="339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67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 w:right="0" w:hanging="144"/>
        <w:jc w:val="center"/>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 w:right="0" w:hanging="144"/>
        <w:jc w:val="center"/>
        <w:rPr>
          <w:rFonts w:ascii="Times New Roman" w:hAnsi="Times New Roman"/>
          <w:b/>
          <w:color w:val="000000"/>
          <w:sz w:val="24"/>
          <w:shd w:fill="FFFFFF" w:val="clear"/>
        </w:rPr>
      </w:pPr>
      <w:r>
        <w:rPr>
          <w:rFonts w:ascii="Times New Roman" w:hAnsi="Times New Roman"/>
          <w:b/>
          <w:color w:val="000000"/>
          <w:sz w:val="24"/>
          <w:shd w:fill="FFFFFF" w:val="clear"/>
        </w:rPr>
        <w:t>Index to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tbl>
      <w:tblPr>
        <w:tblW w:w="7705" w:type="dxa"/>
        <w:jc w:val="left"/>
        <w:tblInd w:w="0" w:type="dxa"/>
        <w:tblLayout w:type="fixed"/>
        <w:tblCellMar>
          <w:top w:w="0" w:type="dxa"/>
          <w:left w:w="0" w:type="dxa"/>
          <w:bottom w:w="0" w:type="dxa"/>
          <w:right w:w="0" w:type="dxa"/>
        </w:tblCellMar>
      </w:tblPr>
      <w:tblGrid>
        <w:gridCol w:w="7220"/>
        <w:gridCol w:w="485"/>
      </w:tblGrid>
      <w:tr>
        <w:trPr/>
        <w:tc>
          <w:tcPr>
            <w:tcW w:w="7220" w:type="dxa"/>
            <w:tcBorders/>
            <w:shd w:fill="CCEEFF" w:val="clear"/>
            <w:vAlign w:val="center"/>
          </w:tcPr>
          <w:p>
            <w:pPr>
              <w:pStyle w:val="TableContents"/>
              <w:bidi w:val="0"/>
              <w:spacing w:before="0" w:after="0"/>
              <w:ind w:left="1080" w:right="0" w:hanging="0"/>
              <w:jc w:val="left"/>
              <w:rPr>
                <w:rFonts w:ascii="Times New Roman" w:hAnsi="Times New Roman"/>
                <w:sz w:val="24"/>
              </w:rPr>
            </w:pPr>
            <w:r>
              <w:rPr>
                <w:rFonts w:ascii="Times New Roman" w:hAnsi="Times New Roman"/>
                <w:sz w:val="24"/>
              </w:rPr>
              <w:t>Report of Independent Registered Public Accounting Firm (PCAOB ID:42)</w:t>
            </w:r>
          </w:p>
        </w:tc>
        <w:tc>
          <w:tcPr>
            <w:tcW w:w="485" w:type="dxa"/>
            <w:tcBorders/>
            <w:shd w:fill="CCEEFF" w:val="clear"/>
            <w:vAlign w:val="center"/>
          </w:tcPr>
          <w:p>
            <w:pPr>
              <w:pStyle w:val="TableContents"/>
              <w:bidi w:val="0"/>
              <w:spacing w:before="0" w:after="0"/>
              <w:jc w:val="center"/>
              <w:rPr/>
            </w:pPr>
            <w:hyperlink w:anchor="ReportofIndependentRegist">
              <w:r>
                <w:rPr>
                  <w:rStyle w:val="InternetLink"/>
                  <w:rFonts w:ascii="Times New Roman" w:hAnsi="Times New Roman"/>
                  <w:sz w:val="24"/>
                </w:rPr>
                <w:t>F-2</w:t>
              </w:r>
            </w:hyperlink>
          </w:p>
        </w:tc>
      </w:tr>
      <w:tr>
        <w:trPr/>
        <w:tc>
          <w:tcPr>
            <w:tcW w:w="72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0"/>
              <w:ind w:left="1080" w:right="0" w:hanging="1080"/>
              <w:jc w:val="left"/>
              <w:rPr>
                <w:rFonts w:ascii="Times New Roman" w:hAnsi="Times New Roman"/>
                <w:sz w:val="24"/>
              </w:rPr>
            </w:pPr>
            <w:r>
              <w:rPr>
                <w:rFonts w:ascii="Times New Roman" w:hAnsi="Times New Roman"/>
                <w:sz w:val="24"/>
              </w:rPr>
              <w:t>Audited Consolidated Financial Statements</w:t>
            </w:r>
          </w:p>
        </w:tc>
        <w:tc>
          <w:tcPr>
            <w:tcW w:w="485" w:type="dxa"/>
            <w:tcBorders/>
            <w:shd w:fill="CCEEFF" w:val="clear"/>
            <w:vAlign w:val="center"/>
          </w:tcPr>
          <w:p>
            <w:pPr>
              <w:pStyle w:val="TableContents"/>
              <w:bidi w:val="0"/>
              <w:spacing w:before="0" w:after="283"/>
              <w:jc w:val="left"/>
              <w:rPr/>
            </w:pPr>
            <w:r>
              <w:rPr/>
              <w:t> </w:t>
            </w:r>
          </w:p>
        </w:tc>
      </w:tr>
      <w:tr>
        <w:trPr/>
        <w:tc>
          <w:tcPr>
            <w:tcW w:w="72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0"/>
              <w:ind w:left="1080" w:right="0" w:hanging="1080"/>
              <w:jc w:val="left"/>
              <w:rPr/>
            </w:pPr>
            <w:hyperlink w:anchor="BS">
              <w:r>
                <w:rPr>
                  <w:rStyle w:val="InternetLink"/>
                  <w:rFonts w:ascii="Times New Roman" w:hAnsi="Times New Roman"/>
                  <w:sz w:val="24"/>
                </w:rPr>
                <w:t>Consolidated Balance Sheets</w:t>
              </w:r>
            </w:hyperlink>
          </w:p>
        </w:tc>
        <w:tc>
          <w:tcPr>
            <w:tcW w:w="485" w:type="dxa"/>
            <w:tcBorders/>
            <w:shd w:fill="CCEEFF" w:val="clear"/>
            <w:vAlign w:val="center"/>
          </w:tcPr>
          <w:p>
            <w:pPr>
              <w:pStyle w:val="TableContents"/>
              <w:bidi w:val="0"/>
              <w:spacing w:before="0" w:after="0"/>
              <w:jc w:val="center"/>
              <w:rPr/>
            </w:pPr>
            <w:hyperlink w:anchor="BS">
              <w:r>
                <w:rPr>
                  <w:rStyle w:val="InternetLink"/>
                  <w:rFonts w:ascii="Times New Roman" w:hAnsi="Times New Roman"/>
                  <w:sz w:val="24"/>
                </w:rPr>
                <w:t>F-4</w:t>
              </w:r>
            </w:hyperlink>
          </w:p>
        </w:tc>
      </w:tr>
      <w:tr>
        <w:trPr/>
        <w:tc>
          <w:tcPr>
            <w:tcW w:w="7220" w:type="dxa"/>
            <w:tcBorders/>
            <w:shd w:fill="FFFFFF" w:val="clear"/>
            <w:vAlign w:val="center"/>
          </w:tcPr>
          <w:p>
            <w:pPr>
              <w:pStyle w:val="TableContents"/>
              <w:bidi w:val="0"/>
              <w:spacing w:before="0" w:after="0"/>
              <w:ind w:left="1080" w:right="0" w:hanging="1080"/>
              <w:jc w:val="left"/>
              <w:rPr/>
            </w:pPr>
            <w:hyperlink w:anchor="IS">
              <w:r>
                <w:rPr>
                  <w:rStyle w:val="InternetLink"/>
                  <w:rFonts w:ascii="Times New Roman" w:hAnsi="Times New Roman"/>
                  <w:sz w:val="24"/>
                </w:rPr>
                <w:t>Consolidated Statements of Operations</w:t>
              </w:r>
            </w:hyperlink>
          </w:p>
        </w:tc>
        <w:tc>
          <w:tcPr>
            <w:tcW w:w="485" w:type="dxa"/>
            <w:tcBorders/>
            <w:shd w:fill="FFFFFF" w:val="clear"/>
            <w:vAlign w:val="center"/>
          </w:tcPr>
          <w:p>
            <w:pPr>
              <w:pStyle w:val="TableContents"/>
              <w:bidi w:val="0"/>
              <w:spacing w:before="0" w:after="0"/>
              <w:jc w:val="center"/>
              <w:rPr/>
            </w:pPr>
            <w:hyperlink w:anchor="IS">
              <w:r>
                <w:rPr>
                  <w:rStyle w:val="InternetLink"/>
                  <w:rFonts w:ascii="Times New Roman" w:hAnsi="Times New Roman"/>
                  <w:sz w:val="24"/>
                </w:rPr>
                <w:t>F-6</w:t>
              </w:r>
            </w:hyperlink>
          </w:p>
        </w:tc>
      </w:tr>
      <w:tr>
        <w:trPr/>
        <w:tc>
          <w:tcPr>
            <w:tcW w:w="7220" w:type="dxa"/>
            <w:tcBorders/>
            <w:shd w:fill="CCEEFF" w:val="clear"/>
            <w:vAlign w:val="center"/>
          </w:tcPr>
          <w:p>
            <w:pPr>
              <w:pStyle w:val="TableContents"/>
              <w:bidi w:val="0"/>
              <w:spacing w:before="0" w:after="0"/>
              <w:ind w:left="1080" w:right="0" w:hanging="1080"/>
              <w:jc w:val="left"/>
              <w:rPr/>
            </w:pPr>
            <w:hyperlink w:anchor="SCI">
              <w:r>
                <w:rPr>
                  <w:rStyle w:val="InternetLink"/>
                  <w:rFonts w:ascii="Times New Roman" w:hAnsi="Times New Roman"/>
                  <w:sz w:val="24"/>
                </w:rPr>
                <w:t>Consolidated Statements of Comprehensive Income</w:t>
              </w:r>
            </w:hyperlink>
          </w:p>
        </w:tc>
        <w:tc>
          <w:tcPr>
            <w:tcW w:w="485" w:type="dxa"/>
            <w:tcBorders/>
            <w:shd w:fill="CCEEFF" w:val="clear"/>
            <w:vAlign w:val="center"/>
          </w:tcPr>
          <w:p>
            <w:pPr>
              <w:pStyle w:val="TableContents"/>
              <w:bidi w:val="0"/>
              <w:spacing w:before="0" w:after="0"/>
              <w:jc w:val="center"/>
              <w:rPr/>
            </w:pPr>
            <w:hyperlink w:anchor="SCI">
              <w:r>
                <w:rPr>
                  <w:rStyle w:val="InternetLink"/>
                  <w:rFonts w:ascii="Times New Roman" w:hAnsi="Times New Roman"/>
                  <w:sz w:val="24"/>
                </w:rPr>
                <w:t>F-7</w:t>
              </w:r>
            </w:hyperlink>
          </w:p>
        </w:tc>
      </w:tr>
      <w:tr>
        <w:trPr/>
        <w:tc>
          <w:tcPr>
            <w:tcW w:w="7220" w:type="dxa"/>
            <w:tcBorders/>
            <w:shd w:fill="FFFFFF" w:val="clear"/>
            <w:vAlign w:val="center"/>
          </w:tcPr>
          <w:p>
            <w:pPr>
              <w:pStyle w:val="TableContents"/>
              <w:bidi w:val="0"/>
              <w:spacing w:before="0" w:after="0"/>
              <w:ind w:left="1080" w:right="0" w:hanging="1080"/>
              <w:jc w:val="left"/>
              <w:rPr/>
            </w:pPr>
            <w:hyperlink w:anchor="SCF">
              <w:r>
                <w:rPr>
                  <w:rStyle w:val="InternetLink"/>
                  <w:rFonts w:ascii="Times New Roman" w:hAnsi="Times New Roman"/>
                  <w:sz w:val="24"/>
                </w:rPr>
                <w:t>Consolidated Statements of Cash Flows</w:t>
              </w:r>
            </w:hyperlink>
          </w:p>
        </w:tc>
        <w:tc>
          <w:tcPr>
            <w:tcW w:w="485" w:type="dxa"/>
            <w:tcBorders/>
            <w:shd w:fill="FFFFFF" w:val="clear"/>
            <w:vAlign w:val="center"/>
          </w:tcPr>
          <w:p>
            <w:pPr>
              <w:pStyle w:val="TableContents"/>
              <w:bidi w:val="0"/>
              <w:spacing w:before="0" w:after="0"/>
              <w:jc w:val="center"/>
              <w:rPr/>
            </w:pPr>
            <w:hyperlink w:anchor="SCF">
              <w:r>
                <w:rPr>
                  <w:rStyle w:val="InternetLink"/>
                  <w:rFonts w:ascii="Times New Roman" w:hAnsi="Times New Roman"/>
                  <w:sz w:val="24"/>
                </w:rPr>
                <w:t>F-8</w:t>
              </w:r>
            </w:hyperlink>
          </w:p>
        </w:tc>
      </w:tr>
      <w:tr>
        <w:trPr/>
        <w:tc>
          <w:tcPr>
            <w:tcW w:w="7220" w:type="dxa"/>
            <w:tcBorders/>
            <w:shd w:fill="CCEEFF" w:val="clear"/>
            <w:vAlign w:val="center"/>
          </w:tcPr>
          <w:p>
            <w:pPr>
              <w:pStyle w:val="TableContents"/>
              <w:bidi w:val="0"/>
              <w:spacing w:before="0" w:after="0"/>
              <w:ind w:left="1080" w:right="0" w:hanging="1080"/>
              <w:jc w:val="left"/>
              <w:rPr/>
            </w:pPr>
            <w:hyperlink w:anchor="SSE">
              <w:r>
                <w:rPr>
                  <w:rStyle w:val="InternetLink"/>
                  <w:rFonts w:ascii="Times New Roman" w:hAnsi="Times New Roman"/>
                  <w:sz w:val="24"/>
                </w:rPr>
                <w:t>Consolidated Statements of Stockholders’ Equity</w:t>
              </w:r>
            </w:hyperlink>
          </w:p>
        </w:tc>
        <w:tc>
          <w:tcPr>
            <w:tcW w:w="485" w:type="dxa"/>
            <w:tcBorders/>
            <w:shd w:fill="CCEEFF" w:val="clear"/>
            <w:vAlign w:val="center"/>
          </w:tcPr>
          <w:p>
            <w:pPr>
              <w:pStyle w:val="TableContents"/>
              <w:bidi w:val="0"/>
              <w:spacing w:before="0" w:after="0"/>
              <w:jc w:val="center"/>
              <w:rPr/>
            </w:pPr>
            <w:hyperlink w:anchor="SSE">
              <w:r>
                <w:rPr>
                  <w:rStyle w:val="InternetLink"/>
                  <w:rFonts w:ascii="Times New Roman" w:hAnsi="Times New Roman"/>
                  <w:sz w:val="24"/>
                </w:rPr>
                <w:t>F-9</w:t>
              </w:r>
            </w:hyperlink>
          </w:p>
        </w:tc>
      </w:tr>
      <w:tr>
        <w:trPr/>
        <w:tc>
          <w:tcPr>
            <w:tcW w:w="7220" w:type="dxa"/>
            <w:tcBorders/>
            <w:shd w:fill="FFFFFF" w:val="clear"/>
            <w:vAlign w:val="center"/>
          </w:tcPr>
          <w:p>
            <w:pPr>
              <w:pStyle w:val="TableContents"/>
              <w:bidi w:val="0"/>
              <w:spacing w:before="0" w:after="0"/>
              <w:ind w:left="1080" w:right="0" w:hanging="1080"/>
              <w:jc w:val="left"/>
              <w:rPr/>
            </w:pPr>
            <w:hyperlink w:anchor="Notes">
              <w:r>
                <w:rPr>
                  <w:rStyle w:val="InternetLink"/>
                  <w:rFonts w:ascii="Times New Roman" w:hAnsi="Times New Roman"/>
                  <w:sz w:val="24"/>
                </w:rPr>
                <w:t>Notes to the Consolidated Financial Statements</w:t>
              </w:r>
            </w:hyperlink>
          </w:p>
        </w:tc>
        <w:tc>
          <w:tcPr>
            <w:tcW w:w="485" w:type="dxa"/>
            <w:tcBorders/>
            <w:shd w:fill="FFFFFF" w:val="clear"/>
            <w:vAlign w:val="center"/>
          </w:tcPr>
          <w:p>
            <w:pPr>
              <w:pStyle w:val="TableContents"/>
              <w:bidi w:val="0"/>
              <w:spacing w:before="0" w:after="0"/>
              <w:jc w:val="center"/>
              <w:rPr/>
            </w:pPr>
            <w:hyperlink w:anchor="Notes">
              <w:r>
                <w:rPr>
                  <w:rStyle w:val="InternetLink"/>
                  <w:rFonts w:ascii="Times New Roman" w:hAnsi="Times New Roman"/>
                  <w:sz w:val="24"/>
                </w:rPr>
                <w:t>F-10</w:t>
              </w:r>
            </w:hyperlink>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8"/>
          <w:shd w:fill="FFFFFF" w:val="clear"/>
        </w:rPr>
      </w:pPr>
      <w:bookmarkStart w:id="41" w:name="ReportofIndependentRegist"/>
      <w:bookmarkEnd w:id="41"/>
      <w:r>
        <w:rPr>
          <w:rFonts w:ascii="Times New Roman" w:hAnsi="Times New Roman"/>
          <w:b/>
          <w:color w:val="000000"/>
          <w:sz w:val="28"/>
          <w:shd w:fill="FFFFFF" w:val="clear"/>
        </w:rPr>
        <w:t>Report of Independent Registered Public Accounting Firm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To the Stockholders and the Board of Directors of Vishay Intertechnology,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Opinion on the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We have audited the accompanying consolidated balance sheets of Vishay Intertechnology, Inc. (the Company) as of December 31, 2023 and 2022, and the related consolidated statements of operations,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16, 2024 expressed an unqualified opinion thereon.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Basis for Opinion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shd w:fill="FFFFFF" w:val="clear"/>
        </w:rPr>
      </w:pPr>
      <w:r>
        <w:rPr>
          <w:rFonts w:ascii="Times New Roman" w:hAnsi="Times New Roman"/>
          <w:b/>
          <w:color w:val="000000"/>
          <w:sz w:val="24"/>
          <w:shd w:fill="FFFFFF" w:val="clear"/>
        </w:rPr>
        <w:t>Critical Audit Matter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20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434"/>
        <w:gridCol w:w="60"/>
        <w:gridCol w:w="8711"/>
      </w:tblGrid>
      <w:tr>
        <w:trPr/>
        <w:tc>
          <w:tcPr>
            <w:tcW w:w="1494" w:type="dxa"/>
            <w:gridSpan w:val="2"/>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0"/>
              <w:ind w:left="0" w:right="70" w:hanging="0"/>
              <w:jc w:val="left"/>
              <w:rPr>
                <w:rFonts w:ascii="Times New Roman" w:hAnsi="Times New Roman"/>
                <w:b/>
                <w:i/>
                <w:sz w:val="24"/>
              </w:rPr>
            </w:pPr>
            <w:r>
              <w:rPr>
                <w:rFonts w:ascii="Times New Roman" w:hAnsi="Times New Roman"/>
                <w:b/>
                <w:i/>
                <w:sz w:val="24"/>
              </w:rPr>
              <w:t>Sales Returns and Allowances Accruals</w:t>
            </w:r>
          </w:p>
        </w:tc>
      </w:tr>
      <w:tr>
        <w:trPr/>
        <w:tc>
          <w:tcPr>
            <w:tcW w:w="1434"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Description of the Matter</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0"/>
              <w:ind w:left="0" w:right="70" w:hanging="0"/>
              <w:jc w:val="both"/>
              <w:rPr>
                <w:rFonts w:ascii="Times New Roman;Times;serif" w:hAnsi="Times New Roman;Times;serif"/>
                <w:sz w:val="24"/>
              </w:rPr>
            </w:pPr>
            <w:r>
              <w:rPr>
                <w:rFonts w:ascii="Times New Roman;Times;serif" w:hAnsi="Times New Roman;Times;serif"/>
                <w:sz w:val="24"/>
              </w:rPr>
              <w:t>At December 31, 2023, the Company’s liability for sales returns and allowances was $47.8 million. As discussed in Note 1 of the consolidated financial statements, the Company recognizes the estimated variable consideration to be received as revenue from contracts with customers and recognizes a related accrued liability for estimated future credits that will be issued to its customers, primarily distributors, for product returns, scrap allowance, “stock, ship and debit”, and price protection programs with those customers.</w:t>
            </w:r>
          </w:p>
          <w:p>
            <w:pPr>
              <w:pStyle w:val="TableContents"/>
              <w:bidi w:val="0"/>
              <w:spacing w:before="0" w:after="0"/>
              <w:jc w:val="both"/>
              <w:rPr/>
            </w:pPr>
            <w:r>
              <w:rPr/>
            </w:r>
          </w:p>
          <w:p>
            <w:pPr>
              <w:pStyle w:val="TableContents"/>
              <w:bidi w:val="0"/>
              <w:spacing w:before="0" w:after="0"/>
              <w:jc w:val="both"/>
              <w:rPr>
                <w:rFonts w:ascii="Times New Roman" w:hAnsi="Times New Roman"/>
                <w:sz w:val="24"/>
              </w:rPr>
            </w:pPr>
            <w:r>
              <w:rPr>
                <w:rFonts w:ascii="Times New Roman" w:hAnsi="Times New Roman"/>
                <w:sz w:val="24"/>
              </w:rPr>
              <w:t xml:space="preserve">Auditing management’s sales returns and allowances accruals specifically related to the scrap allowance and “stock, ship and debit” programs was especially challenging because of the judgement used by management to determine the amount of future credits that will be issued to customers for sales that were recognized during the period. Estimating the scrap allowance and "stock, ship and debit" accrual involves the application of models which require management to make certain assumptions including historical customer credit rates. </w:t>
            </w:r>
          </w:p>
          <w:p>
            <w:pPr>
              <w:pStyle w:val="TableContents"/>
              <w:bidi w:val="0"/>
              <w:spacing w:before="0" w:after="0"/>
              <w:jc w:val="both"/>
              <w:rPr/>
            </w:pPr>
            <w:r>
              <w:rPr/>
            </w:r>
          </w:p>
        </w:tc>
      </w:tr>
      <w:tr>
        <w:trPr/>
        <w:tc>
          <w:tcPr>
            <w:tcW w:w="1434"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How We Addressed the Matter in Our Audit</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0"/>
              <w:ind w:left="0" w:right="70" w:hanging="0"/>
              <w:jc w:val="both"/>
              <w:rPr>
                <w:rFonts w:ascii="Times New Roman;Times;serif" w:hAnsi="Times New Roman;Times;serif"/>
                <w:sz w:val="24"/>
              </w:rPr>
            </w:pPr>
            <w:r>
              <w:rPr>
                <w:rFonts w:ascii="Times New Roman;Times;serif" w:hAnsi="Times New Roman;Times;serif"/>
                <w:sz w:val="24"/>
              </w:rPr>
              <w:t>We obtained an understanding, evaluated the design and tested the operating effectiveness of controls over the Company’s sales returns and allowances review process for the scrap allowance and “stock, ship and debit” programs, including testing controls over management’s review of the reserve calculation and the underlying assumptions used to develop the estimates.</w:t>
            </w:r>
          </w:p>
          <w:p>
            <w:pPr>
              <w:pStyle w:val="TableContents"/>
              <w:bidi w:val="0"/>
              <w:spacing w:before="0" w:after="0"/>
              <w:jc w:val="both"/>
              <w:rPr/>
            </w:pPr>
            <w:r>
              <w:rPr/>
            </w:r>
          </w:p>
          <w:p>
            <w:pPr>
              <w:pStyle w:val="TableContents"/>
              <w:bidi w:val="0"/>
              <w:spacing w:before="0" w:after="200"/>
              <w:jc w:val="both"/>
              <w:rPr>
                <w:rFonts w:ascii="Times New Roman;Times;serif" w:hAnsi="Times New Roman;Times;serif"/>
                <w:sz w:val="24"/>
              </w:rPr>
            </w:pPr>
            <w:r>
              <w:rPr>
                <w:rFonts w:ascii="Times New Roman;Times;serif" w:hAnsi="Times New Roman;Times;serif"/>
                <w:sz w:val="24"/>
              </w:rPr>
              <w:t>To test the estimated sales returns and allowances accruals for the scrap allowance and “stock, ship and debit” programs, we performed audit procedures that included, among others, assessing methodologies and testing the assumptions discussed above and the completeness and accuracy of the underlying data used by the Company in its analyses. We inspected contracts with customers in evaluating whether the assumptions used by management agreed with the terms and conditions of the contracts. In addition, we compared the assumptions used by management to actual historical credit experience. We also assessed the historical accuracy of management’s estimates and performed sensitivity analyses of significant assumptions to evaluate the changes in the accruals that would result from changes in the assumptions.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 Ernst &amp; Young LLP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We have served as the Company's auditor since 1968.</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Philadelphia, Pennsylvania</w:t>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February 16, 2024</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bookmarkStart w:id="42" w:name="BS"/>
      <w:bookmarkEnd w:id="42"/>
      <w:r>
        <w:rPr>
          <w:rFonts w:ascii="Times New Roman" w:hAnsi="Times New Roman"/>
          <w:color w:val="000000"/>
          <w:sz w:val="24"/>
          <w:shd w:fill="FFFFFF" w:val="clear"/>
        </w:rPr>
        <w:t>Consolidated Balance Sheets</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 except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138"/>
        <w:gridCol w:w="60"/>
        <w:gridCol w:w="160"/>
        <w:gridCol w:w="1210"/>
        <w:gridCol w:w="95"/>
        <w:gridCol w:w="60"/>
        <w:gridCol w:w="160"/>
        <w:gridCol w:w="1210"/>
        <w:gridCol w:w="112"/>
      </w:tblGrid>
      <w:tr>
        <w:trPr/>
        <w:tc>
          <w:tcPr>
            <w:tcW w:w="7138"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2" w:type="dxa"/>
            <w:tcBorders/>
            <w:vAlign w:val="bottom"/>
          </w:tcPr>
          <w:p>
            <w:pPr>
              <w:pStyle w:val="TableContents"/>
              <w:bidi w:val="0"/>
              <w:spacing w:before="0" w:after="283"/>
              <w:jc w:val="left"/>
              <w:rPr/>
            </w:pPr>
            <w:r>
              <w:rPr/>
              <w:t> </w:t>
            </w:r>
          </w:p>
        </w:tc>
      </w:tr>
      <w:tr>
        <w:trPr/>
        <w:tc>
          <w:tcPr>
            <w:tcW w:w="7138"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138" w:type="dxa"/>
            <w:tcBorders/>
            <w:vAlign w:val="bottom"/>
          </w:tcPr>
          <w:p>
            <w:pPr>
              <w:pStyle w:val="TableContents"/>
              <w:bidi w:val="0"/>
              <w:spacing w:before="0" w:after="0"/>
              <w:ind w:left="180" w:right="0" w:hanging="180"/>
              <w:jc w:val="left"/>
              <w:rPr>
                <w:rFonts w:ascii="Times New Roman" w:hAnsi="Times New Roman"/>
                <w:b/>
                <w:sz w:val="24"/>
              </w:rPr>
            </w:pPr>
            <w:r>
              <w:rPr>
                <w:rFonts w:ascii="Times New Roman" w:hAnsi="Times New Roman"/>
                <w:b/>
                <w:sz w:val="24"/>
              </w:rPr>
              <w:t>Assets</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13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Current assets:</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Cash and cash equivalents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sz w:val="24"/>
              </w:rPr>
            </w:pPr>
            <w:r>
              <w:rPr>
                <w:sz w:val="24"/>
              </w:rPr>
              <w:t>$</w:t>
            </w:r>
          </w:p>
        </w:tc>
        <w:tc>
          <w:tcPr>
            <w:tcW w:w="1210" w:type="dxa"/>
            <w:tcBorders/>
            <w:shd w:fill="CCEEFF" w:val="clear"/>
            <w:vAlign w:val="bottom"/>
          </w:tcPr>
          <w:p>
            <w:pPr>
              <w:pStyle w:val="TableContents"/>
              <w:bidi w:val="0"/>
              <w:spacing w:before="0" w:after="283"/>
              <w:jc w:val="right"/>
              <w:rPr>
                <w:b/>
                <w:sz w:val="24"/>
              </w:rPr>
            </w:pPr>
            <w:r>
              <w:rPr>
                <w:b/>
                <w:sz w:val="24"/>
              </w:rPr>
              <w:t>972,719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610,825</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Short-term investments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35,808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305,272</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0"/>
              <w:jc w:val="left"/>
              <w:rPr>
                <w:rFonts w:ascii="Times New Roman" w:hAnsi="Times New Roman"/>
                <w:sz w:val="24"/>
              </w:rPr>
            </w:pPr>
            <w:r>
              <w:rPr>
                <w:rFonts w:ascii="Times New Roman" w:hAnsi="Times New Roman"/>
                <w:sz w:val="24"/>
              </w:rPr>
              <w:t>Accounts receivable, net of allowances for credit losses of $1,705 and $1,324, respectively</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426,674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416,178</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Inventories: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540" w:right="0" w:hanging="180"/>
              <w:jc w:val="left"/>
              <w:rPr>
                <w:rFonts w:ascii="Times New Roman" w:hAnsi="Times New Roman"/>
                <w:sz w:val="24"/>
              </w:rPr>
            </w:pPr>
            <w:r>
              <w:rPr>
                <w:rFonts w:ascii="Times New Roman" w:hAnsi="Times New Roman"/>
                <w:sz w:val="24"/>
              </w:rPr>
              <w:t>Finished goods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167,083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156,234</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540" w:right="0" w:hanging="180"/>
              <w:jc w:val="left"/>
              <w:rPr>
                <w:rFonts w:ascii="Times New Roman" w:hAnsi="Times New Roman"/>
                <w:sz w:val="24"/>
              </w:rPr>
            </w:pPr>
            <w:r>
              <w:rPr>
                <w:rFonts w:ascii="Times New Roman" w:hAnsi="Times New Roman"/>
                <w:sz w:val="24"/>
              </w:rPr>
              <w:t>Work in process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267,339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261,345</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540" w:right="0" w:hanging="180"/>
              <w:jc w:val="left"/>
              <w:rPr>
                <w:rFonts w:ascii="Times New Roman" w:hAnsi="Times New Roman"/>
                <w:sz w:val="24"/>
              </w:rPr>
            </w:pPr>
            <w:r>
              <w:rPr>
                <w:rFonts w:ascii="Times New Roman" w:hAnsi="Times New Roman"/>
                <w:sz w:val="24"/>
              </w:rPr>
              <w:t>Raw materials</w:t>
            </w:r>
          </w:p>
        </w:tc>
        <w:tc>
          <w:tcPr>
            <w:tcW w:w="60" w:type="dxa"/>
            <w:tcBorders/>
            <w:shd w:fill="FFFFFF" w:val="clear"/>
            <w:vAlign w:val="bottom"/>
          </w:tcPr>
          <w:p>
            <w:pPr>
              <w:pStyle w:val="TableContents"/>
              <w:bidi w:val="0"/>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213,098</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201,300</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Total inventories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647,520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618,879</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214,443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170,056</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Total current assets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2,297,164</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2,121,210</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Property and equipment, at cost:</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pPr>
            <w:r>
              <w:rPr/>
              <w:t> </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Land</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77,006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75,907</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Buildings and improvements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719,387</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658,829</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Machinery and equipment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3,053,868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2,857,636</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Construction in progress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290,593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243,038</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Allowance for depreciation</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(2,846,208</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(2,704,951</w:t>
            </w:r>
          </w:p>
        </w:tc>
        <w:tc>
          <w:tcPr>
            <w:tcW w:w="11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Property and equipment, net</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1,294,646</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1,130,459</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Right of use assets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b/>
                <w:sz w:val="24"/>
              </w:rPr>
            </w:pPr>
            <w:r>
              <w:rPr>
                <w:b/>
                <w:sz w:val="24"/>
              </w:rPr>
              <w:t>126,829</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131,193</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Deferred income taxes</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137,394</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sz w:val="24"/>
              </w:rPr>
            </w:pPr>
            <w:r>
              <w:rPr>
                <w:sz w:val="24"/>
              </w:rPr>
              <w:t>104,667</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Goodwill</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283"/>
              <w:jc w:val="right"/>
              <w:rPr>
                <w:b/>
                <w:sz w:val="24"/>
              </w:rPr>
            </w:pPr>
            <w:r>
              <w:rPr>
                <w:b/>
                <w:sz w:val="24"/>
              </w:rPr>
              <w:t>201,416</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201,432</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Other intangible assets, net</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72,333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shd w:fill="FFFFFF" w:val="clear"/>
            <w:vAlign w:val="bottom"/>
          </w:tcPr>
          <w:p>
            <w:pPr>
              <w:pStyle w:val="TableContents"/>
              <w:bidi w:val="0"/>
              <w:spacing w:before="0" w:after="283"/>
              <w:jc w:val="left"/>
              <w:rPr/>
            </w:pPr>
            <w:r>
              <w:rPr/>
              <w:t> </w:t>
            </w:r>
          </w:p>
        </w:tc>
        <w:tc>
          <w:tcPr>
            <w:tcW w:w="121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77,896</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38" w:type="dxa"/>
            <w:tcBorders/>
            <w:shd w:fill="FFFF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Other assets</w:t>
            </w:r>
          </w:p>
        </w:tc>
        <w:tc>
          <w:tcPr>
            <w:tcW w:w="60" w:type="dxa"/>
            <w:tcBorders/>
            <w:shd w:fill="FFFFFF" w:val="clear"/>
            <w:vAlign w:val="bottom"/>
          </w:tcPr>
          <w:p>
            <w:pPr>
              <w:pStyle w:val="TableContents"/>
              <w:bidi w:val="0"/>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110,141</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bottom"/>
          </w:tcPr>
          <w:p>
            <w:pPr>
              <w:pStyle w:val="TableContents"/>
              <w:bidi w:val="0"/>
              <w:spacing w:before="0" w:after="283"/>
              <w:jc w:val="right"/>
              <w:rPr>
                <w:sz w:val="24"/>
              </w:rPr>
            </w:pPr>
            <w:r>
              <w:rPr>
                <w:sz w:val="24"/>
              </w:rPr>
              <w:t>98,796</w:t>
            </w:r>
          </w:p>
        </w:tc>
        <w:tc>
          <w:tcPr>
            <w:tcW w:w="112" w:type="dxa"/>
            <w:tcBorders/>
            <w:shd w:fill="FFFFFF" w:val="clear"/>
            <w:vAlign w:val="bottom"/>
          </w:tcPr>
          <w:p>
            <w:pPr>
              <w:pStyle w:val="TableContents"/>
              <w:bidi w:val="0"/>
              <w:spacing w:before="0" w:after="283"/>
              <w:jc w:val="left"/>
              <w:rPr/>
            </w:pPr>
            <w:r>
              <w:rPr/>
              <w:t> </w:t>
            </w:r>
          </w:p>
        </w:tc>
      </w:tr>
      <w:tr>
        <w:trPr/>
        <w:tc>
          <w:tcPr>
            <w:tcW w:w="7138" w:type="dxa"/>
            <w:tcBorders/>
            <w:shd w:fill="CCEEFF" w:val="clear"/>
            <w:vAlign w:val="bottom"/>
          </w:tcPr>
          <w:p>
            <w:pPr>
              <w:pStyle w:val="TableContents"/>
              <w:bidi w:val="0"/>
              <w:spacing w:before="0" w:after="0"/>
              <w:ind w:left="540" w:right="0" w:hanging="180"/>
              <w:jc w:val="left"/>
              <w:rPr>
                <w:rFonts w:ascii="Times New Roman" w:hAnsi="Times New Roman"/>
                <w:sz w:val="24"/>
              </w:rPr>
            </w:pPr>
            <w:r>
              <w:rPr>
                <w:rFonts w:ascii="Times New Roman" w:hAnsi="Times New Roman"/>
                <w:sz w:val="24"/>
              </w:rPr>
              <w:t>Total assets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4,239,923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3,865,653</w:t>
            </w:r>
          </w:p>
        </w:tc>
        <w:tc>
          <w:tcPr>
            <w:tcW w:w="11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Continues on following page.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Consolidated Balance Sheets (continued)</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 except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308"/>
        <w:gridCol w:w="60"/>
        <w:gridCol w:w="160"/>
        <w:gridCol w:w="1125"/>
        <w:gridCol w:w="95"/>
        <w:gridCol w:w="60"/>
        <w:gridCol w:w="160"/>
        <w:gridCol w:w="1125"/>
        <w:gridCol w:w="112"/>
      </w:tblGrid>
      <w:tr>
        <w:trPr/>
        <w:tc>
          <w:tcPr>
            <w:tcW w:w="73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2" w:type="dxa"/>
            <w:tcBorders/>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Liabilities and equity</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Current liabilities:</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Trade accounts payable</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191,002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189,099</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Payroll and related expenses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161,940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166,079</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Lease liabilities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26,485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25,319</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Other accrued expenses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239,350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261,606</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Income taxes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73,098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84,155</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Total current liabilities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691,875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726,258</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Long-term debt, less current portion</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818,188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500,937</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U.S. transition tax payable</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47,027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83,010</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Deferred income taxes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95,776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117,183</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Long-term lease liabilities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102,830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108,493</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Other liabilities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87,918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92,530</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Accrued pension and other postretirement costs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195,503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187,092</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Total liabilities</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2,039,117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1,815,503</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Commitments and contingencies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Stockholders' equity:</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0"/>
              <w:jc w:val="left"/>
              <w:rPr>
                <w:rFonts w:ascii="Times New Roman" w:hAnsi="Times New Roman"/>
                <w:sz w:val="24"/>
              </w:rPr>
            </w:pPr>
            <w:r>
              <w:rPr>
                <w:rFonts w:ascii="Times New Roman" w:hAnsi="Times New Roman"/>
                <w:sz w:val="24"/>
              </w:rPr>
              <w:t>Preferred stock, par value $1.00 per share: authorized - 1,000,000 shares; zero issued</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360" w:right="0" w:hanging="0"/>
              <w:jc w:val="left"/>
              <w:rPr>
                <w:rFonts w:ascii="Times New Roman" w:hAnsi="Times New Roman"/>
                <w:sz w:val="24"/>
              </w:rPr>
            </w:pPr>
            <w:r>
              <w:rPr>
                <w:rFonts w:ascii="Times New Roman" w:hAnsi="Times New Roman"/>
                <w:sz w:val="24"/>
              </w:rPr>
              <w:t>Common stock, par value $0.10 per share: authorized - 300,000,000 shares; 133,187,901 and 132,911,771 shares outstanding</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13,319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13,291</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0"/>
              <w:jc w:val="left"/>
              <w:rPr>
                <w:rFonts w:ascii="Times New Roman" w:hAnsi="Times New Roman"/>
                <w:sz w:val="24"/>
              </w:rPr>
            </w:pPr>
            <w:r>
              <w:rPr>
                <w:rFonts w:ascii="Times New Roman" w:hAnsi="Times New Roman"/>
                <w:sz w:val="24"/>
              </w:rPr>
              <w:t>Class B convertible common stock, par value $0.10 per share: authorized - 40,000,000 shares; 12,097,148 shares outstanding</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1,210</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Capital in excess of par value</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1,291,499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1,352,321</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Retained earnings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1,041,372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773,228</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283"/>
              <w:jc w:val="left"/>
              <w:rPr/>
            </w:pPr>
            <w:r>
              <w:rPr/>
              <w:t xml:space="preserve">    </w:t>
            </w:r>
            <w:r>
              <w:rPr>
                <w:sz w:val="24"/>
              </w:rPr>
              <w:t>Treasury stock (at cost): 7,535,881 and 4,240,573 common shares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sz w:val="24"/>
              </w:rPr>
            </w:pPr>
            <w:r>
              <w:rPr>
                <w:b/>
                <w:sz w:val="24"/>
              </w:rPr>
              <w:t>(161,656</w:t>
            </w:r>
          </w:p>
        </w:tc>
        <w:tc>
          <w:tcPr>
            <w:tcW w:w="95" w:type="dxa"/>
            <w:tcBorders/>
            <w:vAlign w:val="bottom"/>
          </w:tcPr>
          <w:p>
            <w:pPr>
              <w:pStyle w:val="TableContents"/>
              <w:bidi w:val="0"/>
              <w:spacing w:before="0" w:after="283"/>
              <w:jc w:val="left"/>
              <w:rPr>
                <w:b/>
                <w:sz w:val="24"/>
              </w:rPr>
            </w:pPr>
            <w:r>
              <w:rPr>
                <w:b/>
                <w:sz w:val="24"/>
              </w:rPr>
              <w: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sz w:val="24"/>
              </w:rPr>
            </w:pPr>
            <w:r>
              <w:rPr>
                <w:sz w:val="24"/>
              </w:rPr>
              <w:t>(82,972</w:t>
            </w:r>
          </w:p>
        </w:tc>
        <w:tc>
          <w:tcPr>
            <w:tcW w:w="112" w:type="dxa"/>
            <w:tcBorders/>
            <w:vAlign w:val="bottom"/>
          </w:tcPr>
          <w:p>
            <w:pPr>
              <w:pStyle w:val="TableContents"/>
              <w:bidi w:val="0"/>
              <w:spacing w:before="0" w:after="283"/>
              <w:jc w:val="left"/>
              <w:rPr>
                <w:sz w:val="24"/>
              </w:rPr>
            </w:pPr>
            <w:r>
              <w:rPr>
                <w:sz w:val="24"/>
              </w:rPr>
              <w:t>)</w:t>
            </w:r>
          </w:p>
        </w:tc>
      </w:tr>
      <w:tr>
        <w:trPr/>
        <w:tc>
          <w:tcPr>
            <w:tcW w:w="7308" w:type="dxa"/>
            <w:tcBorders/>
            <w:shd w:fill="CCEEFF" w:val="clear"/>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Accumulated other comprehensive income (loss)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10,337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(10,827</w:t>
            </w:r>
          </w:p>
        </w:tc>
        <w:tc>
          <w:tcPr>
            <w:tcW w:w="11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7308" w:type="dxa"/>
            <w:tcBorders/>
            <w:vAlign w:val="bottom"/>
          </w:tcPr>
          <w:p>
            <w:pPr>
              <w:pStyle w:val="TableContents"/>
              <w:bidi w:val="0"/>
              <w:spacing w:before="0" w:after="0"/>
              <w:ind w:left="360" w:right="0" w:hanging="180"/>
              <w:jc w:val="left"/>
              <w:rPr>
                <w:rFonts w:ascii="Times New Roman" w:hAnsi="Times New Roman"/>
                <w:sz w:val="24"/>
              </w:rPr>
            </w:pPr>
            <w:r>
              <w:rPr>
                <w:rFonts w:ascii="Times New Roman" w:hAnsi="Times New Roman"/>
                <w:sz w:val="24"/>
              </w:rPr>
              <w:t>Total Vishay stockholders' equity</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2,196,081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2,046,251</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Noncontrolling interests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3,899</w:t>
            </w:r>
          </w:p>
        </w:tc>
        <w:tc>
          <w:tcPr>
            <w:tcW w:w="112" w:type="dxa"/>
            <w:tcBorders/>
            <w:shd w:fill="CCEEFF" w:val="clear"/>
            <w:vAlign w:val="bottom"/>
          </w:tcPr>
          <w:p>
            <w:pPr>
              <w:pStyle w:val="TableContents"/>
              <w:bidi w:val="0"/>
              <w:spacing w:before="0" w:after="283"/>
              <w:jc w:val="left"/>
              <w:rPr/>
            </w:pPr>
            <w:r>
              <w:rPr/>
              <w:t> </w:t>
            </w:r>
          </w:p>
        </w:tc>
      </w:tr>
      <w:tr>
        <w:trPr/>
        <w:tc>
          <w:tcPr>
            <w:tcW w:w="7308"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Total equity</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2,200,806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2,050,150</w:t>
            </w:r>
          </w:p>
        </w:tc>
        <w:tc>
          <w:tcPr>
            <w:tcW w:w="112" w:type="dxa"/>
            <w:tcBorders/>
            <w:vAlign w:val="bottom"/>
          </w:tcPr>
          <w:p>
            <w:pPr>
              <w:pStyle w:val="TableContents"/>
              <w:bidi w:val="0"/>
              <w:spacing w:before="0" w:after="283"/>
              <w:jc w:val="left"/>
              <w:rPr/>
            </w:pPr>
            <w:r>
              <w:rPr/>
              <w:t> </w:t>
            </w:r>
          </w:p>
        </w:tc>
      </w:tr>
      <w:tr>
        <w:trPr/>
        <w:tc>
          <w:tcPr>
            <w:tcW w:w="7308"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Total liabilities and equity</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12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4,239,923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2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3,865,653</w:t>
            </w:r>
          </w:p>
        </w:tc>
        <w:tc>
          <w:tcPr>
            <w:tcW w:w="11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See accompanying notes.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F-5</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bookmarkStart w:id="43" w:name="IS"/>
      <w:bookmarkEnd w:id="43"/>
      <w:r>
        <w:rPr>
          <w:rFonts w:ascii="Times New Roman" w:hAnsi="Times New Roman"/>
          <w:color w:val="000000"/>
          <w:sz w:val="24"/>
          <w:shd w:fill="FFFFFF" w:val="clear"/>
        </w:rPr>
        <w:t>Consolidated Statements of Operations</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9740" w:type="dxa"/>
        <w:jc w:val="left"/>
        <w:tblInd w:w="0" w:type="dxa"/>
        <w:tblLayout w:type="fixed"/>
        <w:tblCellMar>
          <w:top w:w="0" w:type="dxa"/>
          <w:left w:w="0" w:type="dxa"/>
          <w:bottom w:w="0" w:type="dxa"/>
          <w:right w:w="0" w:type="dxa"/>
        </w:tblCellMar>
      </w:tblPr>
      <w:tblGrid>
        <w:gridCol w:w="5900"/>
        <w:gridCol w:w="60"/>
        <w:gridCol w:w="140"/>
        <w:gridCol w:w="980"/>
        <w:gridCol w:w="95"/>
        <w:gridCol w:w="60"/>
        <w:gridCol w:w="140"/>
        <w:gridCol w:w="980"/>
        <w:gridCol w:w="95"/>
        <w:gridCol w:w="60"/>
        <w:gridCol w:w="140"/>
        <w:gridCol w:w="980"/>
        <w:gridCol w:w="110"/>
      </w:tblGrid>
      <w:tr>
        <w:trPr/>
        <w:tc>
          <w:tcPr>
            <w:tcW w:w="59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Costs of products sold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2,427,552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2,438,412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2,352,574</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974,493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1,058,989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887,913</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Selling,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488,349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443,503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420,111</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Operating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486,144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615,486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467,802</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income (expense):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Interest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(25,131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(17,129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(17,538</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90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25,263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(4,852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(15,654</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900" w:type="dxa"/>
            <w:tcBorders/>
            <w:shd w:fill="CCEEFF" w:val="clear"/>
            <w:vAlign w:val="bottom"/>
          </w:tcPr>
          <w:p>
            <w:pPr>
              <w:pStyle w:val="TableContents"/>
              <w:bidi w:val="0"/>
              <w:spacing w:before="0" w:after="0"/>
              <w:ind w:left="144" w:right="0" w:hanging="144"/>
              <w:jc w:val="left"/>
              <w:rPr/>
            </w:pPr>
            <w:r>
              <w:rPr/>
              <w:t>   </w:t>
            </w:r>
            <w:r>
              <w:rPr>
                <w:rFonts w:ascii="Times New Roman" w:hAnsi="Times New Roman"/>
                <w:sz w:val="24"/>
              </w:rPr>
              <w:t>Loss on early extinguishment of debt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(18,874</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pPr>
            <w:r>
              <w:rPr/>
              <w:t>        </w:t>
            </w:r>
            <w:r>
              <w:rPr>
                <w:rFonts w:ascii="Times New Roman" w:hAnsi="Times New Roman"/>
                <w:sz w:val="24"/>
              </w:rPr>
              <w:t>Total other income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(18,742</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(21,981</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(33,192</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Income before taxes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467,402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593,505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434,610</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Income tax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141,889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163,022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135,673</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325,513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430,483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298,937</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Less: net earnings attributable to noncontrolling interests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1,693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967</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earnings attributable to Vishay stockholders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323,820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428,810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297,970</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Basic earnings per share attributable to Vishay stockholders: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2.05</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Diluted earnings per share attributable to Vishay stockholders: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2.05</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Weighted average shares outstanding - basic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139,447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143,399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145,005</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Weighted average shares outstanding - diluted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140,246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143,915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145,495</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dividends per share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0.385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See accompanying notes.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F-6</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bookmarkStart w:id="44" w:name="SCI"/>
      <w:bookmarkEnd w:id="44"/>
      <w:r>
        <w:rPr>
          <w:rFonts w:ascii="Times New Roman" w:hAnsi="Times New Roman"/>
          <w:color w:val="000000"/>
          <w:sz w:val="24"/>
          <w:shd w:fill="FFFFFF" w:val="clear"/>
        </w:rPr>
        <w:t>Consolidated Statements of Comprehensive Income</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9680" w:type="dxa"/>
        <w:jc w:val="left"/>
        <w:tblInd w:w="0" w:type="dxa"/>
        <w:tblLayout w:type="fixed"/>
        <w:tblCellMar>
          <w:top w:w="0" w:type="dxa"/>
          <w:left w:w="0" w:type="dxa"/>
          <w:bottom w:w="0" w:type="dxa"/>
          <w:right w:w="0" w:type="dxa"/>
        </w:tblCellMar>
      </w:tblPr>
      <w:tblGrid>
        <w:gridCol w:w="6380"/>
        <w:gridCol w:w="60"/>
        <w:gridCol w:w="140"/>
        <w:gridCol w:w="800"/>
        <w:gridCol w:w="95"/>
        <w:gridCol w:w="60"/>
        <w:gridCol w:w="140"/>
        <w:gridCol w:w="800"/>
        <w:gridCol w:w="95"/>
        <w:gridCol w:w="60"/>
        <w:gridCol w:w="140"/>
        <w:gridCol w:w="800"/>
        <w:gridCol w:w="110"/>
      </w:tblGrid>
      <w:tr>
        <w:trPr/>
        <w:tc>
          <w:tcPr>
            <w:tcW w:w="6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earnings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325,513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430,483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298,937</w:t>
            </w:r>
          </w:p>
        </w:tc>
        <w:tc>
          <w:tcPr>
            <w:tcW w:w="11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comprehensive income (loss), net of tax</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Pension and other post-retirement actuarial items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(7,001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51,310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18,167</w:t>
            </w:r>
          </w:p>
        </w:tc>
        <w:tc>
          <w:tcPr>
            <w:tcW w:w="11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Foreign currency translation adjustment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28,165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(41,885</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(51,978</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21,164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9,425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(33,811</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Comprehensive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346,677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439,908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265,126</w:t>
            </w:r>
          </w:p>
        </w:tc>
        <w:tc>
          <w:tcPr>
            <w:tcW w:w="11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Less: comprehensive income attributable to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967</w:t>
            </w:r>
          </w:p>
        </w:tc>
        <w:tc>
          <w:tcPr>
            <w:tcW w:w="11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Comprehensive income attributable to Vishay stockholders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344,984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438,235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264,159</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See accompanying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F-7</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bookmarkStart w:id="45" w:name="SCF"/>
      <w:bookmarkEnd w:id="45"/>
      <w:r>
        <w:rPr>
          <w:rFonts w:ascii="Times New Roman" w:hAnsi="Times New Roman"/>
          <w:color w:val="000000"/>
          <w:sz w:val="24"/>
          <w:shd w:fill="FFFFFF" w:val="clear"/>
        </w:rPr>
        <w:t>Consolidated Statements of Cash Flows</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680"/>
        <w:gridCol w:w="60"/>
        <w:gridCol w:w="140"/>
        <w:gridCol w:w="875"/>
        <w:gridCol w:w="95"/>
        <w:gridCol w:w="60"/>
        <w:gridCol w:w="140"/>
        <w:gridCol w:w="875"/>
        <w:gridCol w:w="95"/>
        <w:gridCol w:w="60"/>
        <w:gridCol w:w="140"/>
        <w:gridCol w:w="875"/>
        <w:gridCol w:w="110"/>
      </w:tblGrid>
      <w:tr>
        <w:trPr/>
        <w:tc>
          <w:tcPr>
            <w:tcW w:w="6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Operating activities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earnings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325,513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430,483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298,937</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Adjustments to reconcile net earnings to net cash provided by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184,373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163,991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167,037</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Gain on disposal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(554</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Inventory write-offs for obsolescence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37,426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26,898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20,657</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Pensions and other postretirement benefits, net of contributions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(9,559</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(615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2,106</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Stock compensation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16,532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6,545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6,605</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xml:space="preserve">   </w:t>
            </w:r>
            <w:r>
              <w:rPr>
                <w:sz w:val="24"/>
              </w:rPr>
              <w:t>Loss on early extinguishment of debt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sz w:val="24"/>
              </w:rPr>
            </w:pPr>
            <w:r>
              <w:rPr>
                <w:b/>
                <w:sz w:val="24"/>
              </w:rPr>
              <w:t>18,874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Deferred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36,783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38,677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50,613</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9,442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9,621</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Change in U.S. transition tax liability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(27,670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(14,757</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(14,757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Change in repatriation tax liability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(63,600</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(25,201</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 in operating assets and liabilities, net of effects of businesses acquired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(161,857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(142,113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(83,412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cash provided by operating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365,703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484,288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457,104</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Investing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Capital expenditures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(329,410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(325,308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(218,372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Proceeds from sale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1,156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1,317</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Purchase of and deposits for businesses, net of cash acquired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(13,753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(50,000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(20,847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Purchase of short-term investments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(117,523</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(285,956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(140,603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Maturity of short-term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387,898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132,901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147,893</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investing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(1,219</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(1,766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129</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cash used in investing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(72,851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(528,931</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(230,483</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24"/>
              </w:rPr>
            </w:pPr>
            <w:r>
              <w:rPr>
                <w:sz w:val="24"/>
              </w:rPr>
              <w:t>Proceeds from long-term borrowings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sz w:val="24"/>
              </w:rPr>
            </w:pPr>
            <w:r>
              <w:rPr>
                <w:b/>
                <w:sz w:val="24"/>
              </w:rPr>
              <w:t>750,000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283"/>
              <w:jc w:val="left"/>
              <w:rPr>
                <w:sz w:val="24"/>
              </w:rPr>
            </w:pPr>
            <w:r>
              <w:rPr>
                <w:sz w:val="24"/>
              </w:rPr>
              <w:t>Repurchase of convertible debt instruments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(386,745</w:t>
            </w:r>
          </w:p>
        </w:tc>
        <w:tc>
          <w:tcPr>
            <w:tcW w:w="95" w:type="dxa"/>
            <w:tcBorders/>
            <w:shd w:fill="CCEEFF" w:val="clear"/>
            <w:vAlign w:val="bottom"/>
          </w:tcPr>
          <w:p>
            <w:pPr>
              <w:pStyle w:val="TableContents"/>
              <w:bidi w:val="0"/>
              <w:spacing w:before="0" w:after="283"/>
              <w:jc w:val="left"/>
              <w:rPr>
                <w:b/>
                <w:sz w:val="24"/>
              </w:rPr>
            </w:pPr>
            <w:r>
              <w:rPr>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(300</w:t>
            </w:r>
          </w:p>
        </w:tc>
        <w:tc>
          <w:tcPr>
            <w:tcW w:w="110" w:type="dxa"/>
            <w:tcBorders/>
            <w:shd w:fill="CCEEFF" w:val="clear"/>
            <w:vAlign w:val="bottom"/>
          </w:tcPr>
          <w:p>
            <w:pPr>
              <w:pStyle w:val="TableContents"/>
              <w:bidi w:val="0"/>
              <w:spacing w:before="0" w:after="283"/>
              <w:jc w:val="left"/>
              <w:rPr>
                <w:sz w:val="24"/>
              </w:rPr>
            </w:pPr>
            <w:r>
              <w:rPr>
                <w:sz w:val="24"/>
              </w:rPr>
              <w:t>)</w:t>
            </w:r>
          </w:p>
        </w:tc>
      </w:tr>
      <w:tr>
        <w:trPr/>
        <w:tc>
          <w:tcPr>
            <w:tcW w:w="6680" w:type="dxa"/>
            <w:tcBorders/>
            <w:vAlign w:val="bottom"/>
          </w:tcPr>
          <w:p>
            <w:pPr>
              <w:pStyle w:val="TableContents"/>
              <w:bidi w:val="0"/>
              <w:spacing w:before="0" w:after="283"/>
              <w:jc w:val="left"/>
              <w:rPr>
                <w:sz w:val="24"/>
              </w:rPr>
            </w:pPr>
            <w:r>
              <w:rPr>
                <w:sz w:val="24"/>
              </w:rPr>
              <w:t>Net proceeds (payments) on revolving credit facility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sz w:val="24"/>
              </w:rPr>
            </w:pPr>
            <w:r>
              <w:rPr>
                <w:b/>
                <w:sz w:val="24"/>
              </w:rPr>
              <w:t>(42,000</w:t>
            </w:r>
          </w:p>
        </w:tc>
        <w:tc>
          <w:tcPr>
            <w:tcW w:w="95" w:type="dxa"/>
            <w:tcBorders/>
            <w:vAlign w:val="bottom"/>
          </w:tcPr>
          <w:p>
            <w:pPr>
              <w:pStyle w:val="TableContents"/>
              <w:bidi w:val="0"/>
              <w:spacing w:before="0" w:after="283"/>
              <w:jc w:val="left"/>
              <w:rPr>
                <w:b/>
                <w:sz w:val="24"/>
              </w:rPr>
            </w:pPr>
            <w:r>
              <w:rPr>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42,000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Debt issuance costs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(26,823</w:t>
            </w:r>
          </w:p>
        </w:tc>
        <w:tc>
          <w:tcPr>
            <w:tcW w:w="95" w:type="dxa"/>
            <w:tcBorders/>
            <w:shd w:fill="CCEEFF" w:val="clear"/>
            <w:vAlign w:val="bottom"/>
          </w:tcPr>
          <w:p>
            <w:pPr>
              <w:pStyle w:val="TableContents"/>
              <w:bidi w:val="0"/>
              <w:spacing w:before="0" w:after="283"/>
              <w:jc w:val="left"/>
              <w:rPr>
                <w:b/>
                <w:sz w:val="24"/>
              </w:rPr>
            </w:pPr>
            <w:r>
              <w:rPr>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24"/>
              </w:rPr>
            </w:pPr>
            <w:r>
              <w:rPr>
                <w:sz w:val="24"/>
              </w:rPr>
              <w:t>Cash paid for capped call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sz w:val="24"/>
              </w:rPr>
            </w:pPr>
            <w:r>
              <w:rPr>
                <w:b/>
                <w:sz w:val="24"/>
              </w:rPr>
              <w:t>(94,200</w:t>
            </w:r>
          </w:p>
        </w:tc>
        <w:tc>
          <w:tcPr>
            <w:tcW w:w="95" w:type="dxa"/>
            <w:tcBorders/>
            <w:vAlign w:val="bottom"/>
          </w:tcPr>
          <w:p>
            <w:pPr>
              <w:pStyle w:val="TableContents"/>
              <w:bidi w:val="0"/>
              <w:spacing w:before="0" w:after="283"/>
              <w:jc w:val="left"/>
              <w:rPr>
                <w:b/>
                <w:sz w:val="24"/>
              </w:rPr>
            </w:pPr>
            <w:r>
              <w:rPr>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Dividends paid to common stockholders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(50,787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(52,348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(51,094</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Dividends paid to Class B common stockholders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(4,839</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(4,839</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(4,657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shd w:fill="CCEEFF" w:val="clear"/>
            <w:vAlign w:val="bottom"/>
          </w:tcPr>
          <w:p>
            <w:pPr>
              <w:pStyle w:val="TableContents"/>
              <w:bidi w:val="0"/>
              <w:spacing w:before="0" w:after="283"/>
              <w:jc w:val="left"/>
              <w:rPr>
                <w:sz w:val="24"/>
              </w:rPr>
            </w:pPr>
            <w:r>
              <w:rPr>
                <w:sz w:val="24"/>
              </w:rPr>
              <w:t>Repurchase of common stock held in treasury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(78,684</w:t>
            </w:r>
          </w:p>
        </w:tc>
        <w:tc>
          <w:tcPr>
            <w:tcW w:w="95" w:type="dxa"/>
            <w:tcBorders/>
            <w:shd w:fill="CCEEFF" w:val="clear"/>
            <w:vAlign w:val="bottom"/>
          </w:tcPr>
          <w:p>
            <w:pPr>
              <w:pStyle w:val="TableContents"/>
              <w:bidi w:val="0"/>
              <w:spacing w:before="0" w:after="283"/>
              <w:jc w:val="left"/>
              <w:rPr>
                <w:b/>
                <w:sz w:val="24"/>
              </w:rPr>
            </w:pPr>
            <w:r>
              <w:rPr>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(82,972</w:t>
            </w:r>
          </w:p>
        </w:tc>
        <w:tc>
          <w:tcPr>
            <w:tcW w:w="95" w:type="dxa"/>
            <w:tcBorders/>
            <w:shd w:fill="CCEEFF" w:val="clear"/>
            <w:vAlign w:val="bottom"/>
          </w:tcPr>
          <w:p>
            <w:pPr>
              <w:pStyle w:val="TableContents"/>
              <w:bidi w:val="0"/>
              <w:spacing w:before="0" w:after="283"/>
              <w:jc w:val="left"/>
              <w:rPr>
                <w:sz w:val="24"/>
              </w:rPr>
            </w:pPr>
            <w:r>
              <w:rPr>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Distributions to noncontrolling interests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(867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(741</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(800</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withholding taxes paid when shares withheld for vested equity awards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(3,994</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(2,123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(1,963</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cash provided by (used in)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61,061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(101,023</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(58,814</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Effect of exchange rate changes on 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(17,617</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(13,573</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increase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361,894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(163,283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154,234</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and cash equivalents at beginning of year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610,825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774,108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619,874</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and cash equivalents at end of year</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972,719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610,825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774,108</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See accompanying notes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F-8</w:t>
      </w:r>
    </w:p>
    <w:p>
      <w:pPr>
        <w:pStyle w:val="HorizontalLine"/>
        <w:bidi w:val="0"/>
        <w:spacing w:before="200" w:after="200"/>
        <w:jc w:val="left"/>
        <w:rPr/>
      </w:pPr>
      <w:r>
        <w:rPr/>
      </w:r>
    </w:p>
    <w:p>
      <w:pPr>
        <w:pStyle w:val="TextBody"/>
        <w:bidi w:val="0"/>
        <w:spacing w:before="200" w:after="20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VISHAY INTERTECHNOLOGY, INC.</w:t>
      </w:r>
    </w:p>
    <w:p>
      <w:pPr>
        <w:pStyle w:val="TextBody"/>
        <w:bidi w:val="0"/>
        <w:spacing w:before="0" w:after="0"/>
        <w:jc w:val="left"/>
        <w:rPr>
          <w:rFonts w:ascii="Times New Roman" w:hAnsi="Times New Roman"/>
          <w:color w:val="000000"/>
          <w:sz w:val="24"/>
          <w:shd w:fill="FFFFFF" w:val="clear"/>
        </w:rPr>
      </w:pPr>
      <w:bookmarkStart w:id="46" w:name="SSE"/>
      <w:bookmarkEnd w:id="46"/>
      <w:r>
        <w:rPr>
          <w:rFonts w:ascii="Times New Roman" w:hAnsi="Times New Roman"/>
          <w:color w:val="000000"/>
          <w:sz w:val="24"/>
          <w:shd w:fill="FFFFFF" w:val="clear"/>
        </w:rPr>
        <w:t>Consolidated Statements of Stockholders' Equity</w:t>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(In thousands, except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11570" w:type="dxa"/>
        <w:jc w:val="left"/>
        <w:tblInd w:w="0" w:type="dxa"/>
        <w:tblLayout w:type="fixed"/>
        <w:tblCellMar>
          <w:top w:w="0" w:type="dxa"/>
          <w:left w:w="0" w:type="dxa"/>
          <w:bottom w:w="0" w:type="dxa"/>
          <w:right w:w="0" w:type="dxa"/>
        </w:tblCellMar>
      </w:tblPr>
      <w:tblGrid>
        <w:gridCol w:w="1055"/>
        <w:gridCol w:w="60"/>
        <w:gridCol w:w="140"/>
        <w:gridCol w:w="660"/>
        <w:gridCol w:w="60"/>
        <w:gridCol w:w="60"/>
        <w:gridCol w:w="210"/>
        <w:gridCol w:w="815"/>
        <w:gridCol w:w="60"/>
        <w:gridCol w:w="60"/>
        <w:gridCol w:w="110"/>
        <w:gridCol w:w="740"/>
        <w:gridCol w:w="80"/>
        <w:gridCol w:w="60"/>
        <w:gridCol w:w="154"/>
        <w:gridCol w:w="1036"/>
        <w:gridCol w:w="80"/>
        <w:gridCol w:w="60"/>
        <w:gridCol w:w="141"/>
        <w:gridCol w:w="674"/>
        <w:gridCol w:w="80"/>
        <w:gridCol w:w="60"/>
        <w:gridCol w:w="215"/>
        <w:gridCol w:w="1125"/>
        <w:gridCol w:w="80"/>
        <w:gridCol w:w="60"/>
        <w:gridCol w:w="144"/>
        <w:gridCol w:w="971"/>
        <w:gridCol w:w="80"/>
        <w:gridCol w:w="60"/>
        <w:gridCol w:w="269"/>
        <w:gridCol w:w="1041"/>
        <w:gridCol w:w="80"/>
        <w:gridCol w:w="60"/>
        <w:gridCol w:w="110"/>
        <w:gridCol w:w="740"/>
        <w:gridCol w:w="80"/>
      </w:tblGrid>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Class B</w:t>
            </w:r>
          </w:p>
          <w:p>
            <w:pPr>
              <w:pStyle w:val="TableContents"/>
              <w:bidi w:val="0"/>
              <w:spacing w:before="0" w:after="0"/>
              <w:jc w:val="center"/>
              <w:rPr>
                <w:rFonts w:ascii="Times New Roman" w:hAnsi="Times New Roman"/>
                <w:b/>
                <w:sz w:val="20"/>
              </w:rPr>
            </w:pPr>
            <w:r>
              <w:rPr>
                <w:rFonts w:ascii="Times New Roman" w:hAnsi="Times New Roman"/>
                <w:b/>
                <w:sz w:val="20"/>
              </w:rPr>
              <w:t>Convertible</w:t>
            </w:r>
          </w:p>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Capital in</w:t>
            </w:r>
          </w:p>
          <w:p>
            <w:pPr>
              <w:pStyle w:val="TableContents"/>
              <w:bidi w:val="0"/>
              <w:spacing w:before="0" w:after="0"/>
              <w:jc w:val="center"/>
              <w:rPr>
                <w:rFonts w:ascii="Times New Roman" w:hAnsi="Times New Roman"/>
                <w:b/>
                <w:sz w:val="20"/>
              </w:rPr>
            </w:pPr>
            <w:r>
              <w:rPr>
                <w:rFonts w:ascii="Times New Roman" w:hAnsi="Times New Roman"/>
                <w:b/>
                <w:sz w:val="20"/>
              </w:rPr>
              <w:t>Excess of Par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p>
            <w:pPr>
              <w:pStyle w:val="TableContents"/>
              <w:bidi w:val="0"/>
              <w:spacing w:before="0" w:after="0"/>
              <w:jc w:val="center"/>
              <w:rPr>
                <w:rFonts w:ascii="Times New Roman" w:hAnsi="Times New Roman"/>
                <w:b/>
                <w:sz w:val="20"/>
              </w:rPr>
            </w:pPr>
            <w:r>
              <w:rPr>
                <w:rFonts w:ascii="Times New Roman" w:hAnsi="Times New Roman"/>
                <w:b/>
                <w:sz w:val="20"/>
              </w:rPr>
              <w:t>Earnings</w:t>
            </w:r>
          </w:p>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Treasury 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p>
            <w:pPr>
              <w:pStyle w:val="TableContents"/>
              <w:bidi w:val="0"/>
              <w:spacing w:before="0" w:after="0"/>
              <w:jc w:val="center"/>
              <w:rPr>
                <w:rFonts w:ascii="Times New Roman" w:hAnsi="Times New Roman"/>
                <w:b/>
                <w:sz w:val="20"/>
              </w:rPr>
            </w:pPr>
            <w:r>
              <w:rPr>
                <w:rFonts w:ascii="Times New Roman" w:hAnsi="Times New Roman"/>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 Vishay</w:t>
            </w:r>
          </w:p>
          <w:p>
            <w:pPr>
              <w:pStyle w:val="TableContents"/>
              <w:bidi w:val="0"/>
              <w:spacing w:before="0" w:after="0"/>
              <w:jc w:val="center"/>
              <w:rPr>
                <w:rFonts w:ascii="Times New Roman" w:hAnsi="Times New Roman"/>
                <w:b/>
                <w:sz w:val="20"/>
              </w:rPr>
            </w:pPr>
            <w:r>
              <w:rPr>
                <w:rFonts w:ascii="Times New Roman" w:hAnsi="Times New Roman"/>
                <w:b/>
                <w:sz w:val="20"/>
              </w:rPr>
              <w:t>Stockholders'</w:t>
            </w:r>
          </w:p>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Noncontrolling</w:t>
            </w:r>
          </w:p>
          <w:p>
            <w:pPr>
              <w:pStyle w:val="TableContents"/>
              <w:bidi w:val="0"/>
              <w:spacing w:before="0" w:after="0"/>
              <w:jc w:val="center"/>
              <w:rPr>
                <w:rFonts w:ascii="Times New Roman" w:hAnsi="Times New Roman"/>
                <w:b/>
                <w:sz w:val="20"/>
              </w:rPr>
            </w:pPr>
            <w:r>
              <w:rPr>
                <w:rFonts w:ascii="Times New Roman" w:hAnsi="Times New Roman"/>
                <w:b/>
                <w:sz w:val="20"/>
              </w:rPr>
              <w:t>Interests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 Equity</w:t>
            </w:r>
          </w:p>
        </w:tc>
        <w:tc>
          <w:tcPr>
            <w:tcW w:w="8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Balance at December 31, 2020</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1,409,200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138,990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1,576,215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1,579,015</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Cumulative effect of accounting change for adoption of ASU 2020-06</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(66,078</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20,566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(45,512</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(45,512</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Net earnings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297,970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297,970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967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298,937</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Other comprehensive income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(33,811</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(33,811</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(33,811</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Distributions to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sz w:val="16"/>
              </w:rPr>
            </w:pPr>
            <w:r>
              <w:rPr>
                <w:sz w:val="16"/>
              </w:rPr>
              <w:t>(800</w:t>
            </w:r>
          </w:p>
        </w:tc>
        <w:tc>
          <w:tcPr>
            <w:tcW w:w="80" w:type="dxa"/>
            <w:tcBorders/>
            <w:shd w:fill="CCEEFF" w:val="clear"/>
            <w:vAlign w:val="bottom"/>
          </w:tcPr>
          <w:p>
            <w:pPr>
              <w:pStyle w:val="TableContents"/>
              <w:bidi w:val="0"/>
              <w:spacing w:before="0" w:after="283"/>
              <w:jc w:val="left"/>
              <w:rPr>
                <w:sz w:val="16"/>
              </w:rPr>
            </w:pPr>
            <w:r>
              <w:rPr>
                <w:sz w:val="16"/>
              </w:rPr>
              <w:t>)</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sz w:val="16"/>
              </w:rPr>
            </w:pPr>
            <w:r>
              <w:rPr>
                <w:sz w:val="16"/>
              </w:rPr>
              <w:t>(800</w:t>
            </w:r>
          </w:p>
        </w:tc>
        <w:tc>
          <w:tcPr>
            <w:tcW w:w="80" w:type="dxa"/>
            <w:tcBorders/>
            <w:shd w:fill="CCEEFF" w:val="clear"/>
            <w:vAlign w:val="bottom"/>
          </w:tcPr>
          <w:p>
            <w:pPr>
              <w:pStyle w:val="TableContents"/>
              <w:bidi w:val="0"/>
              <w:spacing w:before="0" w:after="283"/>
              <w:jc w:val="left"/>
              <w:rPr>
                <w:sz w:val="16"/>
              </w:rPr>
            </w:pPr>
            <w:r>
              <w:rPr>
                <w:sz w:val="16"/>
              </w:rPr>
              <w:t>)</w:t>
            </w:r>
          </w:p>
        </w:tc>
      </w:tr>
      <w:tr>
        <w:trPr/>
        <w:tc>
          <w:tcPr>
            <w:tcW w:w="1055" w:type="dxa"/>
            <w:tcBorders/>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Issuance of stock and related tax withholdings for vested restricted stock units (149,722 shares)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(1,978</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(1,963</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(1,963</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shd w:fill="CCEEFF" w:val="clear"/>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Dividends declared ($0.385 per share)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(55,832</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(55,751</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(55,751</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Stock compensation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6,605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4"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6,605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6,605</w:t>
            </w:r>
          </w:p>
        </w:tc>
        <w:tc>
          <w:tcPr>
            <w:tcW w:w="8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Balance at December 31, 2021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1,347,830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401,694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(20,252</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1,743,753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2,967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1,746,720</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Net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428,810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428,810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1,673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430,483</w:t>
            </w:r>
          </w:p>
        </w:tc>
        <w:tc>
          <w:tcPr>
            <w:tcW w:w="8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 xml:space="preserve">Other comprehensive income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9,425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9,425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9,425</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Distributions to noncontrolling interests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(741</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(741</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shd w:fill="CCEEFF" w:val="clear"/>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Issuance of stock and related tax withholdings for vested restricted stock units (201,039 shares)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(2,143</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(2,123</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(2,123</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Dividends declared ($0.400 per share)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(57,276</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(57,187</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(57,187</w:t>
            </w:r>
          </w:p>
        </w:tc>
        <w:tc>
          <w:tcPr>
            <w:tcW w:w="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Stock compensation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6,545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6,545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6,545</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16"/>
              </w:rPr>
            </w:pPr>
            <w:r>
              <w:rPr>
                <w:sz w:val="16"/>
              </w:rPr>
              <w:t>Repurchase of common stock held in treasury (4,240,573 shares)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4" w:type="dxa"/>
            <w:tcBorders>
              <w:bottom w:val="single" w:sz="12" w:space="0" w:color="000000"/>
            </w:tcBorders>
            <w:tcMar>
              <w:bottom w:w="28" w:type="dxa"/>
            </w:tcMar>
            <w:vAlign w:val="bottom"/>
          </w:tcPr>
          <w:p>
            <w:pPr>
              <w:pStyle w:val="TableContents"/>
              <w:bidi w:val="0"/>
              <w:spacing w:before="0" w:after="283"/>
              <w:jc w:val="right"/>
              <w:rPr>
                <w:sz w:val="16"/>
              </w:rPr>
            </w:pPr>
            <w:r>
              <w:rPr>
                <w:sz w:val="16"/>
              </w:rPr>
              <w:t>(82,972</w:t>
            </w:r>
          </w:p>
        </w:tc>
        <w:tc>
          <w:tcPr>
            <w:tcW w:w="80" w:type="dxa"/>
            <w:tcBorders/>
            <w:vAlign w:val="bottom"/>
          </w:tcPr>
          <w:p>
            <w:pPr>
              <w:pStyle w:val="TableContents"/>
              <w:bidi w:val="0"/>
              <w:spacing w:before="0" w:after="283"/>
              <w:jc w:val="left"/>
              <w:rPr>
                <w:sz w:val="16"/>
              </w:rPr>
            </w:pPr>
            <w:r>
              <w:rPr>
                <w:sz w:val="16"/>
              </w:rPr>
              <w:t>)</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1" w:type="dxa"/>
            <w:tcBorders>
              <w:bottom w:val="single" w:sz="12" w:space="0" w:color="000000"/>
            </w:tcBorders>
            <w:tcMar>
              <w:bottom w:w="28" w:type="dxa"/>
            </w:tcMar>
            <w:vAlign w:val="bottom"/>
          </w:tcPr>
          <w:p>
            <w:pPr>
              <w:pStyle w:val="TableContents"/>
              <w:bidi w:val="0"/>
              <w:spacing w:before="0" w:after="283"/>
              <w:jc w:val="right"/>
              <w:rPr>
                <w:sz w:val="16"/>
              </w:rPr>
            </w:pPr>
            <w:r>
              <w:rPr>
                <w:sz w:val="16"/>
              </w:rPr>
              <w:t>(82,972</w:t>
            </w:r>
          </w:p>
        </w:tc>
        <w:tc>
          <w:tcPr>
            <w:tcW w:w="80" w:type="dxa"/>
            <w:tcBorders/>
            <w:vAlign w:val="bottom"/>
          </w:tcPr>
          <w:p>
            <w:pPr>
              <w:pStyle w:val="TableContents"/>
              <w:bidi w:val="0"/>
              <w:spacing w:before="0" w:after="283"/>
              <w:jc w:val="left"/>
              <w:rPr>
                <w:sz w:val="16"/>
              </w:rPr>
            </w:pPr>
            <w:r>
              <w:rPr>
                <w:sz w:val="16"/>
              </w:rPr>
              <w:t>)</w:t>
            </w:r>
          </w:p>
        </w:tc>
        <w:tc>
          <w:tcPr>
            <w:tcW w:w="60" w:type="dxa"/>
            <w:tcBorders/>
            <w:vAlign w:val="bottom"/>
          </w:tcPr>
          <w:p>
            <w:pPr>
              <w:pStyle w:val="TableContents"/>
              <w:bidi w:val="0"/>
              <w:spacing w:before="0" w:after="283"/>
              <w:jc w:val="right"/>
              <w:rPr/>
            </w:pPr>
            <w:r>
              <w:rPr/>
              <w:t> </w:t>
            </w:r>
          </w:p>
        </w:tc>
        <w:tc>
          <w:tcPr>
            <w:tcW w:w="2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283"/>
              <w:jc w:val="right"/>
              <w:rPr>
                <w:sz w:val="16"/>
              </w:rPr>
            </w:pPr>
            <w:r>
              <w:rPr>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sz w:val="16"/>
              </w:rPr>
            </w:pPr>
            <w:r>
              <w:rPr>
                <w:sz w:val="16"/>
              </w:rPr>
              <w:t>(82,972</w:t>
            </w:r>
          </w:p>
        </w:tc>
        <w:tc>
          <w:tcPr>
            <w:tcW w:w="80" w:type="dxa"/>
            <w:tcBorders/>
            <w:vAlign w:val="bottom"/>
          </w:tcPr>
          <w:p>
            <w:pPr>
              <w:pStyle w:val="TableContents"/>
              <w:bidi w:val="0"/>
              <w:spacing w:before="0" w:after="283"/>
              <w:jc w:val="left"/>
              <w:rPr>
                <w:sz w:val="16"/>
              </w:rPr>
            </w:pPr>
            <w:r>
              <w:rPr>
                <w:sz w:val="16"/>
              </w:rPr>
              <w:t>)</w:t>
            </w:r>
          </w:p>
        </w:tc>
      </w:tr>
      <w:tr>
        <w:trPr/>
        <w:tc>
          <w:tcPr>
            <w:tcW w:w="1055" w:type="dxa"/>
            <w:tcBorders/>
            <w:shd w:fill="CCEEFF" w:val="clear"/>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Balance at December 31, 2022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6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81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1,352,321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36"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773,228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sz w:val="16"/>
              </w:rPr>
            </w:pPr>
            <w:r>
              <w:rPr>
                <w:sz w:val="16"/>
              </w:rPr>
              <w:t>$</w:t>
            </w:r>
          </w:p>
        </w:tc>
        <w:tc>
          <w:tcPr>
            <w:tcW w:w="674" w:type="dxa"/>
            <w:tcBorders/>
            <w:shd w:fill="CCEEFF" w:val="clear"/>
            <w:vAlign w:val="bottom"/>
          </w:tcPr>
          <w:p>
            <w:pPr>
              <w:pStyle w:val="TableContents"/>
              <w:bidi w:val="0"/>
              <w:spacing w:before="0" w:after="283"/>
              <w:jc w:val="right"/>
              <w:rPr>
                <w:sz w:val="16"/>
              </w:rPr>
            </w:pPr>
            <w:r>
              <w:rPr>
                <w:sz w:val="16"/>
              </w:rPr>
              <w:t>(82,972</w:t>
            </w:r>
          </w:p>
        </w:tc>
        <w:tc>
          <w:tcPr>
            <w:tcW w:w="80" w:type="dxa"/>
            <w:tcBorders/>
            <w:shd w:fill="CCEEFF" w:val="clear"/>
            <w:vAlign w:val="bottom"/>
          </w:tcPr>
          <w:p>
            <w:pPr>
              <w:pStyle w:val="TableContents"/>
              <w:bidi w:val="0"/>
              <w:spacing w:before="0" w:after="283"/>
              <w:jc w:val="left"/>
              <w:rPr>
                <w:sz w:val="16"/>
              </w:rPr>
            </w:pPr>
            <w:r>
              <w:rPr>
                <w:sz w:val="16"/>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25"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(10,827</w:t>
            </w:r>
          </w:p>
        </w:tc>
        <w:tc>
          <w:tcPr>
            <w:tcW w:w="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97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2,046,251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1041"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3,899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740" w:type="dxa"/>
            <w:tcBorders/>
            <w:shd w:fill="CCEEFF" w:val="clear"/>
            <w:vAlign w:val="bottom"/>
          </w:tcPr>
          <w:p>
            <w:pPr>
              <w:pStyle w:val="TableContents"/>
              <w:bidi w:val="0"/>
              <w:spacing w:before="0" w:after="0"/>
              <w:jc w:val="right"/>
              <w:rPr>
                <w:rFonts w:ascii="Times New Roman" w:hAnsi="Times New Roman"/>
                <w:sz w:val="16"/>
              </w:rPr>
            </w:pPr>
            <w:r>
              <w:rPr>
                <w:rFonts w:ascii="Times New Roman" w:hAnsi="Times New Roman"/>
                <w:sz w:val="16"/>
              </w:rPr>
              <w:t>2,050,150</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Net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323,820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323,820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1,693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325,513</w:t>
            </w:r>
          </w:p>
        </w:tc>
        <w:tc>
          <w:tcPr>
            <w:tcW w:w="8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 xml:space="preserve">Other comprehensive income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21,164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21,164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21,164</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Distributions to noncontrolling interests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(867</w:t>
            </w:r>
          </w:p>
        </w:tc>
        <w:tc>
          <w:tcPr>
            <w:tcW w:w="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(867</w:t>
            </w:r>
          </w:p>
        </w:tc>
        <w:tc>
          <w:tcPr>
            <w:tcW w:w="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r>
      <w:tr>
        <w:trPr/>
        <w:tc>
          <w:tcPr>
            <w:tcW w:w="1055" w:type="dxa"/>
            <w:tcBorders/>
            <w:shd w:fill="CCEEFF" w:val="clear"/>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Issuance of stock and related tax withholdings for vested restricted stock units (276,130 shares)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(4,022</w:t>
            </w:r>
          </w:p>
        </w:tc>
        <w:tc>
          <w:tcPr>
            <w:tcW w:w="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(3,994</w:t>
            </w:r>
          </w:p>
        </w:tc>
        <w:tc>
          <w:tcPr>
            <w:tcW w:w="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(3,994</w:t>
            </w:r>
          </w:p>
        </w:tc>
        <w:tc>
          <w:tcPr>
            <w:tcW w:w="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r>
      <w:tr>
        <w:trPr/>
        <w:tc>
          <w:tcPr>
            <w:tcW w:w="1055" w:type="dxa"/>
            <w:tcBorders/>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Dividends declared ($0.400 per share)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(55,676</w:t>
            </w:r>
          </w:p>
        </w:tc>
        <w:tc>
          <w:tcPr>
            <w:tcW w:w="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(55,626</w:t>
            </w:r>
          </w:p>
        </w:tc>
        <w:tc>
          <w:tcPr>
            <w:tcW w:w="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(55,626</w:t>
            </w:r>
          </w:p>
        </w:tc>
        <w:tc>
          <w:tcPr>
            <w:tcW w:w="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r>
      <w:tr>
        <w:trPr/>
        <w:tc>
          <w:tcPr>
            <w:tcW w:w="1055" w:type="dxa"/>
            <w:tcBorders/>
            <w:shd w:fill="CCEEFF" w:val="clear"/>
            <w:vAlign w:val="bottom"/>
          </w:tcPr>
          <w:p>
            <w:pPr>
              <w:pStyle w:val="TableContents"/>
              <w:bidi w:val="0"/>
              <w:spacing w:before="0" w:after="0"/>
              <w:ind w:left="144" w:right="0" w:hanging="144"/>
              <w:jc w:val="left"/>
              <w:rPr>
                <w:rFonts w:ascii="Times New Roman" w:hAnsi="Times New Roman"/>
                <w:sz w:val="16"/>
              </w:rPr>
            </w:pPr>
            <w:r>
              <w:rPr>
                <w:rFonts w:ascii="Times New Roman" w:hAnsi="Times New Roman"/>
                <w:sz w:val="16"/>
              </w:rPr>
              <w:t>Stock compensation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16,532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16,532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b/>
                <w:sz w:val="16"/>
              </w:rPr>
            </w:pPr>
            <w:r>
              <w:rPr>
                <w:rFonts w:ascii="Times New Roman" w:hAnsi="Times New Roman"/>
                <w:b/>
                <w:sz w:val="16"/>
              </w:rPr>
              <w:t>16,532</w:t>
            </w:r>
          </w:p>
        </w:tc>
        <w:tc>
          <w:tcPr>
            <w:tcW w:w="8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16"/>
              </w:rPr>
            </w:pPr>
            <w:r>
              <w:rPr>
                <w:sz w:val="16"/>
              </w:rPr>
              <w:t>Repurchase of common stock held in treasury (3,295,308 shares)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b/>
                <w:sz w:val="16"/>
              </w:rPr>
            </w:pPr>
            <w:r>
              <w:rPr>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sz w:val="16"/>
              </w:rPr>
            </w:pPr>
            <w:r>
              <w:rPr>
                <w:b/>
                <w:sz w:val="16"/>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sz w:val="16"/>
              </w:rPr>
            </w:pPr>
            <w:r>
              <w:rPr>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sz w:val="16"/>
              </w:rPr>
            </w:pPr>
            <w:r>
              <w:rPr>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b/>
                <w:sz w:val="16"/>
              </w:rPr>
            </w:pPr>
            <w:r>
              <w:rPr>
                <w:b/>
                <w:sz w:val="16"/>
              </w:rPr>
              <w:t>(78,684</w:t>
            </w:r>
          </w:p>
        </w:tc>
        <w:tc>
          <w:tcPr>
            <w:tcW w:w="80" w:type="dxa"/>
            <w:tcBorders/>
            <w:vAlign w:val="bottom"/>
          </w:tcPr>
          <w:p>
            <w:pPr>
              <w:pStyle w:val="TableContents"/>
              <w:bidi w:val="0"/>
              <w:spacing w:before="0" w:after="283"/>
              <w:jc w:val="left"/>
              <w:rPr>
                <w:b/>
                <w:sz w:val="16"/>
              </w:rPr>
            </w:pPr>
            <w:r>
              <w:rPr>
                <w:b/>
                <w:sz w:val="16"/>
              </w:rPr>
              <w:t>)</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sz w:val="16"/>
              </w:rPr>
            </w:pPr>
            <w:r>
              <w:rPr>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sz w:val="16"/>
              </w:rPr>
            </w:pPr>
            <w:r>
              <w:rPr>
                <w:b/>
                <w:sz w:val="16"/>
              </w:rPr>
              <w:t>(78,684</w:t>
            </w:r>
          </w:p>
        </w:tc>
        <w:tc>
          <w:tcPr>
            <w:tcW w:w="80" w:type="dxa"/>
            <w:tcBorders/>
            <w:vAlign w:val="bottom"/>
          </w:tcPr>
          <w:p>
            <w:pPr>
              <w:pStyle w:val="TableContents"/>
              <w:bidi w:val="0"/>
              <w:spacing w:before="0" w:after="283"/>
              <w:jc w:val="left"/>
              <w:rPr>
                <w:b/>
                <w:sz w:val="16"/>
              </w:rPr>
            </w:pPr>
            <w:r>
              <w:rPr>
                <w:b/>
                <w:sz w:val="16"/>
              </w:rPr>
              <w:t>)</w:t>
            </w:r>
          </w:p>
        </w:tc>
        <w:tc>
          <w:tcPr>
            <w:tcW w:w="60" w:type="dxa"/>
            <w:tcBorders/>
            <w:vAlign w:val="bottom"/>
          </w:tcPr>
          <w:p>
            <w:pPr>
              <w:pStyle w:val="TableContents"/>
              <w:bidi w:val="0"/>
              <w:spacing w:before="0" w:after="283"/>
              <w:jc w:val="right"/>
              <w:rPr/>
            </w:pPr>
            <w:r>
              <w:rPr/>
              <w:t> </w:t>
            </w:r>
          </w:p>
        </w:tc>
        <w:tc>
          <w:tcPr>
            <w:tcW w:w="26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sz w:val="16"/>
              </w:rPr>
            </w:pPr>
            <w:r>
              <w:rPr>
                <w:b/>
                <w:sz w:val="16"/>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sz w:val="16"/>
              </w:rPr>
            </w:pPr>
            <w:r>
              <w:rPr>
                <w:b/>
                <w:sz w:val="16"/>
              </w:rPr>
              <w:t>(78,684</w:t>
            </w:r>
          </w:p>
        </w:tc>
        <w:tc>
          <w:tcPr>
            <w:tcW w:w="80" w:type="dxa"/>
            <w:tcBorders/>
            <w:vAlign w:val="bottom"/>
          </w:tcPr>
          <w:p>
            <w:pPr>
              <w:pStyle w:val="TableContents"/>
              <w:bidi w:val="0"/>
              <w:spacing w:before="0" w:after="283"/>
              <w:jc w:val="left"/>
              <w:rPr>
                <w:b/>
                <w:sz w:val="16"/>
              </w:rPr>
            </w:pPr>
            <w:r>
              <w:rPr>
                <w:b/>
                <w:sz w:val="16"/>
              </w:rPr>
              <w:t>)</w:t>
            </w:r>
          </w:p>
        </w:tc>
      </w:tr>
      <w:tr>
        <w:trPr/>
        <w:tc>
          <w:tcPr>
            <w:tcW w:w="1055" w:type="dxa"/>
            <w:tcBorders/>
            <w:shd w:fill="CCEEFF" w:val="clear"/>
            <w:vAlign w:val="bottom"/>
          </w:tcPr>
          <w:p>
            <w:pPr>
              <w:pStyle w:val="TableContents"/>
              <w:bidi w:val="0"/>
              <w:spacing w:before="0" w:after="283"/>
              <w:jc w:val="left"/>
              <w:rPr>
                <w:sz w:val="16"/>
              </w:rPr>
            </w:pPr>
            <w:r>
              <w:rPr>
                <w:sz w:val="16"/>
              </w:rPr>
              <w:t>Capped call transactions, net of tax</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(73,382</w:t>
            </w:r>
          </w:p>
        </w:tc>
        <w:tc>
          <w:tcPr>
            <w:tcW w:w="80" w:type="dxa"/>
            <w:tcBorders/>
            <w:shd w:fill="CCEEFF" w:val="clear"/>
            <w:vAlign w:val="bottom"/>
          </w:tcPr>
          <w:p>
            <w:pPr>
              <w:pStyle w:val="TableContents"/>
              <w:bidi w:val="0"/>
              <w:spacing w:before="0" w:after="283"/>
              <w:jc w:val="left"/>
              <w:rPr>
                <w:b/>
                <w:sz w:val="16"/>
              </w:rPr>
            </w:pPr>
            <w:r>
              <w:rPr>
                <w:b/>
                <w:sz w:val="16"/>
              </w:rPr>
              <w:t>)</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1"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(73,382</w:t>
            </w:r>
          </w:p>
        </w:tc>
        <w:tc>
          <w:tcPr>
            <w:tcW w:w="80" w:type="dxa"/>
            <w:tcBorders/>
            <w:shd w:fill="CCEEFF" w:val="clear"/>
            <w:vAlign w:val="bottom"/>
          </w:tcPr>
          <w:p>
            <w:pPr>
              <w:pStyle w:val="TableContents"/>
              <w:bidi w:val="0"/>
              <w:spacing w:before="0" w:after="283"/>
              <w:jc w:val="left"/>
              <w:rPr>
                <w:b/>
                <w:sz w:val="16"/>
              </w:rPr>
            </w:pPr>
            <w:r>
              <w:rPr>
                <w:b/>
                <w:sz w:val="16"/>
              </w:rPr>
              <w:t>)</w:t>
            </w:r>
          </w:p>
        </w:tc>
        <w:tc>
          <w:tcPr>
            <w:tcW w:w="60" w:type="dxa"/>
            <w:tcBorders/>
            <w:shd w:fill="CCEEFF" w:val="clear"/>
            <w:vAlign w:val="bottom"/>
          </w:tcPr>
          <w:p>
            <w:pPr>
              <w:pStyle w:val="TableContents"/>
              <w:bidi w:val="0"/>
              <w:spacing w:before="0" w:after="283"/>
              <w:jc w:val="right"/>
              <w:rPr/>
            </w:pPr>
            <w:r>
              <w:rPr/>
              <w:t> </w:t>
            </w:r>
          </w:p>
        </w:tc>
        <w:tc>
          <w:tcPr>
            <w:tcW w:w="2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283"/>
              <w:jc w:val="right"/>
              <w:rPr>
                <w:b/>
                <w:sz w:val="16"/>
              </w:rPr>
            </w:pPr>
            <w:r>
              <w:rPr>
                <w:b/>
                <w:sz w:val="16"/>
              </w:rPr>
              <w:t>(73,382</w:t>
            </w:r>
          </w:p>
        </w:tc>
        <w:tc>
          <w:tcPr>
            <w:tcW w:w="80" w:type="dxa"/>
            <w:tcBorders/>
            <w:shd w:fill="CCEEFF" w:val="clear"/>
            <w:vAlign w:val="bottom"/>
          </w:tcPr>
          <w:p>
            <w:pPr>
              <w:pStyle w:val="TableContents"/>
              <w:bidi w:val="0"/>
              <w:spacing w:before="0" w:after="283"/>
              <w:jc w:val="left"/>
              <w:rPr>
                <w:b/>
                <w:sz w:val="16"/>
              </w:rPr>
            </w:pPr>
            <w:r>
              <w:rPr>
                <w:b/>
                <w:sz w:val="16"/>
              </w:rPr>
              <w:t>)</w:t>
            </w:r>
          </w:p>
        </w:tc>
      </w:tr>
      <w:tr>
        <w:trPr/>
        <w:tc>
          <w:tcPr>
            <w:tcW w:w="1055" w:type="dxa"/>
            <w:tcBorders/>
            <w:vAlign w:val="bottom"/>
          </w:tcPr>
          <w:p>
            <w:pPr>
              <w:pStyle w:val="TableContents"/>
              <w:bidi w:val="0"/>
              <w:spacing w:before="0" w:after="0"/>
              <w:ind w:left="144" w:right="0" w:hanging="0"/>
              <w:jc w:val="left"/>
              <w:rPr>
                <w:rFonts w:ascii="Times New Roman" w:hAnsi="Times New Roman"/>
                <w:sz w:val="16"/>
              </w:rPr>
            </w:pPr>
            <w:r>
              <w:rPr>
                <w:rFonts w:ascii="Times New Roman" w:hAnsi="Times New Roman"/>
                <w:sz w:val="16"/>
              </w:rPr>
              <w:t>Balance at December 31, 2023</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b/>
                <w:sz w:val="16"/>
              </w:rPr>
            </w:pPr>
            <w:r>
              <w:rPr>
                <w:b/>
                <w:sz w:val="16"/>
              </w:rPr>
              <w:t>$</w:t>
            </w:r>
          </w:p>
        </w:tc>
        <w:tc>
          <w:tcPr>
            <w:tcW w:w="660" w:type="dxa"/>
            <w:tcBorders>
              <w:bottom w:val="double" w:sz="8" w:space="0" w:color="000000"/>
            </w:tcBorders>
            <w:tcMar>
              <w:bottom w:w="28" w:type="dxa"/>
            </w:tcMar>
            <w:vAlign w:val="bottom"/>
          </w:tcPr>
          <w:p>
            <w:pPr>
              <w:pStyle w:val="TableContents"/>
              <w:bidi w:val="0"/>
              <w:spacing w:before="0" w:after="283"/>
              <w:jc w:val="right"/>
              <w:rPr>
                <w:b/>
                <w:sz w:val="16"/>
              </w:rPr>
            </w:pPr>
            <w:r>
              <w:rPr>
                <w:b/>
                <w:sz w:val="16"/>
              </w:rPr>
              <w:t>13,319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1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16"/>
              </w:rPr>
            </w:pPr>
            <w:r>
              <w:rPr>
                <w:rFonts w:ascii="Times New Roman" w:hAnsi="Times New Roman"/>
                <w:b/>
                <w:sz w:val="16"/>
              </w:rPr>
              <w:t>1,210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double" w:sz="8" w:space="0" w:color="000000"/>
            </w:tcBorders>
            <w:tcMar>
              <w:bottom w:w="28" w:type="dxa"/>
            </w:tcMar>
            <w:vAlign w:val="bottom"/>
          </w:tcPr>
          <w:p>
            <w:pPr>
              <w:pStyle w:val="TableContents"/>
              <w:bidi w:val="0"/>
              <w:spacing w:before="0" w:after="283"/>
              <w:jc w:val="left"/>
              <w:rPr>
                <w:b/>
                <w:sz w:val="16"/>
              </w:rPr>
            </w:pPr>
            <w:r>
              <w:rPr>
                <w:b/>
                <w:sz w:val="16"/>
              </w:rPr>
              <w:t>$</w:t>
            </w:r>
          </w:p>
        </w:tc>
        <w:tc>
          <w:tcPr>
            <w:tcW w:w="740" w:type="dxa"/>
            <w:tcBorders>
              <w:bottom w:val="double" w:sz="8" w:space="0" w:color="000000"/>
            </w:tcBorders>
            <w:tcMar>
              <w:bottom w:w="28" w:type="dxa"/>
            </w:tcMar>
            <w:vAlign w:val="bottom"/>
          </w:tcPr>
          <w:p>
            <w:pPr>
              <w:pStyle w:val="TableContents"/>
              <w:bidi w:val="0"/>
              <w:spacing w:before="0" w:after="283"/>
              <w:jc w:val="right"/>
              <w:rPr>
                <w:b/>
                <w:sz w:val="16"/>
              </w:rPr>
            </w:pPr>
            <w:r>
              <w:rPr>
                <w:b/>
                <w:sz w:val="16"/>
              </w:rPr>
              <w:t>1,291,499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283"/>
              <w:jc w:val="left"/>
              <w:rPr>
                <w:b/>
                <w:sz w:val="16"/>
              </w:rPr>
            </w:pPr>
            <w:r>
              <w:rPr>
                <w:b/>
                <w:sz w:val="16"/>
              </w:rPr>
              <w:t>$</w:t>
            </w:r>
          </w:p>
        </w:tc>
        <w:tc>
          <w:tcPr>
            <w:tcW w:w="1036" w:type="dxa"/>
            <w:tcBorders>
              <w:bottom w:val="double" w:sz="8" w:space="0" w:color="000000"/>
            </w:tcBorders>
            <w:tcMar>
              <w:bottom w:w="28" w:type="dxa"/>
            </w:tcMar>
            <w:vAlign w:val="bottom"/>
          </w:tcPr>
          <w:p>
            <w:pPr>
              <w:pStyle w:val="TableContents"/>
              <w:bidi w:val="0"/>
              <w:spacing w:before="0" w:after="283"/>
              <w:jc w:val="right"/>
              <w:rPr>
                <w:b/>
                <w:sz w:val="16"/>
              </w:rPr>
            </w:pPr>
            <w:r>
              <w:rPr>
                <w:b/>
                <w:sz w:val="16"/>
              </w:rPr>
              <w:t>1,041,372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283"/>
              <w:jc w:val="left"/>
              <w:rPr>
                <w:b/>
                <w:sz w:val="16"/>
              </w:rPr>
            </w:pPr>
            <w:r>
              <w:rPr>
                <w:b/>
                <w:sz w:val="16"/>
              </w:rPr>
              <w:t>$</w:t>
            </w:r>
          </w:p>
        </w:tc>
        <w:tc>
          <w:tcPr>
            <w:tcW w:w="674" w:type="dxa"/>
            <w:tcBorders>
              <w:bottom w:val="double" w:sz="8" w:space="0" w:color="000000"/>
            </w:tcBorders>
            <w:tcMar>
              <w:bottom w:w="28" w:type="dxa"/>
            </w:tcMar>
            <w:vAlign w:val="bottom"/>
          </w:tcPr>
          <w:p>
            <w:pPr>
              <w:pStyle w:val="TableContents"/>
              <w:bidi w:val="0"/>
              <w:spacing w:before="0" w:after="283"/>
              <w:jc w:val="right"/>
              <w:rPr>
                <w:b/>
                <w:sz w:val="16"/>
              </w:rPr>
            </w:pPr>
            <w:r>
              <w:rPr>
                <w:b/>
                <w:sz w:val="16"/>
              </w:rPr>
              <w:t>(161,656</w:t>
            </w:r>
          </w:p>
        </w:tc>
        <w:tc>
          <w:tcPr>
            <w:tcW w:w="80" w:type="dxa"/>
            <w:tcBorders/>
            <w:vAlign w:val="bottom"/>
          </w:tcPr>
          <w:p>
            <w:pPr>
              <w:pStyle w:val="TableContents"/>
              <w:bidi w:val="0"/>
              <w:spacing w:before="0" w:after="283"/>
              <w:jc w:val="left"/>
              <w:rPr>
                <w:b/>
                <w:sz w:val="16"/>
              </w:rPr>
            </w:pPr>
            <w:r>
              <w:rPr>
                <w:b/>
                <w:sz w:val="16"/>
              </w:rPr>
              <w:t>)</w:t>
            </w:r>
          </w:p>
        </w:tc>
        <w:tc>
          <w:tcPr>
            <w:tcW w:w="60" w:type="dxa"/>
            <w:tcBorders/>
            <w:vAlign w:val="bottom"/>
          </w:tcPr>
          <w:p>
            <w:pPr>
              <w:pStyle w:val="TableContents"/>
              <w:bidi w:val="0"/>
              <w:spacing w:before="0" w:after="283"/>
              <w:jc w:val="righ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112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16"/>
              </w:rPr>
            </w:pPr>
            <w:r>
              <w:rPr>
                <w:rFonts w:ascii="Times New Roman" w:hAnsi="Times New Roman"/>
                <w:b/>
                <w:sz w:val="16"/>
              </w:rPr>
              <w:t>10,337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7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16"/>
              </w:rPr>
            </w:pPr>
            <w:r>
              <w:rPr>
                <w:rFonts w:ascii="Times New Roman" w:hAnsi="Times New Roman"/>
                <w:b/>
                <w:sz w:val="16"/>
              </w:rPr>
              <w:t>2,196,081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104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16"/>
              </w:rPr>
            </w:pPr>
            <w:r>
              <w:rPr>
                <w:rFonts w:ascii="Times New Roman" w:hAnsi="Times New Roman"/>
                <w:b/>
                <w:sz w:val="16"/>
              </w:rPr>
              <w:t>4,725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7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16"/>
              </w:rPr>
            </w:pPr>
            <w:r>
              <w:rPr>
                <w:rFonts w:ascii="Times New Roman" w:hAnsi="Times New Roman"/>
                <w:b/>
                <w:sz w:val="16"/>
              </w:rPr>
              <w:t>2,200,806</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See accompanying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F-9</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sz w:val="20"/>
        </w:rPr>
      </w:pPr>
      <w:r>
        <w:rPr>
          <w:rFonts w:ascii="Times New Roman" w:hAnsi="Times New Roman"/>
          <w:sz w:val="20"/>
        </w:rPr>
      </w:r>
      <w:bookmarkStart w:id="47" w:name="Notes"/>
      <w:bookmarkStart w:id="48" w:name="Notes"/>
      <w:bookmarkEnd w:id="48"/>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Vishay Intertechnology, Inc. (“Vishay” or the “Company”) manufactures one of the world’s largest portfolios of discrete semiconductors and passive electronic components that are essential to innovative designs in the automotive, industrial, military, aerospace, medical, power supplies, telecommunications, consumer products, and computing end markets. Semiconductors include MOSFETs, diodes, and optoelectronic components. Passive components include resistors, inductors, and capacitors. </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360" w:right="0" w:hanging="360"/>
        <w:jc w:val="both"/>
        <w:rPr>
          <w:rFonts w:ascii="Times New Roman" w:hAnsi="Times New Roman"/>
          <w:b/>
          <w:i/>
          <w:color w:val="000000"/>
          <w:sz w:val="24"/>
          <w:shd w:fill="FFFFFF" w:val="clear"/>
        </w:rPr>
      </w:pPr>
      <w:r>
        <w:rPr>
          <w:rFonts w:ascii="Times New Roman" w:hAnsi="Times New Roman"/>
          <w:b/>
          <w:i/>
          <w:color w:val="000000"/>
          <w:sz w:val="24"/>
          <w:shd w:fill="FFFFFF" w:val="clear"/>
        </w:rPr>
        <w:t>Use of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could differ significantly from those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Principles of Consolidation</w:t>
      </w:r>
    </w:p>
    <w:p>
      <w:pPr>
        <w:pStyle w:val="TextBody"/>
        <w:bidi w:val="0"/>
        <w:spacing w:before="0" w:after="0"/>
        <w:jc w:val="both"/>
        <w:rPr>
          <w:rFonts w:ascii="Times New Roman" w:hAnsi="Times New Roman"/>
          <w:sz w:val="20"/>
        </w:rPr>
      </w:pPr>
      <w:r>
        <w:rPr>
          <w:rFonts w:ascii="Times New Roman" w:hAnsi="Times New Roman"/>
          <w:sz w:val="20"/>
        </w:rPr>
      </w:r>
      <w:bookmarkStart w:id="49" w:name="z4635"/>
      <w:bookmarkStart w:id="50" w:name="z4635"/>
      <w:bookmarkEnd w:id="50"/>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noncontrolling interests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intercompany transactions, accounts, and profits are eliminated.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Revenue Recognition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recognizes revenue from contracts with customers when it satisfies the performance obligations within the contract.  The Company has framework agreements with many of its customers that contain the terms and conditions of future sales, but do not create enforceable rights or obligations.  For revenue recognition purposes, the Company considers the combined purchase orders and the terms and conditions contained within such framework agreements to be contracts.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Payment terms for the Company's sales are generally less than sixty days.  Substantially all of the Company's receivables historically have been and are expected to continue to be collected within twelve months of the transfer of products to the customer and the Company expects this to continue going forward.  Accordingly, the Company does not recognize a financing component of the transaction price.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Revenue is measured based on the consideration specified in contracts with customers, and excludes any sales incentives and amounts collected on behalf of third parties.  The Company recognizes revenue when it satisfies its performance obligations.  The Company analyzes its contracts to determine whether the promise in the contract to construct and transfer goods to the customer is a performance obligation that will be satisfied over time or at a point in time.  When the Company's performance does not create an asset with an alternative use to the Company and the Company has an enforceable right to payment for performance completed to date, the Company transfers control of a good or service over time and, therefore, satisfies a performance obligation and recognizes revenue over time.  The Company has a limited number of contracts for custom products that meet the criteria to recognize revenue over time.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contracts contain two performance obligations: delivery of products and warranty protection.  The Company does not sell separate, enhanced, or extended warranty coverage, but through its customary business practices, the Company has created implied service-type warranties, which are accounted for as separate performance obligations.  Revenue is allocated between these two performance obligations and recognized as the obligations are satisfied.  The allocation of revenue to warranty protection is based on an estimate of expected cost plus margin.  The delivery of products performance obligation is satisfied and product sales revenue is recognized when the customer takes control of the products.  Warranty revenue is deferred and the warranty protection performance obligation is satisfied and revenue is recognized over the warranty period, which is typically less than twenty four months from sale to end customer.  The warranty deferred revenue liability is recorded within Other Accrued Expenses and Other Liabilities on the accompanying consolidated balance sheets.  The deferred revenue balance associated with the service-type warranty performance obligations and the components that comprise the change in the deferred revenue balance are not significant.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a broad line of products that it sells to original equipment manufacturers ("OEMs"), electronic manufacturing services ("EMS") companies, which manufacture for OEMs on an outsourcing basis, and independent distributors that maintain large inventories of electronic components for resale to OEMs and EMS companies.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F-10</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recognizes revenue on sales to distributors when the distributor takes control of the products ("sold-to" model).  The Company has agreements with distributors that allow distributors a limited credit for unsaleable products, which it terms a "scrap allowance." Consistent with industry practice, the Company also has a "stock, ship and debit" program whereby it considers requests by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recognizes the estimated variable consideration to be received as revenue and records a related accrued expense for the consideration not expected to be received,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The Company utilizes a number of different methodologies and considers several factors when estimating the accruals.  Some of the factors considered include sales levels to distributors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The Company believes that it has a reasonable basis to estimate future credits under the programs.  See sales returns and allowances accrual activity in Note 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pays commissions to external sales representatives on a per-sale basis.  Accordingly, these commissions are expensed as incurred because the future amortization period of the asset that the Company otherwise would have recognized is one year or less.  Internal staff are not paid commissions.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elected to account for shipping and handling as activities to fulfill the promise to transfer the product even if the shipping and handling activities are performed after the customer obtains control.  The Company does not evaluate whether shipping and handling activities are promised services to its customers.  If control transfers and revenue is recognized for the related products before the shipping and handling activities occur, the related costs of those shipping and handling activities is accrued.  The Company applies this accounting policy election consistently to similar types of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See disaggregated revenue information in Note 15.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Research and Development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Research and development costs are expensed as incurred. The amount charged to expense for research and development (exclusive of purchased in-process research and development) aggregated $99,506, $81,182, and $77,377, for the years ended December 31, 2023, 2022, and 2021, respectively. The Company spends additional amounts for the development of machinery and equipment for new processes and for cost reduction measures.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GAAP criteria of “more likely than not” to be realized.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and its subsidiaries are subject to income taxes in the U.S. and numerous foreign jurisdictions.  Significant judgment is required in evaluating the Company’s tax positions and determining its provision for income taxes. 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the Company’s belief that its tax return positions are fully supportable.  The Company adjusts these reserves in light of changing facts and circumstances and the provision for income taxes includes the impact of reserve provisions and changes to reserves that are considered appropriate.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These accruals for tax-related uncertainties are based on management’s best estimate of potential tax exposures. When particular matters arise, a number of years may elapse before such matters are audited by tax authorities and finally resolved.  Favorable resolution of such matters could be recognized as a reduction to the Company’s effective tax rate in the year of resolution.  Unfavorable resolution of any particular issue could increase the effective tax rate and may require the use of cash in the year of resolution.  The amount included in current liabilities on the accompanying consolidated balance sheets reflect only amounts expected to be settled in cash within one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See Note 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F-11</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Cash, Cash Equivalents, and Short-Term Investments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Cash and cash equivalents includes demand deposits and highly liquid investments with maturities of three months or less when purchased.  Highly liquid investments with original maturities greater than three months, but less than one year are classified as short-term investments.  At December 31, 2023 and 2022, the Company’s short-term investments were comprised of time deposits with financial institutions whose original maturity exceeds three months, but less than one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Allowance for Credit Losses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estimates its credit losses on financial instruments using a current expected credit loss model.  The Company maintains an allowance for accounts receivable credit losses resulting from the inability of its customers to make required payments.  Payment terms for the Company's sales are generally less than ninety days.  Substantially all of the Company's trade receivables are collected within twelve months of the transfer of products to the customer and the Company expects this to continue going forward.  The credit loss allowance is determined through an analysis of the aging of accounts receivable and assessments of risk that are based on historical trends and an evaluation of the impact of current and projected economic conditions.  Receivables from customers with deteriorating financial condition and those over 180 days past due are removed from the pool and evaluated separately.  Net credit loss expense for accounts receivable was $369, $365, and $384 for the years ended December 31, 2023, 2022, and 2021,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The Company’s cash equivalents, short-term investments, and restricted investments are accounted for as held-to-maturity debt instruments, at amortized cost.  Interest income on these instruments is recorded as "Other income" on the consolidated statements of operations and interest receivable is recognized as a separate asset and recorded in "Prepaid expenses and other current assets" on the consolidated balance sheets.  The Company has not experienced a credit loss on the principal or interest receivable of its cash equivalents, short-term investments, or restricted investments.  The Company pools its cash equivalents, short-term investments, and restricted investments by credit rating of the issuing financial institution and estimates an allowance for credit losses based on the corporate bond default ratios, evaluation of the impact of current and projected economic conditions, and probability of credit loss.  Net credit loss expense for cash equivalents, short-term investments, and restricted investments was immaterial for the years ended December 31, 2023 and 2022.  The Company does not measure an allowance for credit losses on interest receivable.  Any uncollectible interest receivable is recognized by reversing interest income within the fiscal quarter that the interest becomes uncollectible.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Inventories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Inventories are stated at the lower of cost, determined by the first-in, first-out method, or net realizable value. Inventories are adjusted for estimated obsolescence and written down to net realizable value based upon estimates of future demand, technology developments, and market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Property and Equipment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Property and equipment is carried at cost and is depreciated principally by the straight-line method based upon the estimated useful lives of the assets. Machinery and equipment are being depreciated over useful lives of seven years to ten years. Buildings and building improvements are being depreciated over useful lives of twenty years to forty years. Construction in progress is not depreciated until the assets are placed in service. The estimated cost to complete construction in progress at December 31, 2023 was approximately $502,500. Included in the estimated cost to complete the Itzehoe, Germany 12-inch wafer fab construction project are certain costs for which there are currently no contractual commitments to complete.   Depreciation expense was $174,457, $155,864, and $159,247 for the years ended December 31, 2023, 2022, and 2021, respectively.  Gains and losses on the disposal of assets which do not qualify for presentation as discontinued operations are included in the determination of operating margin (within selling, general, and administrative expenses).  Individually material gains and losses on disposal are separately disclosed in the 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commitments for the purchase of assets to complete its construction in progress as disclosed above.  The commitment period for substantially all of these purchase commitments is less than one year.  The Company expects to have noncancellable purchase commitments with commitment periods in excess of one year associated with its significant facility expansion programs as the programs progress.  As of December 31, 2023, there are no material noncancellable commitments associated with these programs.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F-12</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2023 and 2022 do not include claims against third parties.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Goodwill and Other Intangible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Goodwill represents the excess of the cost of a business acquired over the fair value of the related net assets at the date of acquisition.  Certain intangible assets may be assigned indefinite useful lives.  Goodwill and indefinite-lived intangible assets are not amortized but rather are tested for impairment at least annually.  These tests are performed more frequently whenever events or changes in circumstances indicate that the assets might be impaired.  The Company's business segments (see Note 15) represent its reporting units for goodwill impairment testing purposes. At December 31, 2023 and 2022, respectively, the Company has no recorded indefinite-lived intangible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Definite-lived intangible assets are amortized over their estimated useful lives.  Patents and acquired technology are being amortized over useful lives of seven years to twenty-five years.  Capitalized software is amortized over periods of three years to ten years, primarily included in "Costs of products sold" on the consolidated statements of operations.  Customer relationships are amortized over useful lives of five years to twenty years.  Noncompete agreements are amortized over periods of three years to ten years. The Company continually evaluates the reasonableness of the useful lives of these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GAAP prescribes a quantitative method for determining goodwill impairment. The Company has the option of performing a qualitative assessment before performing the quantitative impairment test. If it is determined, on the basis of qualitative factors, that the fair value of the reporting unit is not more likely than not less than the carrying amount, the quantitative impairment test is not required. If it is determined that the fair value of the reporting unit is more likely than not less than the carrying amount, the quantitative impairment test is required.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determines the fair value of the reporting unit and compares that fair value to the net book value of the reporting unit. The fair value of the reporting unit is determined using various valuation techniques, including a comparable companies market multiple approach and a discounted cash flow analysis (an income approach).  If the net book value of the reporting unit were to exceed the fair value, the Company would recognize an impairment charge.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Impairment of Long-Lived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carrying value of long-lived assets held-and-used, other than goodwill and indefinite-lived intangible assets, is evaluated when events or changes in circumstances indicate the carrying value may not be recoverable or the useful life has changed.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fair market value of the long-lived asset group.  Fair market value is determined primarily using present value techniques based on projected cash flows from the asset group.  Losses on long-lived assets held-for-sale, other than goodwill and indefinite-lived intangible assets, are determined in a similar manner, except that fair market values are reduced for anticipated disposal costs.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Available-for-Sale Securities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Short-term investments and other assets reported on the accompanying consolidated balance sheets include time deposits with financial institutions whose original maturity exceeds three months, but less than one year that are classified as held-to-maturity instruments, and investments in marketable securities that are classified as available-for-sale instruments. The available-for-sale instruments include assets that are held in trust related to the Company’s non-qualified pension and deferred compensation plans (see Note 11) and assets that are intended to fund a portion of the Company’s other postretirement benefit obligations outside of the U.S.  These assets are reported at fair value, based on quoted market prices as of the end of the reporting period.  Unrealized gains and losses are reported as "Other income (expense)" on the consolidated statements of operations.  At the time of sale, the assets that are held in trust related to the Company’s non-qualified pension and deferred compensation plans, any gains (losses) calculated by the specific identification method are recognized as a reduction (increase) to benefits expense, within "Selling, general, and administrative expenses" on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Financial Instruments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uses financial instruments in the normal course of its business, including from time to time, derivative financial instruments. Additionally, from time to time, the Company enters into contracts that are not considered derivative financial instruments in their entirety, but that include embedded derivative features.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Other financial instruments include cash and cash equivalents, held-to-maturity short-term investments, accounts receivable, and notes payable. The carrying amounts of these financial instruments reported on the accompanying consolidated balance sheets approximate their fair values due to the short-term nature of these assets and liabilities.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F-13</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fair value measurement accounting guidance establishes a valuation hierarchy of the inputs used to measure fair value. This hierarchy prioritizes the inputs to valuation techniques used to measure fair value into three broad levels. The following is a brief description of those three levels: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990" w:right="0" w:hanging="0"/>
        <w:jc w:val="both"/>
        <w:rPr>
          <w:rFonts w:ascii="Times New Roman" w:hAnsi="Times New Roman"/>
          <w:color w:val="000000"/>
          <w:sz w:val="24"/>
          <w:shd w:fill="FFFFFF" w:val="clear"/>
        </w:rPr>
      </w:pPr>
      <w:r>
        <w:rPr>
          <w:rFonts w:ascii="Times New Roman" w:hAnsi="Times New Roman"/>
          <w:color w:val="000000"/>
          <w:sz w:val="24"/>
          <w:shd w:fill="FFFFFF" w:val="clear"/>
        </w:rPr>
        <w:t>Level 1: Observable inputs such as quoted prices (unadjusted) in active markets for identical assets or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990" w:right="0" w:hanging="0"/>
        <w:jc w:val="both"/>
        <w:rPr>
          <w:rFonts w:ascii="Times New Roman" w:hAnsi="Times New Roman"/>
          <w:color w:val="000000"/>
          <w:sz w:val="24"/>
          <w:shd w:fill="FFFFFF" w:val="clear"/>
        </w:rPr>
      </w:pPr>
      <w:r>
        <w:rPr>
          <w:rFonts w:ascii="Times New Roman" w:hAnsi="Times New Roman"/>
          <w:color w:val="000000"/>
          <w:sz w:val="24"/>
          <w:shd w:fill="FFFFFF" w:val="clear"/>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990" w:right="0" w:hanging="0"/>
        <w:jc w:val="both"/>
        <w:rPr>
          <w:rFonts w:ascii="Times New Roman" w:hAnsi="Times New Roman"/>
          <w:color w:val="000000"/>
          <w:sz w:val="24"/>
          <w:shd w:fill="FFFFFF" w:val="clear"/>
        </w:rPr>
      </w:pPr>
      <w:r>
        <w:rPr>
          <w:rFonts w:ascii="Times New Roman" w:hAnsi="Times New Roman"/>
          <w:color w:val="000000"/>
          <w:sz w:val="24"/>
          <w:shd w:fill="FFFFFF" w:val="clear"/>
        </w:rPr>
        <w:t>Level 3: Unobservable inputs that reflect the Company’s own assumptions.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An asset or liability’s classification within the hierarchy is determined based on the lowest level input that is significant to the fair value measurement.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Stock-Based Compensation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 xml:space="preserve">Compensation costs related to stock-based payment transactions are recognized in the consolidated financial statements. The amount of compensation cost is measured based on the grant-date fair value of the equity (or liability) instruments issued. The Company determines compensation cost for restricted stock units ("RSUs") and phantom stock units based on the grant-date fair value of the underlying common stock adjusted for expected dividends paid over the required vesting period for non-participating awards.  Compensation cost is recognized over the period that an officer, employee, or non-employee director is required to provide service in exchange for the award.  For RSUs with market conditions, the Company estimates the grant date fair value using a Monte Carlo valuation model and recognizes the expense for the awards over the period in which the condition is assessed regardless of whether the market condition is ultimately achieved.   For awards subject to graded vesting, the Company recognizes expense over the service period for each separately vesting portion of the award as if the award was, in-substance, multiple awards.  The Company recognizes compensation cost for RSUs that are expected to vest and records cumulative adjustments in the period that the expectation changes.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Foreign Currency Translation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significant operations outside of the United States. The Company finances its operations in Europe and certain locations in Asia in local currencies, and accordingly, these subsidiaries utilize the local currency as their functional currency. The Company’s operations in Israel and most significant locations in Asia are largely financed in U.S. dollars, and accordingly, these subsidiaries utilize the U.S. dollar as their functional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those subsidiaries where the local currency is the functional currency, assets and liabilities on the accompanying consolidated balance sheets have been translated at the rate of exchange as of the balance sheet date. Translation adjustments do not impact the consolidated results of operations and are reported as a separate component of stockholders’ equity. Revenues and expenses are translated at the average exchange rate for the year. While the translation of revenues and expenses into U.S. dollars does not directly impact the statement of operations, the translation effectively increases or decreases the U.S. dollar equivalent of revenues generated and expenses incurred in those foreign currencies.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consolidated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Treasury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records treasury stock at cost, inclusive of fees, commissions and other expenses, when outstanding common shares are repurchased.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Self-Insurance Programs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uses a combination of insurance and self-insurance mechanisms to provide for the potential liabilities for workers’ compensation, general liability, property damage, director and officers’ liability, and vehicle liability.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part of its self-insurance program for certain risks, the Company created a wholly-owned captive insurance entity in 2007. At December 31, 2023, the captive insurance entity provides only property and general liability insurance, although it is licensed to also provide directors’ and officers’ insurance.  The captive insurance entity had no amounts accrued for outstanding claims at December 31, 2023 and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Certain investments held by the captive insurance entity are restricted primarily for the purpose of potential insurance claims. Such amounts are recorded in other noncurrent assets, and total $10,571 and $9,352 at December 31, 2023 and 2022, respectively, representing required statutory reserves of the captive insurance entity.</w:t>
      </w:r>
    </w:p>
    <w:p>
      <w:pPr>
        <w:pStyle w:val="TextBody"/>
        <w:bidi w:val="0"/>
        <w:spacing w:before="0" w:after="0"/>
        <w:jc w:val="left"/>
        <w:rPr>
          <w:b/>
          <w:i/>
          <w:sz w:val="24"/>
        </w:rPr>
      </w:pPr>
      <w:r>
        <w:rPr>
          <w:b/>
          <w:i/>
          <w:sz w:val="24"/>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F-14</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 – Summary of Significant Accounting Policies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leases buildings and machinery and equipment used for manufacturing and/or sales and administrative purposes.  The Company is also party to various service, warehousing, and other agreements that it evaluates for potential embedded leases.  Substantially all of the Company’s leases are structured and classified as operating 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leases assets in each region in which it operates.  The Company’s leases are generally denominated in the currency of the leased assets' location, which may not be the functional currency of the subsidiary lessee.  Accordingly, the Company remeasures its lease liability and recognizes a transactional gain/loss for leases denominated in currencies other than the functional currency of the subsidiary lessee.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recognizes right of use assets and lease liabilities for leases greater than twelve months in duration based on the contract consideration for lease components through the term of the lease and the applicable discount rate.  Leases with a duration less than or equal to twelve months are considered short-term leases.  The Company does not recognize right of use assets or lease liabilities for short-term leases and classifies the expense as short-term lease expense.  Variable lease payments based on an index or rate are included in the right of use assets and lease liabilities based on the effective rates at lease commencement.  Changes in the rates or indices do not impact the right of use asset or lease liability and are recognized as a component of lease expense in the consolidated statements of operations.  Variable lease payments not based on an index or rate are not included in the initial right of use asset and lease liability and are recognized when incurred as a component of lease expense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elected to not separate contract consideration for lease and non-lease components for its building leases.  In addition to the noncancellable period of a lease, the Company includes periods covered by extension options it is reasonably certain to exercise, termination options that it is reasonably certain not to exercise, and extension and termination options controlled by the lessor in its determination of the lease term.  The Company uses the rate implicit in the contract whenever possible when determining the applicable discount rate.  When the implicit rate is not used, the Company employs a portfolio approach based on the duration of the lease.  The portfolio lease rates are calculated monthly.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No individual lease is considered significant and there are no leases that have not yet commenced that are considered significant.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See Note 4 for additional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b/>
          <w:i/>
          <w:color w:val="000000"/>
          <w:sz w:val="24"/>
          <w:shd w:fill="FFFFFF" w:val="clear"/>
        </w:rPr>
      </w:pPr>
      <w:r>
        <w:rPr>
          <w:rFonts w:ascii="Times New Roman;Times;serif" w:hAnsi="Times New Roman;Times;serif"/>
          <w:b/>
          <w:i/>
          <w:color w:val="000000"/>
          <w:sz w:val="24"/>
          <w:shd w:fill="FFFFFF" w:val="clear"/>
        </w:rPr>
        <w:t>Restructuring and Severance Costs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Restructuring and severance costs reflect charges resulting from cost reduction programs implemented by the Company.  Restructuring and severance costs include exit costs, severance benefits pursuant to an on-going arrangement, voluntary termination compensation under a defined program, and any related pension curtailment and settlement charges.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recognizes expense for one-time benefits only after management has committed to a plan, the plan is sufficiently detailed to provide the number, classification, and location of employees to be terminated as well as the expected completion date, the plan has been sufficiently communicated to employees such that they are able to determine the type and amount of benefits they will receive if terminated, and it is unlikely that the plan will be significantly changed or withdrawn. If an employee is not required to render service beyond a minimum retention period, the Company recognizes expense once the aforementioned criteria have been met. If an employee is required to render service beyond a minimum retention period, the Company recognizes expense over the period that the employee is required to render future service.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recognizes expense for on-going benefit arrangements when the liability is reasonably estimable and considered probable.  The Company recognizes expense for voluntary separation / early retirement when the employee delivers an irrevocable voluntary termination notice pursuant to a defined Company program.  The Company recognizes other exit costs as incurred.</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paid cash of $11,474 in the year ended December 31, 2021 due to a restructuring program announced in 2019.  The program was substantially completed as of December 31, 2021.</w:t>
      </w:r>
    </w:p>
    <w:p>
      <w:pPr>
        <w:pStyle w:val="TextBody"/>
        <w:bidi w:val="0"/>
        <w:spacing w:before="0" w:after="0"/>
        <w:jc w:val="both"/>
        <w:rPr>
          <w:rFonts w:ascii="Times New Roman" w:hAnsi="Times New Roman"/>
          <w:b/>
          <w:i/>
          <w:sz w:val="24"/>
        </w:rPr>
      </w:pPr>
      <w:r>
        <w:rPr>
          <w:rFonts w:ascii="Times New Roman" w:hAnsi="Times New Roman"/>
          <w:b/>
          <w:i/>
          <w:sz w:val="24"/>
        </w:rPr>
      </w:r>
    </w:p>
    <w:p>
      <w:pPr>
        <w:pStyle w:val="TextBody"/>
        <w:bidi w:val="0"/>
        <w:spacing w:before="0" w:after="0"/>
        <w:jc w:val="both"/>
        <w:rPr>
          <w:rFonts w:ascii="Times New Roman;Times;serif" w:hAnsi="Times New Roman;Times;serif"/>
          <w:b/>
          <w:i/>
          <w:color w:val="000000"/>
          <w:sz w:val="24"/>
          <w:shd w:fill="FFFFFF" w:val="clear"/>
        </w:rPr>
      </w:pPr>
      <w:r>
        <w:rPr>
          <w:rFonts w:ascii="Times New Roman;Times;serif" w:hAnsi="Times New Roman;Times;serif"/>
          <w:b/>
          <w:i/>
          <w:color w:val="000000"/>
          <w:sz w:val="24"/>
          <w:shd w:fill="FFFFFF" w:val="clear"/>
        </w:rPr>
        <w:t>Recent Accounting Pronouncements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color w:val="000000"/>
          <w:sz w:val="24"/>
          <w:shd w:fill="FFFFFF" w:val="clear"/>
        </w:rPr>
      </w:pPr>
      <w:r>
        <w:rPr>
          <w:rFonts w:ascii="Times New Roman;Times;serif" w:hAnsi="Times New Roman;Times;serif"/>
          <w:b w:val="false"/>
          <w:i/>
          <w:color w:val="000000"/>
          <w:sz w:val="24"/>
          <w:shd w:fill="FFFFFF" w:val="clear"/>
        </w:rPr>
        <w:t>Recent Accounting Guidance Not Yet Adopted</w:t>
      </w:r>
    </w:p>
    <w:p>
      <w:pPr>
        <w:pStyle w:val="TextBody"/>
        <w:bidi w:val="0"/>
        <w:spacing w:before="0" w:after="0"/>
        <w:jc w:val="both"/>
        <w:rPr>
          <w:b w:val="false"/>
          <w:i w:val="false"/>
          <w:caps w:val="false"/>
          <w:smallCaps w:val="false"/>
        </w:rPr>
      </w:pPr>
      <w:r>
        <w:rPr>
          <w:b w:val="false"/>
          <w:i w:val="false"/>
          <w:caps w:val="false"/>
          <w:smallCaps w:val="false"/>
        </w:rPr>
      </w:r>
    </w:p>
    <w:p>
      <w:pPr>
        <w:pStyle w:val="TextBody"/>
        <w:bidi w:val="0"/>
        <w:spacing w:before="0" w:after="160"/>
        <w:jc w:val="both"/>
        <w:rPr>
          <w:rFonts w:ascii="Times New Roman;Times;serif" w:hAnsi="Times New Roman;Times;serif"/>
          <w:b w:val="false"/>
          <w:i w:val="false"/>
          <w:caps w:val="false"/>
          <w:smallCaps w:val="false"/>
          <w:color w:val="000000"/>
          <w:sz w:val="24"/>
          <w:shd w:fill="FFFFFF" w:val="clear"/>
        </w:rPr>
      </w:pPr>
      <w:r>
        <w:rPr>
          <w:rFonts w:ascii="Times New Roman;Times;serif" w:hAnsi="Times New Roman;Times;serif"/>
          <w:b w:val="false"/>
          <w:i w:val="false"/>
          <w:caps w:val="false"/>
          <w:smallCaps w:val="false"/>
          <w:color w:val="000000"/>
          <w:sz w:val="24"/>
          <w:shd w:fill="FFFFFF" w:val="clear"/>
        </w:rPr>
        <w:t xml:space="preserve">In November 2023, the Financial Accounting Standards Board ("FASB") issued ASU No. 2023-07, </w:t>
      </w:r>
      <w:r>
        <w:rPr>
          <w:rFonts w:ascii="Times New Roman;Times;serif" w:hAnsi="Times New Roman;Times;serif"/>
          <w:b w:val="false"/>
          <w:i/>
          <w:caps w:val="false"/>
          <w:smallCaps w:val="false"/>
          <w:color w:val="000000"/>
          <w:sz w:val="24"/>
          <w:shd w:fill="FFFFFF" w:val="clear"/>
        </w:rPr>
        <w:t>Improvements to Reportable Segment Disclosures</w:t>
      </w:r>
      <w:r>
        <w:rPr>
          <w:rFonts w:ascii="Times New Roman;Times;serif" w:hAnsi="Times New Roman;Times;serif"/>
          <w:b w:val="false"/>
          <w:i w:val="false"/>
          <w:caps w:val="false"/>
          <w:smallCaps w:val="false"/>
          <w:color w:val="000000"/>
          <w:sz w:val="24"/>
          <w:shd w:fill="FFFFFF" w:val="clear"/>
        </w:rPr>
        <w:t>.  The ASU adds reportable segment disclosure requirements, primarily through enhanced disclosures about significant segment expenses, requires additional interim disclosures, and requires other segment-related disclosures.  The ASU is effective for the Company for interim and annual periods beginning on or after January 1, 2024, with the ability to early adopt.  The Company adopted the ASU effective January 1, 2024.  The adoption of the ASU will not impact the Company's reportable segments' results of operations or cash flows, but will increase its segment disclosures. </w:t>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Reclassifications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Certain prior year amounts have been reclassified to conform with current year presentation.  Such reclassifications had no effect on reported net earnings attributable to Vishay stockholders, total assets, stockholders' equity, or the statements of cash flows. </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F-15</w:t>
      </w:r>
    </w:p>
    <w:p>
      <w:pPr>
        <w:pStyle w:val="HorizontalLine"/>
        <w:bidi w:val="0"/>
        <w:spacing w:before="200" w:after="200"/>
        <w:jc w:val="left"/>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2 - Acquisition and Divestiture Activities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Year ended December 31, 2023</w:t>
      </w:r>
    </w:p>
    <w:p>
      <w:pPr>
        <w:pStyle w:val="TextBody"/>
        <w:bidi w:val="0"/>
        <w:spacing w:before="0" w:after="0"/>
        <w:jc w:val="both"/>
        <w:rPr>
          <w:rFonts w:ascii="Times New Roman" w:hAnsi="Times New Roman"/>
          <w:b/>
          <w:i/>
          <w:sz w:val="24"/>
        </w:rPr>
      </w:pPr>
      <w:r>
        <w:rPr>
          <w:rFonts w:ascii="Times New Roman" w:hAnsi="Times New Roman"/>
          <w:b/>
          <w:i/>
          <w:sz w:val="24"/>
        </w:rPr>
      </w:r>
    </w:p>
    <w:p>
      <w:pPr>
        <w:pStyle w:val="TextBody"/>
        <w:bidi w:val="0"/>
        <w:spacing w:before="0" w:after="0"/>
        <w:jc w:val="both"/>
        <w:rPr>
          <w:rFonts w:ascii="Times New Roman" w:hAnsi="Times New Roman"/>
          <w:b w:val="false"/>
          <w:i w:val="false"/>
          <w:caps w:val="false"/>
          <w:smallCaps w:val="false"/>
          <w:color w:val="000000"/>
          <w:sz w:val="24"/>
          <w:u w:val="single"/>
          <w:shd w:fill="FFFFFF" w:val="clear"/>
        </w:rPr>
      </w:pPr>
      <w:r>
        <w:rPr>
          <w:rFonts w:ascii="Times New Roman" w:hAnsi="Times New Roman"/>
          <w:b w:val="false"/>
          <w:i w:val="false"/>
          <w:caps w:val="false"/>
          <w:smallCaps w:val="false"/>
          <w:color w:val="000000"/>
          <w:sz w:val="24"/>
          <w:u w:val="single"/>
          <w:shd w:fill="FFFFFF" w:val="clear"/>
        </w:rPr>
        <w:t>Neptune 6 Limited</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 November 8, 2023, Vishay and Nexperia BV announced that they have entered into an agreement whereby Vishay will acquire Nexperia’s wafer fabrication facility and operations located in Newport, South Wales, U.K. for approximately $177,000 in cash, subject to customary post-closing adjustments.  On November 8, 2023, Vishay remitted $8,750 to an escrow account as a deposit for the acquisition.  Such amount is included within "Purchase of and deposits for businesses, net of cash acquired" on the consolidated statement of cash flows.</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To effect the transaction, Vishay will acquire a 100% interest in the legal entity Neptune 6 Limited, and its wholly-owned operating subsidiary, Nexperia Newport Limited, which owns and operates the Newport facility.</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closing of the transaction is subject to U.K. government review and customary closing conditions, and is expected to occur in the first quarter of 2024.</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u w:val="single"/>
          <w:shd w:fill="FFFFFF" w:val="clear"/>
        </w:rPr>
      </w:pPr>
      <w:r>
        <w:rPr>
          <w:rFonts w:ascii="Times New Roman" w:hAnsi="Times New Roman"/>
          <w:color w:val="000000"/>
          <w:sz w:val="24"/>
          <w:u w:val="single"/>
          <w:shd w:fill="FFFFFF" w:val="clear"/>
        </w:rPr>
        <w:t>Centerline Technologies, LLC</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 June 30, 2023, the Company acquired substantially all of the assets of Centerline Technologies, LLC ("Centerline"), a Massachusetts-based, privately held manufacturer of ceramic components used in many custom parts manufactured by certain of Vishay's Resistors businesses, for $5,003.  Based on an estimate of fair values, the Company allocated $1,500 of the purchase price to definite-lived intangible assets.  After allocating the purchase price to the assets acquired and liabilities assumed based on an estimation of their fair values at the date of acquisition, the Company recorded goodwill of $2,213 related to this acquisition.  The acquired business will be vertically integrated into the Company's Resistors segment, and the goodwill related to this acquisition is included in the Resistors reporting unit for goodwill impairment testing.  The results and operations of this acquisition have been included in the Resistors segment since June 30, 2023.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 w:hAnsi="Times New Roman"/>
          <w:b/>
          <w:i/>
          <w:color w:val="000000"/>
          <w:sz w:val="24"/>
          <w:shd w:fill="FFFFFF" w:val="clear"/>
        </w:rPr>
        <w:t>Year ended December 31, 2022</w:t>
      </w:r>
      <w:r>
        <w:rPr>
          <w:rFonts w:ascii="Times New Roman;Times;serif" w:hAnsi="Times New Roman;Times;serif"/>
          <w:color w:val="000000"/>
          <w:sz w:val="24"/>
          <w:shd w:fill="FFFFFF" w:val="clear"/>
        </w:rPr>
        <w:t xml:space="preserve"> </w:t>
      </w:r>
    </w:p>
    <w:p>
      <w:pPr>
        <w:pStyle w:val="TextBody"/>
        <w:bidi w:val="0"/>
        <w:spacing w:before="0" w:after="0"/>
        <w:jc w:val="both"/>
        <w:rPr>
          <w:rFonts w:ascii="Times New Roman" w:hAnsi="Times New Roman"/>
          <w:b/>
          <w:i/>
          <w:sz w:val="24"/>
        </w:rPr>
      </w:pPr>
      <w:r>
        <w:rPr>
          <w:rFonts w:ascii="Times New Roman" w:hAnsi="Times New Roman"/>
          <w:b/>
          <w:i/>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On October 28, 2022, the Company acquired all of the outstanding equity interests of MaxPower Semiconductor, Inc., ("MaxPower"), a San Jose, California-based fabless power semiconductor provider dedicated to delivering innovative and cost-effective technologies that optimize power management solutions.  The acquisition of MaxPower will enhance Vishay's current and future silicon carbide ("SiC") offerings for fast-growing markets such as electric vehicles. </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Company paid cash of $50,000, net of cash acquired, at closing.  The transaction also included possible contingent payments of up to $57,500, which would be payable upon the achievement of certain technology milestones, upon favorable resolution of certain technology licensing matters with a third party, and upon the disposition of MaxPower's investment in an equity affiliate.  The purchase price for U.S. GAAP purposes includes the fair value, as of the acquisition date, of certain future contingent payments to non-employee equity holders of MaxPower.  The estimated fair value of this contingent consideration as of the acquisition date was $6,851.  The contingent consideration liability is included in other accrued expenses and other liabilities in the accompanying balance sheet and is remeasured each reporting period, with changes reported as "Selling, general, and administrative expenses" on the consolidated statements of operations.    </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portion of contingent payments to be made to employee equity holders are deemed compensatory in nature.  Such payments made to employee equity holders will be recognized as expense in future periods, and thus are not included in the U.S. GAAP purchase price.</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One of the contingencies was resolved in the fourth quarter of 2023, which resulted in no additional payments to the former employees and stockholders of MaxPower.  Significant developments occurred in another of the contingencies in January 2024.  The Company's estimate of the maximum possible contingent payments is $17,500.  See Note 18 for further discussion on the fair value measurement of the contingent consideration liability.</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Based on an estimate of their fair values, the Company allocated $18,600 of the purchase price to definite-lived intangible assets.  After allocating the purchase price to the assets acquired and liabilities assumed based on an estimation of their fair values at the date of acquisition, the Company recorded goodwill of $34,246 related to this acquisition.  The results and operation of this acquisition have been included in the MOSFETs segment since October 28, 2022.  The goodwill related to this acquisition is included in the MOSFETs reporting unit for goodwill impairment testing.  </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Year ended December 31, 2021</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 December 31, 2021, the Company acquired substantially all of the U.S. assets of Barry Industries, a Massachusetts-based, privately-held manufacturer of resistive components for $20,847.  Based on an estimate of their fair values, the Company allocated $9,600 of the purchase price to definite-lived intangible assets.  After allocating the purchase price to the assets acquired and liabilities assumed based on an estimation of their fair values at the date of acquisition, the Company recorded goodwill of $7,813 related to this acquisition.  The results and operations of this acquisition have been included in the Resistors segment since December 31, 2021.  The goodwill related to this acquisition is included in the Resistors reporting unit for goodwill impairment testing.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F-16</w:t>
      </w:r>
    </w:p>
    <w:p>
      <w:pPr>
        <w:pStyle w:val="HorizontalLine"/>
        <w:bidi w:val="0"/>
        <w:spacing w:before="200" w:after="200"/>
        <w:jc w:val="both"/>
        <w:rPr/>
      </w:pPr>
      <w:r>
        <w:rPr/>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NOTES TO CONSOLIDATED FINANCIAL STATEMENTS</w:t>
      </w:r>
    </w:p>
    <w:p>
      <w:pPr>
        <w:pStyle w:val="TextBody"/>
        <w:bidi w:val="0"/>
        <w:spacing w:before="200" w:after="200"/>
        <w:jc w:val="center"/>
        <w:rPr>
          <w:rFonts w:ascii="Times New Roman" w:hAnsi="Times New Roman"/>
          <w:color w:val="000000"/>
          <w:sz w:val="24"/>
          <w:shd w:fill="FFFFFF" w:val="clear"/>
        </w:rPr>
      </w:pPr>
      <w:r>
        <w:rPr>
          <w:rFonts w:ascii="Times New Roman" w:hAnsi="Times New Roman"/>
          <w:color w:val="000000"/>
          <w:sz w:val="24"/>
          <w:shd w:fill="FFFFFF" w:val="clear"/>
        </w:rPr>
        <w:t>(dollars in thousands, except per share amounts)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3 – Goodwill and Other Intangible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performs its annual goodwill impairment test as of the first day of the fiscal fourth quarter.  No impairment was identified as a result of the Company's annual impairment tests for 2023, 2022, and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changes in the carrying amount of goodwill by segment for the years ended December 31, 2023 and 2022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9710" w:type="dxa"/>
        <w:jc w:val="left"/>
        <w:tblInd w:w="0" w:type="dxa"/>
        <w:tblLayout w:type="fixed"/>
        <w:tblCellMar>
          <w:top w:w="0" w:type="dxa"/>
          <w:left w:w="0" w:type="dxa"/>
          <w:bottom w:w="0" w:type="dxa"/>
          <w:right w:w="0" w:type="dxa"/>
        </w:tblCellMar>
      </w:tblPr>
      <w:tblGrid>
        <w:gridCol w:w="3470"/>
        <w:gridCol w:w="60"/>
        <w:gridCol w:w="192"/>
        <w:gridCol w:w="938"/>
        <w:gridCol w:w="95"/>
        <w:gridCol w:w="60"/>
        <w:gridCol w:w="256"/>
        <w:gridCol w:w="1249"/>
        <w:gridCol w:w="60"/>
        <w:gridCol w:w="60"/>
        <w:gridCol w:w="159"/>
        <w:gridCol w:w="776"/>
        <w:gridCol w:w="95"/>
        <w:gridCol w:w="60"/>
        <w:gridCol w:w="172"/>
        <w:gridCol w:w="838"/>
        <w:gridCol w:w="60"/>
        <w:gridCol w:w="60"/>
        <w:gridCol w:w="140"/>
        <w:gridCol w:w="800"/>
        <w:gridCol w:w="110"/>
      </w:tblGrid>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283"/>
              <w:jc w:val="center"/>
              <w:rPr>
                <w:b/>
                <w:sz w:val="24"/>
              </w:rPr>
            </w:pPr>
            <w:r>
              <w:rPr>
                <w:b/>
                <w:sz w:val="24"/>
              </w:rPr>
              <w:t>MOSFETs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Optoelectronic</w:t>
            </w:r>
          </w:p>
          <w:p>
            <w:pPr>
              <w:pStyle w:val="TableContents"/>
              <w:bidi w:val="0"/>
              <w:spacing w:before="0" w:after="0"/>
              <w:jc w:val="center"/>
              <w:rPr>
                <w:rFonts w:ascii="Times New Roman" w:hAnsi="Times New Roman"/>
                <w:b/>
                <w:sz w:val="24"/>
              </w:rPr>
            </w:pPr>
            <w:r>
              <w:rPr>
                <w:rFonts w:ascii="Times New Roman" w:hAnsi="Times New Roman"/>
                <w:b/>
                <w:sz w:val="24"/>
              </w:rPr>
              <w:t>Components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Resistors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Inductors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Total</w:t>
            </w:r>
          </w:p>
        </w:tc>
        <w:tc>
          <w:tcPr>
            <w:tcW w:w="110"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Balance at December 31, 2021</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sz w:val="24"/>
              </w:rPr>
            </w:pPr>
            <w:r>
              <w:rPr>
                <w:sz w:val="24"/>
              </w:rPr>
              <w:t>$</w:t>
            </w:r>
          </w:p>
        </w:tc>
        <w:tc>
          <w:tcPr>
            <w:tcW w:w="938" w:type="dxa"/>
            <w:tcBorders/>
            <w:shd w:fill="CCEEFF" w:val="clear"/>
            <w:vAlign w:val="bottom"/>
          </w:tcPr>
          <w:p>
            <w:pPr>
              <w:pStyle w:val="TableContents"/>
              <w:bidi w:val="0"/>
              <w:spacing w:before="0" w:after="283"/>
              <w:jc w:val="right"/>
              <w:rPr>
                <w:sz w:val="24"/>
              </w:rPr>
            </w:pPr>
            <w:r>
              <w:rPr>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4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96,849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7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42,605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38"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165,269</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MaxPower acquisition</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sz w:val="24"/>
              </w:rPr>
            </w:pPr>
            <w:r>
              <w:rPr>
                <w:sz w:val="24"/>
              </w:rPr>
              <w:t>36,885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36,885</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Exchange rate effects</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283"/>
              <w:jc w:val="right"/>
              <w:rPr>
                <w:sz w:val="24"/>
              </w:rPr>
            </w:pPr>
            <w:r>
              <w:rPr>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(722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(722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Balance at December 31, 2022</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sz w:val="24"/>
              </w:rPr>
            </w:pPr>
            <w:r>
              <w:rPr>
                <w:sz w:val="24"/>
              </w:rPr>
              <w:t>$</w:t>
            </w:r>
          </w:p>
        </w:tc>
        <w:tc>
          <w:tcPr>
            <w:tcW w:w="938" w:type="dxa"/>
            <w:tcBorders/>
            <w:vAlign w:val="bottom"/>
          </w:tcPr>
          <w:p>
            <w:pPr>
              <w:pStyle w:val="TableContents"/>
              <w:bidi w:val="0"/>
              <w:spacing w:before="0" w:after="283"/>
              <w:jc w:val="right"/>
              <w:rPr>
                <w:sz w:val="24"/>
              </w:rPr>
            </w:pPr>
            <w:r>
              <w:rPr>
                <w:sz w:val="24"/>
              </w:rPr>
              <w:t>36,885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4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96,849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76"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41,883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38"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201,432</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Centerline acquisition</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b/>
                <w:sz w:val="24"/>
              </w:rPr>
            </w:pPr>
            <w:r>
              <w:rPr>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2,213</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sz w:val="24"/>
              </w:rPr>
            </w:pPr>
            <w:r>
              <w:rPr>
                <w:sz w:val="24"/>
              </w:rPr>
              <w:t>Purchase price allocation adjustment</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b/>
                <w:sz w:val="24"/>
              </w:rPr>
            </w:pPr>
            <w:r>
              <w:rPr>
                <w:b/>
                <w:sz w:val="24"/>
              </w:rPr>
              <w:t>(2,639</w:t>
            </w:r>
          </w:p>
        </w:tc>
        <w:tc>
          <w:tcPr>
            <w:tcW w:w="95" w:type="dxa"/>
            <w:tcBorders/>
            <w:vAlign w:val="bottom"/>
          </w:tcPr>
          <w:p>
            <w:pPr>
              <w:pStyle w:val="TableContents"/>
              <w:bidi w:val="0"/>
              <w:spacing w:before="0" w:after="283"/>
              <w:jc w:val="left"/>
              <w:rPr>
                <w:b/>
                <w:sz w:val="24"/>
              </w:rPr>
            </w:pPr>
            <w:r>
              <w:rPr>
                <w:b/>
                <w:sz w:val="24"/>
              </w:rPr>
              <w:t>)</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b/>
                <w:sz w:val="24"/>
              </w:rPr>
            </w:pPr>
            <w:r>
              <w:rPr>
                <w:b/>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b/>
                <w:sz w:val="24"/>
              </w:rPr>
            </w:pPr>
            <w:r>
              <w:rPr>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b/>
                <w:sz w:val="24"/>
              </w:rPr>
            </w:pPr>
            <w:r>
              <w:rPr>
                <w:b/>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sz w:val="24"/>
              </w:rPr>
            </w:pPr>
            <w:r>
              <w:rPr>
                <w:b/>
                <w:sz w:val="24"/>
              </w:rPr>
              <w:t>(2,639</w:t>
            </w:r>
          </w:p>
        </w:tc>
        <w:tc>
          <w:tcPr>
            <w:tcW w:w="110" w:type="dxa"/>
            <w:tcBorders/>
            <w:vAlign w:val="bottom"/>
          </w:tcPr>
          <w:p>
            <w:pPr>
              <w:pStyle w:val="TableContents"/>
              <w:bidi w:val="0"/>
              <w:spacing w:before="0" w:after="283"/>
              <w:jc w:val="left"/>
              <w:rPr>
                <w:b/>
                <w:sz w:val="24"/>
              </w:rPr>
            </w:pPr>
            <w:r>
              <w:rPr>
                <w:b/>
                <w:sz w:val="24"/>
              </w:rPr>
              <w:t>)</w:t>
            </w:r>
          </w:p>
        </w:tc>
      </w:tr>
      <w:tr>
        <w:trPr/>
        <w:tc>
          <w:tcPr>
            <w:tcW w:w="34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Exchange rate effects</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283"/>
              <w:jc w:val="right"/>
              <w:rPr>
                <w:b/>
                <w:sz w:val="24"/>
              </w:rPr>
            </w:pPr>
            <w:r>
              <w:rPr>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410</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Balance at December 31, 2023</w:t>
            </w:r>
          </w:p>
        </w:tc>
        <w:tc>
          <w:tcPr>
            <w:tcW w:w="60" w:type="dxa"/>
            <w:tcBorders/>
            <w:vAlign w:val="bottom"/>
          </w:tcPr>
          <w:p>
            <w:pPr>
              <w:pStyle w:val="TableContents"/>
              <w:bidi w:val="0"/>
              <w:spacing w:before="0" w:after="283"/>
              <w:jc w:val="right"/>
              <w:rPr/>
            </w:pPr>
            <w:r>
              <w:rPr/>
              <w:t> </w:t>
            </w:r>
          </w:p>
        </w:tc>
        <w:tc>
          <w:tcPr>
            <w:tcW w:w="192" w:type="dxa"/>
            <w:tcBorders>
              <w:bottom w:val="double" w:sz="8" w:space="0" w:color="000000"/>
            </w:tcBorders>
            <w:tcMar>
              <w:bottom w:w="28" w:type="dxa"/>
            </w:tcMar>
            <w:vAlign w:val="bottom"/>
          </w:tcPr>
          <w:p>
            <w:pPr>
              <w:pStyle w:val="TableContents"/>
              <w:bidi w:val="0"/>
              <w:spacing w:before="0" w:after="283"/>
              <w:jc w:val="left"/>
              <w:rPr>
                <w:b/>
                <w:sz w:val="24"/>
              </w:rPr>
            </w:pPr>
            <w:r>
              <w:rPr>
                <w:b/>
                <w:sz w:val="24"/>
              </w:rPr>
              <w:t>$</w:t>
            </w:r>
          </w:p>
        </w:tc>
        <w:tc>
          <w:tcPr>
            <w:tcW w:w="938" w:type="dxa"/>
            <w:tcBorders>
              <w:bottom w:val="double" w:sz="8" w:space="0" w:color="000000"/>
            </w:tcBorders>
            <w:tcMar>
              <w:bottom w:w="28" w:type="dxa"/>
            </w:tcMar>
            <w:vAlign w:val="bottom"/>
          </w:tcPr>
          <w:p>
            <w:pPr>
              <w:pStyle w:val="TableContents"/>
              <w:bidi w:val="0"/>
              <w:spacing w:before="0" w:after="283"/>
              <w:jc w:val="right"/>
              <w:rPr>
                <w:b/>
                <w:sz w:val="24"/>
              </w:rPr>
            </w:pPr>
            <w:r>
              <w:rPr>
                <w:b/>
                <w:sz w:val="24"/>
              </w:rPr>
              <w:t>34,246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96,849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7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44,506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3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25,815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201,416</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Other intangible assets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7278" w:type="dxa"/>
        <w:jc w:val="left"/>
        <w:tblInd w:w="0" w:type="dxa"/>
        <w:tblLayout w:type="fixed"/>
        <w:tblCellMar>
          <w:top w:w="0" w:type="dxa"/>
          <w:left w:w="0" w:type="dxa"/>
          <w:bottom w:w="0" w:type="dxa"/>
          <w:right w:w="0" w:type="dxa"/>
        </w:tblCellMar>
      </w:tblPr>
      <w:tblGrid>
        <w:gridCol w:w="4160"/>
        <w:gridCol w:w="60"/>
        <w:gridCol w:w="181"/>
        <w:gridCol w:w="1233"/>
        <w:gridCol w:w="60"/>
        <w:gridCol w:w="60"/>
        <w:gridCol w:w="194"/>
        <w:gridCol w:w="1220"/>
        <w:gridCol w:w="110"/>
      </w:tblGrid>
      <w:tr>
        <w:trPr/>
        <w:tc>
          <w:tcPr>
            <w:tcW w:w="4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0" w:type="dxa"/>
            <w:tcBorders/>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Intangible assets subject to amortization:</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Patents and acquired technology</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33"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26,053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2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26,988</w:t>
            </w:r>
          </w:p>
        </w:tc>
        <w:tc>
          <w:tcPr>
            <w:tcW w:w="11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Capitalized software</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62,360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58,735</w:t>
            </w:r>
          </w:p>
        </w:tc>
        <w:tc>
          <w:tcPr>
            <w:tcW w:w="11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Customer relationships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83,895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82,816</w:t>
            </w:r>
          </w:p>
        </w:tc>
        <w:tc>
          <w:tcPr>
            <w:tcW w:w="11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Tradenames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22,300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22,933</w:t>
            </w:r>
          </w:p>
        </w:tc>
        <w:tc>
          <w:tcPr>
            <w:tcW w:w="11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400</w:t>
            </w:r>
          </w:p>
        </w:tc>
        <w:tc>
          <w:tcPr>
            <w:tcW w:w="11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195,008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191,872</w:t>
            </w:r>
          </w:p>
        </w:tc>
        <w:tc>
          <w:tcPr>
            <w:tcW w:w="11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Accumulated amortization:</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Patents and acquired technology</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(14,743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Capitalized software</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(54,203)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(53,348</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Customer relationships</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(38,664)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(33,021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Tradenames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(12,731</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(122,675)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(113,976</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16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Net intangible assets subject to amortization</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72,333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77,896</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Amortization expense (excluding capitalized software) was $9,916, $8,127, and $7,790, for the years ended December 31, 2023, 2022, and 2021,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Estimated annual amortization expense of intangible assets on the balance sheet at December 31, 2023 for each of the next five years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350" w:type="dxa"/>
        <w:jc w:val="left"/>
        <w:tblInd w:w="0" w:type="dxa"/>
        <w:tblLayout w:type="fixed"/>
        <w:tblCellMar>
          <w:top w:w="0" w:type="dxa"/>
          <w:left w:w="0" w:type="dxa"/>
          <w:bottom w:w="0" w:type="dxa"/>
          <w:right w:w="0" w:type="dxa"/>
        </w:tblCellMar>
      </w:tblPr>
      <w:tblGrid>
        <w:gridCol w:w="515"/>
        <w:gridCol w:w="60"/>
        <w:gridCol w:w="140"/>
        <w:gridCol w:w="560"/>
        <w:gridCol w:w="75"/>
      </w:tblGrid>
      <w:tr>
        <w:trPr/>
        <w:tc>
          <w:tcPr>
            <w:tcW w:w="515"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9,832</w:t>
            </w:r>
          </w:p>
        </w:tc>
        <w:tc>
          <w:tcPr>
            <w:tcW w:w="75" w:type="dxa"/>
            <w:tcBorders/>
            <w:shd w:fill="CCEEFF" w:val="clear"/>
            <w:vAlign w:val="bottom"/>
          </w:tcPr>
          <w:p>
            <w:pPr>
              <w:pStyle w:val="TableContents"/>
              <w:bidi w:val="0"/>
              <w:spacing w:before="0" w:after="283"/>
              <w:jc w:val="left"/>
              <w:rPr/>
            </w:pPr>
            <w:r>
              <w:rPr/>
              <w:t> </w:t>
            </w:r>
          </w:p>
        </w:tc>
      </w:tr>
      <w:tr>
        <w:trPr/>
        <w:tc>
          <w:tcPr>
            <w:tcW w:w="515" w:type="dxa"/>
            <w:tcBorders/>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9,372</w:t>
            </w:r>
          </w:p>
        </w:tc>
        <w:tc>
          <w:tcPr>
            <w:tcW w:w="75" w:type="dxa"/>
            <w:tcBorders/>
            <w:vAlign w:val="bottom"/>
          </w:tcPr>
          <w:p>
            <w:pPr>
              <w:pStyle w:val="TableContents"/>
              <w:bidi w:val="0"/>
              <w:spacing w:before="0" w:after="283"/>
              <w:jc w:val="left"/>
              <w:rPr/>
            </w:pPr>
            <w:r>
              <w:rPr/>
              <w:t> </w:t>
            </w:r>
          </w:p>
        </w:tc>
      </w:tr>
      <w:tr>
        <w:trPr/>
        <w:tc>
          <w:tcPr>
            <w:tcW w:w="515"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8,555</w:t>
            </w:r>
          </w:p>
        </w:tc>
        <w:tc>
          <w:tcPr>
            <w:tcW w:w="75" w:type="dxa"/>
            <w:tcBorders/>
            <w:shd w:fill="CCEEFF" w:val="clear"/>
            <w:vAlign w:val="bottom"/>
          </w:tcPr>
          <w:p>
            <w:pPr>
              <w:pStyle w:val="TableContents"/>
              <w:bidi w:val="0"/>
              <w:spacing w:before="0" w:after="283"/>
              <w:jc w:val="left"/>
              <w:rPr/>
            </w:pPr>
            <w:r>
              <w:rPr/>
              <w:t> </w:t>
            </w:r>
          </w:p>
        </w:tc>
      </w:tr>
      <w:tr>
        <w:trPr/>
        <w:tc>
          <w:tcPr>
            <w:tcW w:w="515" w:type="dxa"/>
            <w:tcBorders/>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6,734</w:t>
            </w:r>
          </w:p>
        </w:tc>
        <w:tc>
          <w:tcPr>
            <w:tcW w:w="75" w:type="dxa"/>
            <w:tcBorders/>
            <w:vAlign w:val="bottom"/>
          </w:tcPr>
          <w:p>
            <w:pPr>
              <w:pStyle w:val="TableContents"/>
              <w:bidi w:val="0"/>
              <w:spacing w:before="0" w:after="283"/>
              <w:jc w:val="left"/>
              <w:rPr/>
            </w:pPr>
            <w:r>
              <w:rPr/>
              <w:t> </w:t>
            </w:r>
          </w:p>
        </w:tc>
      </w:tr>
      <w:tr>
        <w:trPr/>
        <w:tc>
          <w:tcPr>
            <w:tcW w:w="515"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5,975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F-17</w:t>
      </w:r>
    </w:p>
    <w:p>
      <w:pPr>
        <w:pStyle w:val="HorizontalLine"/>
        <w:bidi w:val="0"/>
        <w:spacing w:before="240" w:after="240"/>
        <w:jc w:val="left"/>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4 – 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net right of use assets and lease liabilities recognized on the consolidated balance sheets for the Company's operating leases as of December 31, 2023 and 2022 are presented below:</w:t>
      </w:r>
    </w:p>
    <w:p>
      <w:pPr>
        <w:pStyle w:val="TextBody"/>
        <w:bidi w:val="0"/>
        <w:spacing w:before="0" w:after="0"/>
        <w:jc w:val="left"/>
        <w:rPr>
          <w:rFonts w:ascii="Times New Roman" w:hAnsi="Times New Roman"/>
          <w:sz w:val="20"/>
        </w:rPr>
      </w:pPr>
      <w:r>
        <w:rPr>
          <w:rFonts w:ascii="Times New Roman" w:hAnsi="Times New Roman"/>
          <w:sz w:val="20"/>
        </w:rPr>
      </w:r>
    </w:p>
    <w:tbl>
      <w:tblPr>
        <w:tblW w:w="5833" w:type="dxa"/>
        <w:jc w:val="left"/>
        <w:tblInd w:w="0" w:type="dxa"/>
        <w:tblLayout w:type="fixed"/>
        <w:tblCellMar>
          <w:top w:w="0" w:type="dxa"/>
          <w:left w:w="0" w:type="dxa"/>
          <w:bottom w:w="0" w:type="dxa"/>
          <w:right w:w="0" w:type="dxa"/>
        </w:tblCellMar>
      </w:tblPr>
      <w:tblGrid>
        <w:gridCol w:w="2750"/>
        <w:gridCol w:w="60"/>
        <w:gridCol w:w="210"/>
        <w:gridCol w:w="1204"/>
        <w:gridCol w:w="60"/>
        <w:gridCol w:w="60"/>
        <w:gridCol w:w="210"/>
        <w:gridCol w:w="1204"/>
        <w:gridCol w:w="75"/>
      </w:tblGrid>
      <w:tr>
        <w:trPr/>
        <w:tc>
          <w:tcPr>
            <w:tcW w:w="27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7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Right of use assets</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i/>
                <w:sz w:val="24"/>
              </w:rPr>
            </w:pPr>
            <w:r>
              <w:rPr>
                <w:rFonts w:ascii="Times New Roman" w:hAnsi="Times New Roman"/>
                <w:i/>
                <w:sz w:val="24"/>
              </w:rPr>
              <w:t>Operating Leases</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Buildings and improvements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121,578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126,933</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Machinery and equipment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4,260</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Total</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126,829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131,193</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Current lease liabilities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i/>
                <w:sz w:val="24"/>
              </w:rPr>
            </w:pPr>
            <w:r>
              <w:rPr>
                <w:rFonts w:ascii="Times New Roman" w:hAnsi="Times New Roman"/>
                <w:i/>
                <w:sz w:val="24"/>
              </w:rPr>
              <w:t>Operating Leases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Buildings and improvements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22,926</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Machinery and equipment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2,393</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Total</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26,485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25,319</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Long-term lease liabilities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i/>
                <w:sz w:val="24"/>
              </w:rPr>
            </w:pPr>
            <w:r>
              <w:rPr>
                <w:rFonts w:ascii="Times New Roman" w:hAnsi="Times New Roman"/>
                <w:i/>
                <w:sz w:val="24"/>
              </w:rPr>
              <w:t>Operating Leases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Buildings and improvements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100,489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106,693</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Machinery and equipment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2,341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1,800</w:t>
            </w:r>
          </w:p>
        </w:tc>
        <w:tc>
          <w:tcPr>
            <w:tcW w:w="7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Total</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102,830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108,493</w:t>
            </w:r>
          </w:p>
        </w:tc>
        <w:tc>
          <w:tcPr>
            <w:tcW w:w="7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Total lease liabilities</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129,315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133,812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Lease expense is classified in the statements of operations based on asset use.  Total lease cost recognized on the consolidated statements of operations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271" w:type="dxa"/>
        <w:jc w:val="left"/>
        <w:tblInd w:w="0" w:type="dxa"/>
        <w:tblLayout w:type="fixed"/>
        <w:tblCellMar>
          <w:top w:w="0" w:type="dxa"/>
          <w:left w:w="0" w:type="dxa"/>
          <w:bottom w:w="0" w:type="dxa"/>
          <w:right w:w="0" w:type="dxa"/>
        </w:tblCellMar>
      </w:tblPr>
      <w:tblGrid>
        <w:gridCol w:w="2390"/>
        <w:gridCol w:w="60"/>
        <w:gridCol w:w="142"/>
        <w:gridCol w:w="692"/>
        <w:gridCol w:w="61"/>
        <w:gridCol w:w="61"/>
        <w:gridCol w:w="142"/>
        <w:gridCol w:w="692"/>
        <w:gridCol w:w="61"/>
        <w:gridCol w:w="61"/>
        <w:gridCol w:w="142"/>
        <w:gridCol w:w="692"/>
        <w:gridCol w:w="75"/>
      </w:tblGrid>
      <w:tr>
        <w:trPr/>
        <w:tc>
          <w:tcPr>
            <w:tcW w:w="23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746"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rFonts w:ascii="Times New Roman" w:hAnsi="Times New Roman"/>
                <w:sz w:val="24"/>
                <w:u w:val="single"/>
              </w:rPr>
            </w:pPr>
            <w:r>
              <w:rPr>
                <w:rFonts w:ascii="Times New Roman" w:hAnsi="Times New Roman"/>
                <w:sz w:val="24"/>
                <w:u w:val="single"/>
              </w:rPr>
              <w:t>Lease expense</w:t>
            </w:r>
          </w:p>
        </w:tc>
        <w:tc>
          <w:tcPr>
            <w:tcW w:w="60" w:type="dxa"/>
            <w:tcBorders/>
            <w:vAlign w:val="bottom"/>
          </w:tcPr>
          <w:p>
            <w:pPr>
              <w:pStyle w:val="TableContents"/>
              <w:bidi w:val="0"/>
              <w:spacing w:before="0" w:after="283"/>
              <w:jc w:val="left"/>
              <w:rPr/>
            </w:pPr>
            <w:r>
              <w:rPr/>
              <w:t> </w:t>
            </w:r>
          </w:p>
        </w:tc>
        <w:tc>
          <w:tcPr>
            <w:tcW w:w="834"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4"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Operating lease expense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27,909</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25,606</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24,853</w:t>
            </w:r>
          </w:p>
        </w:tc>
        <w:tc>
          <w:tcPr>
            <w:tcW w:w="75"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Short-term lease expense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988</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971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2,031</w:t>
            </w:r>
          </w:p>
        </w:tc>
        <w:tc>
          <w:tcPr>
            <w:tcW w:w="75"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Variable lease expense</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566</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365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359</w:t>
            </w:r>
          </w:p>
        </w:tc>
        <w:tc>
          <w:tcPr>
            <w:tcW w:w="75"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Total lease expense</w:t>
            </w:r>
          </w:p>
        </w:tc>
        <w:tc>
          <w:tcPr>
            <w:tcW w:w="6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29,463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26,942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27,243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paid $28,164, $24,074, and $23,899 for its operating leases during the years ended December 31, 2023, 2022, and 2021, respectively, which are included in operating cash flows on the consolidated statements of cash flows.  The weighted-average remaining lease term for the Company's operating leases is 9.4 years and the weighted-average discount rate is 6.3% as of December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undiscounted future lease payments for the Company's operating lease liabilities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965" w:type="dxa"/>
        <w:jc w:val="left"/>
        <w:tblInd w:w="0" w:type="dxa"/>
        <w:tblLayout w:type="fixed"/>
        <w:tblCellMar>
          <w:top w:w="0" w:type="dxa"/>
          <w:left w:w="0" w:type="dxa"/>
          <w:bottom w:w="0" w:type="dxa"/>
          <w:right w:w="0" w:type="dxa"/>
        </w:tblCellMar>
      </w:tblPr>
      <w:tblGrid>
        <w:gridCol w:w="1010"/>
        <w:gridCol w:w="60"/>
        <w:gridCol w:w="140"/>
        <w:gridCol w:w="680"/>
        <w:gridCol w:w="75"/>
      </w:tblGrid>
      <w:tr>
        <w:trPr/>
        <w:tc>
          <w:tcPr>
            <w:tcW w:w="10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27,474</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24,235</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19,692</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17,802</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15,154</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Thereafter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68,809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undiscounted future lease payments presented in the table above include payments through the term of the lease, which may include periods beyond the noncancellable term.  The difference between the total payments above and the lease liability balance is due to the discount rate used to calculate lease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F-18</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5 – 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shd w:fill="FFFFFF" w:val="clear"/>
        </w:rPr>
      </w:pPr>
      <w:bookmarkStart w:id="51" w:name="_Hlk89704923"/>
      <w:bookmarkEnd w:id="51"/>
      <w:r>
        <w:rPr>
          <w:rFonts w:ascii="Times New Roman" w:hAnsi="Times New Roman"/>
          <w:b/>
          <w:color w:val="000000"/>
          <w:sz w:val="24"/>
          <w:shd w:fill="FFFFFF" w:val="clear"/>
        </w:rPr>
        <w:t>Changes in Tax Laws and Regulations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shd w:fill="FFFFFF" w:val="clear"/>
        </w:rPr>
      </w:pPr>
      <w:r>
        <w:rPr>
          <w:rFonts w:ascii="Times New Roman" w:hAnsi="Times New Roman"/>
          <w:i/>
          <w:color w:val="000000"/>
          <w:sz w:val="24"/>
          <w:shd w:fill="FFFFFF" w:val="clear"/>
        </w:rPr>
        <w:t>Israel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Effective November 15, 2021, Israel enacted changes in its tax laws.  As a direct result of this change in tax law, the Company made the determination during the fourth fiscal quarter of 2021 that substantially all unremitted foreign earnings in Israel were no longer indefinitely reinvested.  The Company recorded additional tax expense of $53,316 during the fourth fiscal quarter of 2021 to accrue the claw-back tax on applicable earnings and withholding taxes necessary to distribute these approximately $385,000 of accumulated earnings to the United States.  The Company repatriated $81,243 to the United States in 2022 pursuant to this repatriation program.  The Company paid withholding taxes, foreign taxes, and Israeli clawback taxes of $25,201 due to the repatriation.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shd w:fill="FFFFFF" w:val="clear"/>
        </w:rPr>
      </w:pPr>
      <w:r>
        <w:rPr>
          <w:rFonts w:ascii="Times New Roman" w:hAnsi="Times New Roman"/>
          <w:i/>
          <w:color w:val="000000"/>
          <w:sz w:val="24"/>
          <w:shd w:fill="FFFFFF" w:val="clear"/>
        </w:rPr>
        <w:t>United States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 December 22, 2017, the Tax Cuts and Jobs Act (the "TCJA") was enacted in the United States.  Under previous law, companies could indefinitely defer U.S. income taxation on unremitted foreign earnings. The TCJA imposed a one-time transition tax on deferred foreign earnings, payable in defined increments over eight years.  Installments of $27,670 were paid in 2023 and $14,757 were paid in each of 2022, 2021, 2020, 2019, and 2018.</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expects future installment payments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530" w:type="dxa"/>
        <w:jc w:val="left"/>
        <w:tblInd w:w="0" w:type="dxa"/>
        <w:tblLayout w:type="fixed"/>
        <w:tblCellMar>
          <w:top w:w="0" w:type="dxa"/>
          <w:left w:w="0" w:type="dxa"/>
          <w:bottom w:w="0" w:type="dxa"/>
          <w:right w:w="0" w:type="dxa"/>
        </w:tblCellMar>
      </w:tblPr>
      <w:tblGrid>
        <w:gridCol w:w="515"/>
        <w:gridCol w:w="60"/>
        <w:gridCol w:w="200"/>
        <w:gridCol w:w="680"/>
        <w:gridCol w:w="75"/>
      </w:tblGrid>
      <w:tr>
        <w:trPr/>
        <w:tc>
          <w:tcPr>
            <w:tcW w:w="515" w:type="dxa"/>
            <w:tcBorders/>
            <w:shd w:fill="CCEEFF" w:val="clear"/>
            <w:vAlign w:val="bottom"/>
          </w:tcPr>
          <w:p>
            <w:pPr>
              <w:pStyle w:val="TableContents"/>
              <w:bidi w:val="0"/>
              <w:spacing w:before="0" w:after="0"/>
              <w:jc w:val="both"/>
              <w:rPr>
                <w:rFonts w:ascii="Times New Roman" w:hAnsi="Times New Roman"/>
                <w:sz w:val="24"/>
              </w:rPr>
            </w:pPr>
            <w:r>
              <w:rPr>
                <w:rFonts w:ascii="Times New Roman" w:hAnsi="Times New Roman"/>
                <w:sz w:val="24"/>
              </w:rPr>
              <w:t>2024</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sz w:val="24"/>
              </w:rPr>
              <w:t>$</w:t>
            </w:r>
            <w:r>
              <w:rPr/>
              <w:t xml:space="preserve">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37,622</w:t>
            </w:r>
          </w:p>
        </w:tc>
        <w:tc>
          <w:tcPr>
            <w:tcW w:w="75" w:type="dxa"/>
            <w:tcBorders/>
            <w:shd w:fill="CCEEFF" w:val="clear"/>
            <w:vAlign w:val="bottom"/>
          </w:tcPr>
          <w:p>
            <w:pPr>
              <w:pStyle w:val="TableContents"/>
              <w:bidi w:val="0"/>
              <w:spacing w:before="0" w:after="283"/>
              <w:jc w:val="left"/>
              <w:rPr/>
            </w:pPr>
            <w:r>
              <w:rPr/>
              <w:t> </w:t>
            </w:r>
          </w:p>
        </w:tc>
      </w:tr>
      <w:tr>
        <w:trPr/>
        <w:tc>
          <w:tcPr>
            <w:tcW w:w="515" w:type="dxa"/>
            <w:tcBorders/>
            <w:vAlign w:val="bottom"/>
          </w:tcPr>
          <w:p>
            <w:pPr>
              <w:pStyle w:val="TableContents"/>
              <w:bidi w:val="0"/>
              <w:spacing w:before="0" w:after="0"/>
              <w:jc w:val="both"/>
              <w:rPr>
                <w:rFonts w:ascii="Times New Roman" w:hAnsi="Times New Roman"/>
                <w:sz w:val="24"/>
              </w:rPr>
            </w:pPr>
            <w:r>
              <w:rPr>
                <w:rFonts w:ascii="Times New Roman" w:hAnsi="Times New Roman"/>
                <w:sz w:val="24"/>
              </w:rPr>
              <w:t>2025</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47,027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U.S. Internal Revenue Service continues to issue regulations to address the provisions of the TCJA.  During 2021, the Company amended tax returns for 2018 and 2019 and recognized tax benefits of $8,276 as a result of changes in tax regulations, by making an election regarding Global Intangible Low-Taxed Income (“GILTI”).  The Company has elected to account for GILTI tax in the period in which it is incurred and, therefore, does not provide any deferred taxes in the consolidated financial statements at December 31, 2023, 2022, or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4"/>
          <w:shd w:fill="FFFFFF" w:val="clear"/>
        </w:rPr>
        <w:t>Change in Indefinite Reversal Assertion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made the determination during the fourth fiscal quarter of 2022 that substantially all unremitted earnings in Germany are no longer indefinitely reinvested.  Additional tax expense was recorded during the fourth fiscal quarter of 2022 to accrue the $59,642 of withholding taxes necessary to distribute these approximately $360,000 of accumulated earnings to the United States.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These changes in this indefinite reinvestment assertion provide greater access to the Company's worldwide cash balances to fund its growth plan and its Stockholder Return Policy.  While the change in assertion provides access to these balances, these amounts will be repatriated only as needed.  The withholding taxes associated with any distribution to the United States is payable upon distribution.  During the fourth fiscal quarter of 2023, the Company repatriated $325,000 of accumulated earnings to the United States and paid withholding taxes, in Germany and Israel, of $63,600.</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 December 31, 2023, approximately $218,000 of German earnings and approximately $380,000 of Israeli earnings are deemed not indefinitely reinvested.  The aggregate tax liability recorded for unremitted earnings at December 31, 2023 is approximately $86,000, which includes amounts accrued subsequent to the changes in indefinite reinvestment determinations described above.</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There are amounts of unremitted foreign earnings in countries other than Israel and Germany, which continue to be reinvested indefinitely, and the Company has made no provision for incremental foreign income taxes and withholding taxes payable to foreign jurisdictions related to these amounts.  Determination of the amount of the unrecognized deferred foreign tax liability for these amounts is not practicable because of the complexities associated with its hypothetical calculation.</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F-19</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5 – Income Taxes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Income before taxes consists of the following components:</w:t>
      </w:r>
    </w:p>
    <w:p>
      <w:pPr>
        <w:pStyle w:val="TextBody"/>
        <w:bidi w:val="0"/>
        <w:spacing w:before="0" w:after="0"/>
        <w:jc w:val="left"/>
        <w:rPr>
          <w:rFonts w:ascii="Times New Roman" w:hAnsi="Times New Roman"/>
          <w:sz w:val="20"/>
        </w:rPr>
      </w:pPr>
      <w:r>
        <w:rPr>
          <w:rFonts w:ascii="Times New Roman" w:hAnsi="Times New Roman"/>
          <w:sz w:val="20"/>
        </w:rPr>
      </w:r>
    </w:p>
    <w:tbl>
      <w:tblPr>
        <w:tblW w:w="4250" w:type="dxa"/>
        <w:jc w:val="left"/>
        <w:tblInd w:w="0" w:type="dxa"/>
        <w:tblLayout w:type="fixed"/>
        <w:tblCellMar>
          <w:top w:w="0" w:type="dxa"/>
          <w:left w:w="0" w:type="dxa"/>
          <w:bottom w:w="0" w:type="dxa"/>
          <w:right w:w="0" w:type="dxa"/>
        </w:tblCellMar>
      </w:tblPr>
      <w:tblGrid>
        <w:gridCol w:w="935"/>
        <w:gridCol w:w="60"/>
        <w:gridCol w:w="200"/>
        <w:gridCol w:w="800"/>
        <w:gridCol w:w="60"/>
        <w:gridCol w:w="60"/>
        <w:gridCol w:w="200"/>
        <w:gridCol w:w="800"/>
        <w:gridCol w:w="60"/>
        <w:gridCol w:w="60"/>
        <w:gridCol w:w="140"/>
        <w:gridCol w:w="800"/>
        <w:gridCol w:w="75"/>
      </w:tblGrid>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Domestic</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 xml:space="preserve">$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67,938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sz w:val="24"/>
              </w:rPr>
            </w:pPr>
            <w:r>
              <w:rPr>
                <w:sz w:val="24"/>
              </w:rPr>
              <w:t xml:space="preserve">$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132,426</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62,921</w:t>
            </w:r>
          </w:p>
        </w:tc>
        <w:tc>
          <w:tcPr>
            <w:tcW w:w="75" w:type="dxa"/>
            <w:tcBorders/>
            <w:shd w:fill="CCEEFF" w:val="clear"/>
            <w:vAlign w:val="bottom"/>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399,464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461,079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371,689</w:t>
            </w:r>
          </w:p>
        </w:tc>
        <w:tc>
          <w:tcPr>
            <w:tcW w:w="75"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sz w:val="24"/>
              </w:rPr>
            </w:pPr>
            <w:r>
              <w:rPr>
                <w:sz w:val="24"/>
              </w:rPr>
              <w:t xml:space="preserve">$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467,402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sz w:val="24"/>
              </w:rPr>
            </w:pPr>
            <w:r>
              <w:rPr>
                <w:sz w:val="24"/>
              </w:rPr>
              <w:t xml:space="preserve">$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593,505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434,610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Significant components of income taxes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715" w:type="dxa"/>
        <w:jc w:val="left"/>
        <w:tblInd w:w="0" w:type="dxa"/>
        <w:tblLayout w:type="fixed"/>
        <w:tblCellMar>
          <w:top w:w="0" w:type="dxa"/>
          <w:left w:w="0" w:type="dxa"/>
          <w:bottom w:w="0" w:type="dxa"/>
          <w:right w:w="0" w:type="dxa"/>
        </w:tblCellMar>
      </w:tblPr>
      <w:tblGrid>
        <w:gridCol w:w="2450"/>
        <w:gridCol w:w="60"/>
        <w:gridCol w:w="140"/>
        <w:gridCol w:w="800"/>
        <w:gridCol w:w="95"/>
        <w:gridCol w:w="60"/>
        <w:gridCol w:w="140"/>
        <w:gridCol w:w="800"/>
        <w:gridCol w:w="95"/>
        <w:gridCol w:w="60"/>
        <w:gridCol w:w="140"/>
        <w:gridCol w:w="800"/>
        <w:gridCol w:w="75"/>
      </w:tblGrid>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Current:</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Federal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14,594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2,336</w:t>
            </w:r>
          </w:p>
        </w:tc>
        <w:tc>
          <w:tcPr>
            <w:tcW w:w="7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State and local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1,769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3,313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466</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Foreign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152,343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121,810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82,258</w:t>
            </w:r>
          </w:p>
        </w:tc>
        <w:tc>
          <w:tcPr>
            <w:tcW w:w="7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168,706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149,546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85,060</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Deferred: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Federal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(4,871</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(40,136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554</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State and local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(3,651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383</w:t>
            </w:r>
          </w:p>
        </w:tc>
        <w:tc>
          <w:tcPr>
            <w:tcW w:w="7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Foreign</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(18,295</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53,080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49,676</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(26,817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13,476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50,613</w:t>
            </w:r>
          </w:p>
        </w:tc>
        <w:tc>
          <w:tcPr>
            <w:tcW w:w="7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income tax expense</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141,889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163,022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135,673</w:t>
            </w:r>
          </w:p>
        </w:tc>
        <w:tc>
          <w:tcPr>
            <w:tcW w:w="75"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F-20</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5 – Income Taxes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825" w:type="dxa"/>
        <w:jc w:val="left"/>
        <w:tblInd w:w="0" w:type="dxa"/>
        <w:tblLayout w:type="fixed"/>
        <w:tblCellMar>
          <w:top w:w="0" w:type="dxa"/>
          <w:left w:w="0" w:type="dxa"/>
          <w:bottom w:w="0" w:type="dxa"/>
          <w:right w:w="0" w:type="dxa"/>
        </w:tblCellMar>
      </w:tblPr>
      <w:tblGrid>
        <w:gridCol w:w="3470"/>
        <w:gridCol w:w="60"/>
        <w:gridCol w:w="140"/>
        <w:gridCol w:w="875"/>
        <w:gridCol w:w="95"/>
        <w:gridCol w:w="60"/>
        <w:gridCol w:w="140"/>
        <w:gridCol w:w="875"/>
        <w:gridCol w:w="110"/>
      </w:tblGrid>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tc>
        <w:tc>
          <w:tcPr>
            <w:tcW w:w="110"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0"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Deferred tax assets: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Pension and other retiree obligations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29,400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29,327</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Inventories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23,836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21,040</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Net operating loss carryforwards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81,497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82,498</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credit carryforwards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54,363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53,145</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xml:space="preserve">   </w:t>
            </w:r>
            <w:r>
              <w:rPr>
                <w:sz w:val="24"/>
              </w:rPr>
              <w:t>Research and development costs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sz w:val="24"/>
              </w:rPr>
            </w:pPr>
            <w:r>
              <w:rPr>
                <w:b/>
                <w:sz w:val="24"/>
              </w:rPr>
              <w:t>17,829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sz w:val="24"/>
              </w:rPr>
            </w:pPr>
            <w:r>
              <w:rPr>
                <w:sz w:val="24"/>
              </w:rPr>
              <w:t>7,704</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xml:space="preserve">   </w:t>
            </w:r>
            <w:r>
              <w:rPr>
                <w:sz w:val="24"/>
              </w:rPr>
              <w:t>Original issue discount interest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sz w:val="24"/>
              </w:rPr>
            </w:pPr>
            <w:r>
              <w:rPr>
                <w:b/>
                <w:sz w:val="24"/>
              </w:rPr>
              <w:t>20,039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sz w:val="24"/>
              </w:rPr>
            </w:pPr>
            <w:r>
              <w:rPr>
                <w:sz w:val="24"/>
              </w:rPr>
              <w:t>-</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accruals and reserves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25,179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29,930</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Total gross deferred tax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252,143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223,644</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504" w:right="0" w:hanging="144"/>
              <w:jc w:val="left"/>
              <w:rPr>
                <w:rFonts w:ascii="Times New Roman" w:hAnsi="Times New Roman"/>
                <w:sz w:val="24"/>
              </w:rPr>
            </w:pPr>
            <w:r>
              <w:rPr>
                <w:rFonts w:ascii="Times New Roman" w:hAnsi="Times New Roman"/>
                <w:sz w:val="24"/>
              </w:rPr>
              <w:t>Less valuation allowance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(99,663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(101,169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152,480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122,475</w:t>
            </w:r>
          </w:p>
        </w:tc>
        <w:tc>
          <w:tcPr>
            <w:tcW w:w="11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Deferred tax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(9,429</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(8,307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deductible goodwill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(7,040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(6,144</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Earnings not indefinitely reinvested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(88,004</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(113,661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(6,389</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(6,879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Total gross deferred tax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(110,862</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(134,991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Net deferred tax assets (liabilities)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41,618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(12,516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makes significant judgments regarding the realizability of its deferred tax assets (principally net operating losses and tax credits). The carrying value of deferred tax assets is based on the Company’s assessment that it is more likely than not that the Company will realize these assets after consideration of all available positive and negative evidence.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reconciliation of income tax expense at the U.S. federal statutory income tax rate to actual income tax provision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345" w:type="dxa"/>
        <w:jc w:val="left"/>
        <w:tblInd w:w="0" w:type="dxa"/>
        <w:tblLayout w:type="fixed"/>
        <w:tblCellMar>
          <w:top w:w="0" w:type="dxa"/>
          <w:left w:w="0" w:type="dxa"/>
          <w:bottom w:w="0" w:type="dxa"/>
          <w:right w:w="0" w:type="dxa"/>
        </w:tblCellMar>
      </w:tblPr>
      <w:tblGrid>
        <w:gridCol w:w="5045"/>
        <w:gridCol w:w="60"/>
        <w:gridCol w:w="140"/>
        <w:gridCol w:w="800"/>
        <w:gridCol w:w="95"/>
        <w:gridCol w:w="60"/>
        <w:gridCol w:w="140"/>
        <w:gridCol w:w="800"/>
        <w:gridCol w:w="95"/>
        <w:gridCol w:w="60"/>
        <w:gridCol w:w="140"/>
        <w:gridCol w:w="800"/>
        <w:gridCol w:w="110"/>
      </w:tblGrid>
      <w:tr>
        <w:trPr/>
        <w:tc>
          <w:tcPr>
            <w:tcW w:w="5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Tax at statutory rate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98,154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124,636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91,268</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State income taxes, net of U.S. federal tax benefit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(1,487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671</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Effect of foreign operations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9,260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13,422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5,521</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Tax on earnings not indefinitely reinvested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37,061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71,141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54,648</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Unrecognized tax benefits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(4,699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1,318</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valuation allowance on deferred tax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(1,770</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(58,696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(14,921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income taxable in the U.S.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11,829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14,925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9,532</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tax credit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(29,997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(20,408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(9,477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Base Erosion Anti-Abuse Tax</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16,837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20,918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9,134</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Change in U.S. tax regulations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(8,276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(1,255</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(3,745</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5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income tax expense</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141,889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163,022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135,673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sz w:val="24"/>
        </w:rPr>
      </w:pPr>
      <w:r>
        <w:rPr>
          <w:sz w:val="24"/>
        </w:rPr>
      </w:r>
    </w:p>
    <w:p>
      <w:pPr>
        <w:pStyle w:val="TextBody"/>
        <w:bidi w:val="0"/>
        <w:spacing w:before="0" w:after="0"/>
        <w:jc w:val="both"/>
        <w:rPr>
          <w:sz w:val="24"/>
        </w:rPr>
      </w:pPr>
      <w:r>
        <w:rPr>
          <w:sz w:val="24"/>
        </w:rPr>
      </w:r>
    </w:p>
    <w:p>
      <w:pPr>
        <w:pStyle w:val="TextBody"/>
        <w:bidi w:val="0"/>
        <w:spacing w:before="0" w:after="0"/>
        <w:jc w:val="both"/>
        <w:rPr>
          <w:sz w:val="24"/>
        </w:rPr>
      </w:pPr>
      <w:r>
        <w:rPr>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F-21</w:t>
      </w:r>
    </w:p>
    <w:p>
      <w:pPr>
        <w:pStyle w:val="HorizontalLine"/>
        <w:bidi w:val="0"/>
        <w:spacing w:before="240" w:after="240"/>
        <w:jc w:val="left"/>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Times;serif" w:hAnsi="Times New Roman;Times;serif"/>
          <w:b/>
          <w:color w:val="000000"/>
          <w:sz w:val="24"/>
          <w:u w:val="single"/>
          <w:shd w:fill="FFFFFF" w:val="clear"/>
        </w:rPr>
      </w:pPr>
      <w:r>
        <w:rPr>
          <w:rFonts w:ascii="Times New Roman;Times;serif" w:hAnsi="Times New Roman;Times;serif"/>
          <w:b/>
          <w:color w:val="000000"/>
          <w:sz w:val="24"/>
          <w:u w:val="single"/>
          <w:shd w:fill="FFFFFF" w:val="clear"/>
        </w:rPr>
        <w:t>Note 5 – Income Taxes (continued)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Vishay operates in a global environment with significant operations in various locations outside the United States.  Accordingly, the consolidated income tax rate is a composite rate reflecting our earnings and the applicable tax rates in the various locations where we operate.  Part of Vishay's historical strategy has been to achieve cost savings through the transfer and expansion of manufacturing operations to countries where it can take advantage of lower labor costs and available tax and other government-sponsored incentives.  With the reduction in the U.S. statutory rate to 21% beginning January 1, 2018, Vishay expects that its effective tax rate will be higher than the U.S. statutory rate, excluding unusual transactions.  Historically, the effective tax rates were generally less than the U.S. statutory rate of 35% primarily because of earnings in foreign jurisdictions.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Income tax expense for the years ended December 31, 2022 and 2021 includes certain discrete tax items for changes in uncertain tax positions, valuation allowances, tax rates, and other related items. These items total $20,032, and $39,326 in 2022 and 2021, respectively.  There were no unusual tax items for the year ended December 31,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For the year ended December 31, 2022, the discrete items include tax expense of $59,642 due to the Company's change in its assertion that earnings of its subsidiaries in Germany are indefinitely reinvested, tax benefits of $5,941 for changes in uncertain tax positions following the resolution of a tax audit and a $33,669 tax benefit recognized upon the release of a valuation allowance.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For the year ended December 31, 2021, the discrete items include $53,316 of tax expense recognized to accrue the claw-back and withholding taxes to repatriate unremitted foreign earnings from Israel, a $5,714 tax benefit recognized upon the release of a valuation allowance and $8,276 of tax benefits recognized due to changes in tax regulations.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 December 31, 2023, the Company had the following significant net operating loss carryforwards for tax purposes:</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tbl>
      <w:tblPr>
        <w:tblW w:w="5599" w:type="dxa"/>
        <w:jc w:val="left"/>
        <w:tblInd w:w="0" w:type="dxa"/>
        <w:tblLayout w:type="fixed"/>
        <w:tblCellMar>
          <w:top w:w="0" w:type="dxa"/>
          <w:left w:w="0" w:type="dxa"/>
          <w:bottom w:w="0" w:type="dxa"/>
          <w:right w:w="0" w:type="dxa"/>
        </w:tblCellMar>
      </w:tblPr>
      <w:tblGrid>
        <w:gridCol w:w="3140"/>
        <w:gridCol w:w="60"/>
        <w:gridCol w:w="140"/>
        <w:gridCol w:w="800"/>
        <w:gridCol w:w="60"/>
        <w:gridCol w:w="61"/>
        <w:gridCol w:w="61"/>
        <w:gridCol w:w="1202"/>
        <w:gridCol w:w="75"/>
      </w:tblGrid>
      <w:tr>
        <w:trPr/>
        <w:tc>
          <w:tcPr>
            <w:tcW w:w="31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4" w:type="dxa"/>
            <w:gridSpan w:val="3"/>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Expires</w:t>
            </w:r>
          </w:p>
        </w:tc>
        <w:tc>
          <w:tcPr>
            <w:tcW w:w="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Belgium</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80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154,735</w:t>
            </w:r>
          </w:p>
        </w:tc>
        <w:tc>
          <w:tcPr>
            <w:tcW w:w="60" w:type="dxa"/>
            <w:tcBorders/>
            <w:shd w:fill="CCEEFF" w:val="clear"/>
            <w:vAlign w:val="bottom"/>
          </w:tcPr>
          <w:p>
            <w:pPr>
              <w:pStyle w:val="TableContents"/>
              <w:bidi w:val="0"/>
              <w:spacing w:before="0" w:after="283"/>
              <w:jc w:val="left"/>
              <w:rPr/>
            </w:pPr>
            <w:r>
              <w:rPr/>
              <w:t> </w:t>
            </w:r>
          </w:p>
        </w:tc>
        <w:tc>
          <w:tcPr>
            <w:tcW w:w="1324" w:type="dxa"/>
            <w:gridSpan w:val="3"/>
            <w:tcBorders/>
            <w:shd w:fill="CCEEFF" w:val="clear"/>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No expiration</w:t>
            </w:r>
          </w:p>
        </w:tc>
        <w:tc>
          <w:tcPr>
            <w:tcW w:w="75"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Israel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5,364</w:t>
            </w:r>
          </w:p>
        </w:tc>
        <w:tc>
          <w:tcPr>
            <w:tcW w:w="60" w:type="dxa"/>
            <w:tcBorders/>
            <w:vAlign w:val="bottom"/>
          </w:tcPr>
          <w:p>
            <w:pPr>
              <w:pStyle w:val="TableContents"/>
              <w:bidi w:val="0"/>
              <w:spacing w:before="0" w:after="283"/>
              <w:jc w:val="left"/>
              <w:rPr/>
            </w:pPr>
            <w:r>
              <w:rPr/>
              <w:t> </w:t>
            </w:r>
          </w:p>
        </w:tc>
        <w:tc>
          <w:tcPr>
            <w:tcW w:w="1324" w:type="dxa"/>
            <w:gridSpan w:val="3"/>
            <w:tcBorders/>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No expiration</w:t>
            </w:r>
          </w:p>
        </w:tc>
        <w:tc>
          <w:tcPr>
            <w:tcW w:w="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Japan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4,704</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2025- 2033</w:t>
            </w:r>
          </w:p>
        </w:tc>
        <w:tc>
          <w:tcPr>
            <w:tcW w:w="75"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Netherlands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10,324</w:t>
            </w:r>
          </w:p>
        </w:tc>
        <w:tc>
          <w:tcPr>
            <w:tcW w:w="60" w:type="dxa"/>
            <w:tcBorders/>
            <w:vAlign w:val="bottom"/>
          </w:tcPr>
          <w:p>
            <w:pPr>
              <w:pStyle w:val="TableContents"/>
              <w:bidi w:val="0"/>
              <w:spacing w:before="0" w:after="283"/>
              <w:jc w:val="left"/>
              <w:rPr/>
            </w:pPr>
            <w:r>
              <w:rPr/>
              <w:t> </w:t>
            </w:r>
          </w:p>
        </w:tc>
        <w:tc>
          <w:tcPr>
            <w:tcW w:w="1324" w:type="dxa"/>
            <w:gridSpan w:val="3"/>
            <w:tcBorders/>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No expiration</w:t>
            </w:r>
          </w:p>
        </w:tc>
        <w:tc>
          <w:tcPr>
            <w:tcW w:w="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The Republic of China (Taiwan)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11,728</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2026 - 2028</w:t>
            </w:r>
          </w:p>
        </w:tc>
        <w:tc>
          <w:tcPr>
            <w:tcW w:w="75"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California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16,517</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2028 - 2037</w:t>
            </w:r>
          </w:p>
        </w:tc>
        <w:tc>
          <w:tcPr>
            <w:tcW w:w="75"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Pennsylvania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549,914</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2024 - 2043</w:t>
            </w:r>
          </w:p>
        </w:tc>
        <w:tc>
          <w:tcPr>
            <w:tcW w:w="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283"/>
              <w:jc w:val="left"/>
              <w:rPr/>
            </w:pPr>
            <w:r>
              <w:rPr/>
              <w:t>Arizona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15,516</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2032 - 2040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 December 31, 2023, the Company had the following significant tax credit carryforwards available:</w:t>
      </w:r>
    </w:p>
    <w:p>
      <w:pPr>
        <w:pStyle w:val="TextBody"/>
        <w:bidi w:val="0"/>
        <w:spacing w:before="0" w:after="0"/>
        <w:jc w:val="both"/>
        <w:rPr/>
      </w:pPr>
      <w:r>
        <w:rPr/>
      </w:r>
    </w:p>
    <w:tbl>
      <w:tblPr>
        <w:tblW w:w="4894" w:type="dxa"/>
        <w:jc w:val="left"/>
        <w:tblInd w:w="0" w:type="dxa"/>
        <w:tblLayout w:type="fixed"/>
        <w:tblCellMar>
          <w:top w:w="0" w:type="dxa"/>
          <w:left w:w="0" w:type="dxa"/>
          <w:bottom w:w="0" w:type="dxa"/>
          <w:right w:w="0" w:type="dxa"/>
        </w:tblCellMar>
      </w:tblPr>
      <w:tblGrid>
        <w:gridCol w:w="2555"/>
        <w:gridCol w:w="60"/>
        <w:gridCol w:w="140"/>
        <w:gridCol w:w="680"/>
        <w:gridCol w:w="60"/>
        <w:gridCol w:w="61"/>
        <w:gridCol w:w="61"/>
        <w:gridCol w:w="1202"/>
        <w:gridCol w:w="75"/>
      </w:tblGrid>
      <w:tr>
        <w:trPr/>
        <w:tc>
          <w:tcPr>
            <w:tcW w:w="25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4" w:type="dxa"/>
            <w:gridSpan w:val="3"/>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Expires</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U.S. Foreign Tax Credit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32,468</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2028 - 2030</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California Research Credit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20,983</w:t>
            </w:r>
          </w:p>
        </w:tc>
        <w:tc>
          <w:tcPr>
            <w:tcW w:w="60" w:type="dxa"/>
            <w:tcBorders/>
            <w:vAlign w:val="bottom"/>
          </w:tcPr>
          <w:p>
            <w:pPr>
              <w:pStyle w:val="TableContents"/>
              <w:bidi w:val="0"/>
              <w:spacing w:before="0" w:after="283"/>
              <w:jc w:val="left"/>
              <w:rPr/>
            </w:pPr>
            <w:r>
              <w:rPr/>
              <w:t> </w:t>
            </w:r>
          </w:p>
        </w:tc>
        <w:tc>
          <w:tcPr>
            <w:tcW w:w="1324" w:type="dxa"/>
            <w:gridSpan w:val="3"/>
            <w:tcBorders/>
            <w:vAlign w:val="bottom"/>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No expiration</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F-22</w:t>
      </w:r>
    </w:p>
    <w:p>
      <w:pPr>
        <w:pStyle w:val="HorizontalLine"/>
        <w:bidi w:val="0"/>
        <w:spacing w:before="240" w:after="240"/>
        <w:jc w:val="left"/>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Times;serif" w:hAnsi="Times New Roman;Times;serif"/>
          <w:b/>
          <w:color w:val="000000"/>
          <w:sz w:val="24"/>
          <w:u w:val="single"/>
          <w:shd w:fill="FFFFFF" w:val="clear"/>
        </w:rPr>
      </w:pPr>
      <w:r>
        <w:rPr>
          <w:rFonts w:ascii="Times New Roman;Times;serif" w:hAnsi="Times New Roman;Times;serif"/>
          <w:b/>
          <w:color w:val="000000"/>
          <w:sz w:val="24"/>
          <w:u w:val="single"/>
          <w:shd w:fill="FFFFFF" w:val="clear"/>
        </w:rPr>
        <w:t>Note 5 – Income Taxes (continued)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Net income taxes paid were $224,232, $134,199, and $79,106 for the years ended December 31, 2023, 2022, and 2021, respectively.  Net income taxes paid for the years ended December 31, 2023 and 2022 include withholding taxes for repatriation activity.  Net income taxes paid for the years ended December 31, 2023, 2022, and 2021 also includes $27,670, $14,757, and $14,757, respectively, for the TCJA transition tax.</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following table summarizes changes in the liabilities associated with unrecognized tax benefits:</w:t>
      </w:r>
    </w:p>
    <w:p>
      <w:pPr>
        <w:pStyle w:val="TextBody"/>
        <w:bidi w:val="0"/>
        <w:spacing w:before="0" w:after="0"/>
        <w:jc w:val="left"/>
        <w:rPr/>
      </w:pPr>
      <w:r>
        <w:rPr/>
      </w:r>
    </w:p>
    <w:tbl>
      <w:tblPr>
        <w:tblW w:w="8570"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680"/>
        <w:gridCol w:w="95"/>
        <w:gridCol w:w="60"/>
        <w:gridCol w:w="140"/>
        <w:gridCol w:w="755"/>
        <w:gridCol w:w="110"/>
      </w:tblGrid>
      <w:tr>
        <w:trPr/>
        <w:tc>
          <w:tcPr>
            <w:tcW w:w="54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Years ended December 31,</w:t>
            </w:r>
          </w:p>
        </w:tc>
        <w:tc>
          <w:tcPr>
            <w:tcW w:w="110" w:type="dxa"/>
            <w:tcBorders/>
            <w:vAlign w:val="bottom"/>
          </w:tcPr>
          <w:p>
            <w:pPr>
              <w:pStyle w:val="TableContents"/>
              <w:bidi w:val="0"/>
              <w:spacing w:before="0" w:after="283"/>
              <w:jc w:val="left"/>
              <w:rPr/>
            </w:pPr>
            <w:r>
              <w:rPr/>
              <w:t> </w:t>
            </w:r>
          </w:p>
        </w:tc>
      </w:tr>
      <w:tr>
        <w:trPr/>
        <w:tc>
          <w:tcPr>
            <w:tcW w:w="54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2021</w:t>
            </w:r>
          </w:p>
        </w:tc>
        <w:tc>
          <w:tcPr>
            <w:tcW w:w="110" w:type="dxa"/>
            <w:tcBorders/>
            <w:vAlign w:val="bottom"/>
          </w:tcPr>
          <w:p>
            <w:pPr>
              <w:pStyle w:val="TableContents"/>
              <w:bidi w:val="0"/>
              <w:spacing w:before="0" w:after="283"/>
              <w:jc w:val="left"/>
              <w:rPr/>
            </w:pPr>
            <w:r>
              <w:rPr/>
              <w:t> </w:t>
            </w:r>
          </w:p>
        </w:tc>
      </w:tr>
      <w:tr>
        <w:trPr/>
        <w:tc>
          <w:tcPr>
            <w:tcW w:w="54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Balance at beginning of year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755" w:type="dxa"/>
            <w:tcBorders/>
            <w:shd w:fill="CCEEFF" w:val="cle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18,429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26,719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40,652</w:t>
            </w:r>
          </w:p>
        </w:tc>
        <w:tc>
          <w:tcPr>
            <w:tcW w:w="110" w:type="dxa"/>
            <w:tcBorders/>
            <w:shd w:fill="CCEEFF" w:val="clear"/>
            <w:vAlign w:val="bottom"/>
          </w:tcPr>
          <w:p>
            <w:pPr>
              <w:pStyle w:val="TableContents"/>
              <w:bidi w:val="0"/>
              <w:spacing w:before="0" w:after="283"/>
              <w:jc w:val="left"/>
              <w:rPr/>
            </w:pPr>
            <w:r>
              <w:rPr/>
              <w:t> </w:t>
            </w:r>
          </w:p>
        </w:tc>
      </w:tr>
      <w:tr>
        <w:trPr/>
        <w:tc>
          <w:tcPr>
            <w:tcW w:w="548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Addition based on tax positions related to the current year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1,210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141</w:t>
            </w:r>
          </w:p>
        </w:tc>
        <w:tc>
          <w:tcPr>
            <w:tcW w:w="110" w:type="dxa"/>
            <w:tcBorders/>
            <w:vAlign w:val="bottom"/>
          </w:tcPr>
          <w:p>
            <w:pPr>
              <w:pStyle w:val="TableContents"/>
              <w:bidi w:val="0"/>
              <w:spacing w:before="0" w:after="283"/>
              <w:jc w:val="left"/>
              <w:rPr/>
            </w:pPr>
            <w:r>
              <w:rPr/>
              <w:t> </w:t>
            </w:r>
          </w:p>
        </w:tc>
      </w:tr>
      <w:tr>
        <w:trPr/>
        <w:tc>
          <w:tcPr>
            <w:tcW w:w="5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Addition based on tax positions related to prior years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5,455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3,197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1,037</w:t>
            </w:r>
          </w:p>
        </w:tc>
        <w:tc>
          <w:tcPr>
            <w:tcW w:w="110" w:type="dxa"/>
            <w:tcBorders/>
            <w:shd w:fill="CCEEFF" w:val="clear"/>
            <w:vAlign w:val="bottom"/>
          </w:tcPr>
          <w:p>
            <w:pPr>
              <w:pStyle w:val="TableContents"/>
              <w:bidi w:val="0"/>
              <w:spacing w:before="0" w:after="283"/>
              <w:jc w:val="left"/>
              <w:rPr/>
            </w:pPr>
            <w:r>
              <w:rPr/>
              <w:t> </w:t>
            </w:r>
          </w:p>
        </w:tc>
      </w:tr>
      <w:tr>
        <w:trPr/>
        <w:tc>
          <w:tcPr>
            <w:tcW w:w="548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Currency translation adjustments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230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(366</w:t>
            </w:r>
          </w:p>
        </w:tc>
        <w:tc>
          <w:tcPr>
            <w:tcW w:w="9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(523</w:t>
            </w:r>
          </w:p>
        </w:tc>
        <w:tc>
          <w:tcPr>
            <w:tcW w:w="110"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r>
      <w:tr>
        <w:trPr/>
        <w:tc>
          <w:tcPr>
            <w:tcW w:w="5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Reduction based on tax positions related to prior years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(13,154</w:t>
            </w:r>
          </w:p>
        </w:tc>
        <w:tc>
          <w:tcPr>
            <w:tcW w:w="11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r>
      <w:tr>
        <w:trPr/>
        <w:tc>
          <w:tcPr>
            <w:tcW w:w="548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Reduction for settlements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(10,000</w:t>
            </w:r>
          </w:p>
        </w:tc>
        <w:tc>
          <w:tcPr>
            <w:tcW w:w="95" w:type="dxa"/>
            <w:tcBorders/>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(9,420</w:t>
            </w:r>
          </w:p>
        </w:tc>
        <w:tc>
          <w:tcPr>
            <w:tcW w:w="9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(982</w:t>
            </w:r>
          </w:p>
        </w:tc>
        <w:tc>
          <w:tcPr>
            <w:tcW w:w="110"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r>
      <w:tr>
        <w:trPr/>
        <w:tc>
          <w:tcPr>
            <w:tcW w:w="5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Reduction for lapses of statute of limitation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(2,467</w:t>
            </w:r>
          </w:p>
        </w:tc>
        <w:tc>
          <w:tcPr>
            <w:tcW w:w="95" w:type="dxa"/>
            <w:tcBorders/>
            <w:shd w:fill="CCEEFF" w:val="clear"/>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(1,701</w:t>
            </w:r>
          </w:p>
        </w:tc>
        <w:tc>
          <w:tcPr>
            <w:tcW w:w="9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(452</w:t>
            </w:r>
          </w:p>
        </w:tc>
        <w:tc>
          <w:tcPr>
            <w:tcW w:w="110"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r>
      <w:tr>
        <w:trPr/>
        <w:tc>
          <w:tcPr>
            <w:tcW w:w="5480" w:type="dxa"/>
            <w:tcBorders/>
            <w:vAlign w:val="bottom"/>
          </w:tcPr>
          <w:p>
            <w:pPr>
              <w:pStyle w:val="TableContents"/>
              <w:bidi w:val="0"/>
              <w:spacing w:before="0" w:after="0"/>
              <w:ind w:left="144" w:right="0" w:hanging="144"/>
              <w:jc w:val="left"/>
              <w:rPr>
                <w:rFonts w:ascii="Times New Roman;Times;serif" w:hAnsi="Times New Roman;Times;serif"/>
                <w:sz w:val="24"/>
              </w:rPr>
            </w:pPr>
            <w:r>
              <w:rPr>
                <w:rFonts w:ascii="Times New Roman;Times;serif" w:hAnsi="Times New Roman;Times;serif"/>
                <w:sz w:val="24"/>
              </w:rPr>
              <w:t>Balance at end of year</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sz w:val="24"/>
              </w:rPr>
            </w:pPr>
            <w:r>
              <w:rPr>
                <w:rFonts w:ascii="Times New Roman;Times;serif" w:hAnsi="Times New Roman;Times;serif"/>
                <w:b/>
                <w:sz w:val="24"/>
              </w:rPr>
              <w:t>12,857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18,429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4"/>
              </w:rPr>
            </w:pPr>
            <w:r>
              <w:rPr>
                <w:rFonts w:ascii="Times New Roman;Times;serif" w:hAnsi="Times New Roman;Times;serif"/>
                <w:sz w:val="24"/>
              </w:rPr>
              <w:t>26,719</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All of the unrecognized tax benefits of $12,857 and $18,429, as of December 31, 2023 and 2022, respectively, would reduce the effective tax rate if recognized.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recognizes interest and penalties related to unrecognized tax benefits in income tax expense. At December 31, 2023 and 2022, the Company had accrued interest and penalties related to the unrecognized tax benefits of $1,947 and $2,587, respectively. During the years ended December 31, 2023, 2022, and 2021, the Company recognized $821, $376, and $591, respectively, in interest and penalties.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and its subsidiaries file U.S. federal income tax returns, as well as tax returns in multiple states and foreign jurisdictions.  During the years ended December 31, 2023, 2022, and 2021, certain tax examinations were concluded and certain statutes of limitations lapsed.  The tax provision for those years includes adjustments related to the resolution of these matters, as reflected in the table above.  During 2023, the Company settled an examination of its U.S. federal income tax returns for the years ended December 31, 2017 through 2019.  The federal income tax returns for subsequent years remain subject to examination.  The tax returns of significant non-U.S. subsidiaries currently under examination are located in the following jurisdictions: Israel (2021), Germany (2017 through 2021), India (2004 through 2021), and Philippines (2017 through 2022).  The Company and its subsidiaries also file income tax returns in other taxing jurisdictions in the U.S. and around the world, many of which are still open to examination.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timing of the resolution of income tax examinations is highly uncertain, as are the amounts and timing of tax payments that result from such examinations.  These events could cause large fluctuations in the balance sheet classification of current and non-current unrecognized tax benefits.  The Company believes that in the next 12 months it is reasonably possible that certain income tax examinations will conclude or the statutes of limitation on certain income tax periods open to examination will expire, or both.  Given the uncertainties described above, the Company can only determine an estimate of potential decreases in unrecognized tax benefits ranging from $1,250 to $10,487.</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F-23</w:t>
      </w:r>
    </w:p>
    <w:p>
      <w:pPr>
        <w:pStyle w:val="HorizontalLine"/>
        <w:bidi w:val="0"/>
        <w:spacing w:before="240" w:after="240"/>
        <w:jc w:val="left"/>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6 – Long-Term Debt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Long-term debt consists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488" w:type="dxa"/>
        <w:jc w:val="left"/>
        <w:tblInd w:w="0" w:type="dxa"/>
        <w:tblLayout w:type="fixed"/>
        <w:tblCellMar>
          <w:top w:w="0" w:type="dxa"/>
          <w:left w:w="0" w:type="dxa"/>
          <w:bottom w:w="0" w:type="dxa"/>
          <w:right w:w="0" w:type="dxa"/>
        </w:tblCellMar>
      </w:tblPr>
      <w:tblGrid>
        <w:gridCol w:w="3335"/>
        <w:gridCol w:w="60"/>
        <w:gridCol w:w="210"/>
        <w:gridCol w:w="1204"/>
        <w:gridCol w:w="95"/>
        <w:gridCol w:w="60"/>
        <w:gridCol w:w="210"/>
        <w:gridCol w:w="1204"/>
        <w:gridCol w:w="110"/>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Credit Facility</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42,000</w:t>
            </w:r>
          </w:p>
        </w:tc>
        <w:tc>
          <w:tcPr>
            <w:tcW w:w="11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Convertible senior notes, due 2025</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95,102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465,344</w:t>
            </w:r>
          </w:p>
        </w:tc>
        <w:tc>
          <w:tcPr>
            <w:tcW w:w="11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283"/>
              <w:jc w:val="left"/>
              <w:rPr>
                <w:sz w:val="24"/>
              </w:rPr>
            </w:pPr>
            <w:r>
              <w:rPr>
                <w:sz w:val="24"/>
              </w:rPr>
              <w:t>Convertible senior notes, due 2030</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sz w:val="24"/>
              </w:rPr>
            </w:pPr>
            <w:r>
              <w:rPr>
                <w:b/>
                <w:sz w:val="24"/>
              </w:rPr>
              <w:t>750,000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sz w:val="24"/>
              </w:rPr>
            </w:pPr>
            <w:r>
              <w:rPr>
                <w:sz w:val="24"/>
              </w:rPr>
              <w:t>-</w:t>
            </w:r>
          </w:p>
        </w:tc>
        <w:tc>
          <w:tcPr>
            <w:tcW w:w="11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Deferred financing costs</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(26,914</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(6,407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818,188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500,937</w:t>
            </w:r>
          </w:p>
        </w:tc>
        <w:tc>
          <w:tcPr>
            <w:tcW w:w="11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Less current portion</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818,188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500,937</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Credit Facility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maintains a credit agreement with a consortium of banks led by JPMorgan Chase Bank, N.A., as administrative agent, and the lenders (the "Credit Facility").  On May 8, 2023, the Company entered into an Amendment and Restatement Agreement, which provides an aggregate commitment of $750,000 of revolving loans available until May 8, 2028, replacing an agreement that was scheduled to mature on June 5, 2024.  The maturity date of the Credit Facility will accelerate if within ninety-one days prior to the maturity of the Company's convertible senior notes due 2025, the outstanding principal amount of such notes exceed a defined liquidity measure as set forth in the Credit Facility.  The Credit Facility also provides for the ability of Vishay to request up to $300,000 of incremental facilities, subject to the satisfaction of certain conditions, which could take the form of additional revolving commitments, incremental “term loan A” or “term loan B” facilities, or incremental equivalent debt.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U.S. Dollar borrowings under the Credit Facility bear interest at Secured Overnight Financing Rate ("SOFR") plus a credit spread and an interest margin.  The Credit Facility also allows for borrowings in euro, British sterling, and Japanese yen, subject to a $250,000 limit.  Borrowings in foreign currency bear interest at a local reference rate plus an interest margin.  The applicable interest margin is based on the Company's total leverage ratio.  Based on the Company's current total leverage ratio, borrowings bear interest at SOFR plus 1.60%, including the applicable credit spread.  The Company also pays a commitment fee, also based on its total leverage ratio, on undrawn amounts.  The undrawn commitment fee, based on the Company's total current leverage ratio, is 0.25% per annum.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The Credit Facility requires the maintenance of financial covenant ratios.  For compliance purposes, pursuant to the Credit Facility, the leverage ratio is computed on a net basis, reducing the measure of outstanding debt by up to $250,000 of unrestricted cash.  The Company must maintain a net leverage ratio of at least 3.25 to 1.00.  </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the Company and certain significant subsidiaries located in the United States, and pledges of stock in certain significant domestic and foreign subsidiaries; and are guaranteed by certain significant subsidiaries.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Credit Facility limits or restricts the Company and its subsidiaries, from, among other things, incurring indebtedness, incurring liens on its respective assets, making investments and acquisitions (assuming the Company’s pro forma net leverage ratio is greater than 2.75 to 1.00), making asset sales, and paying cash dividends and making other restricted payments (assuming the Company's pro forma net leverage ratio is greater than 2.50 to 1.00), and requires the Company to comply with other covenants.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Credit Facility also contains customary events of default, including, but not limited to, failure to pay principal or interest, failure to pay or default under other material debt, material misrepresentation or breach of warranty, violation of certain covenants, a change of control, the commencement of bankruptcy proceedings, the insolvency of the Company or certain of its significant subsidiaries, and the rendering of a judgment in excess of $50,000 against the Company or its subsidiaries.  Upon the occurrence of an event of default under the Credit Facility, the Company's obligations under the credit facility may be accelerated and the lending commitments under the credit facility may be terminated.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At December 31, 2023 and 2022, there was $748,578 and $707,061, respectively, available under the Credit Facility. Letters of credit totaling $1,422 and $939 were outstanding at December 31, 2023 and 2022,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F-24</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6 – Long-Term Debt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Convertible Debt Instruments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summarizes some key facts and terms regarding the outstanding convertible senior notes as of December 31, 2023:</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578"/>
        <w:gridCol w:w="60"/>
        <w:gridCol w:w="197"/>
        <w:gridCol w:w="1141"/>
        <w:gridCol w:w="215"/>
        <w:gridCol w:w="60"/>
        <w:gridCol w:w="378"/>
        <w:gridCol w:w="1513"/>
        <w:gridCol w:w="63"/>
      </w:tblGrid>
      <w:tr>
        <w:trPr/>
        <w:tc>
          <w:tcPr>
            <w:tcW w:w="6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Due 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1" w:type="dxa"/>
            <w:gridSpan w:val="2"/>
            <w:tcBorders>
              <w:bottom w:val="single" w:sz="12" w:space="0" w:color="000000"/>
            </w:tcBorders>
            <w:tcMar>
              <w:bottom w:w="28" w:type="dxa"/>
            </w:tcMar>
            <w:vAlign w:val="bottom"/>
          </w:tcPr>
          <w:p>
            <w:pPr>
              <w:pStyle w:val="TableContents"/>
              <w:bidi w:val="0"/>
              <w:spacing w:before="0" w:after="283"/>
              <w:jc w:val="center"/>
              <w:rPr/>
            </w:pPr>
            <w:r>
              <w:rPr/>
              <w:t xml:space="preserve">  </w:t>
            </w:r>
            <w:r>
              <w:rPr>
                <w:b/>
                <w:sz w:val="24"/>
              </w:rPr>
              <w:t>Due 2030</w:t>
            </w:r>
          </w:p>
        </w:tc>
        <w:tc>
          <w:tcPr>
            <w:tcW w:w="63" w:type="dxa"/>
            <w:tcBorders/>
            <w:vAlign w:val="bottom"/>
          </w:tcPr>
          <w:p>
            <w:pPr>
              <w:pStyle w:val="TableContents"/>
              <w:bidi w:val="0"/>
              <w:spacing w:before="0" w:after="283"/>
              <w:jc w:val="left"/>
              <w:rPr/>
            </w:pPr>
            <w:r>
              <w:rPr/>
              <w:t> </w:t>
            </w:r>
          </w:p>
        </w:tc>
      </w:tr>
      <w:tr>
        <w:trPr/>
        <w:tc>
          <w:tcPr>
            <w:tcW w:w="6578"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Issuance date</w:t>
            </w:r>
          </w:p>
        </w:tc>
        <w:tc>
          <w:tcPr>
            <w:tcW w:w="60" w:type="dxa"/>
            <w:tcBorders/>
            <w:shd w:fill="CCEEFF" w:val="clear"/>
            <w:vAlign w:val="bottom"/>
          </w:tcPr>
          <w:p>
            <w:pPr>
              <w:pStyle w:val="TableContents"/>
              <w:bidi w:val="0"/>
              <w:spacing w:before="0" w:after="283"/>
              <w:jc w:val="left"/>
              <w:rPr/>
            </w:pPr>
            <w:r>
              <w:rPr/>
              <w:t> </w:t>
            </w:r>
          </w:p>
        </w:tc>
        <w:tc>
          <w:tcPr>
            <w:tcW w:w="1338" w:type="dxa"/>
            <w:gridSpan w:val="2"/>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June 12, 2018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1" w:type="dxa"/>
            <w:gridSpan w:val="2"/>
            <w:tcBorders/>
            <w:shd w:fill="CCEEFF" w:val="clear"/>
            <w:vAlign w:val="bottom"/>
          </w:tcPr>
          <w:p>
            <w:pPr>
              <w:pStyle w:val="TableContents"/>
              <w:bidi w:val="0"/>
              <w:spacing w:before="0" w:after="283"/>
              <w:jc w:val="right"/>
              <w:rPr>
                <w:sz w:val="24"/>
              </w:rPr>
            </w:pPr>
            <w:r>
              <w:rPr>
                <w:sz w:val="24"/>
              </w:rPr>
              <w:t>September 12, 2023</w:t>
            </w:r>
          </w:p>
        </w:tc>
        <w:tc>
          <w:tcPr>
            <w:tcW w:w="63"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Maturity date</w:t>
            </w:r>
          </w:p>
        </w:tc>
        <w:tc>
          <w:tcPr>
            <w:tcW w:w="60" w:type="dxa"/>
            <w:tcBorders/>
            <w:vAlign w:val="bottom"/>
          </w:tcPr>
          <w:p>
            <w:pPr>
              <w:pStyle w:val="TableContents"/>
              <w:bidi w:val="0"/>
              <w:spacing w:before="0" w:after="283"/>
              <w:jc w:val="left"/>
              <w:rPr/>
            </w:pPr>
            <w:r>
              <w:rPr/>
              <w:t> </w:t>
            </w:r>
          </w:p>
        </w:tc>
        <w:tc>
          <w:tcPr>
            <w:tcW w:w="1338" w:type="dxa"/>
            <w:gridSpan w:val="2"/>
            <w:tcBorders/>
            <w:vAlign w:val="bottom"/>
          </w:tcPr>
          <w:p>
            <w:pPr>
              <w:pStyle w:val="TableContents"/>
              <w:bidi w:val="0"/>
              <w:spacing w:before="0" w:after="0"/>
              <w:jc w:val="right"/>
              <w:rPr>
                <w:rFonts w:ascii="Times New Roman" w:hAnsi="Times New Roman"/>
                <w:sz w:val="24"/>
              </w:rPr>
            </w:pPr>
            <w:r>
              <w:rPr>
                <w:rFonts w:ascii="Times New Roman" w:hAnsi="Times New Roman"/>
                <w:sz w:val="24"/>
              </w:rPr>
              <w:t>June 15, 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1" w:type="dxa"/>
            <w:gridSpan w:val="2"/>
            <w:tcBorders/>
            <w:vAlign w:val="bottom"/>
          </w:tcPr>
          <w:p>
            <w:pPr>
              <w:pStyle w:val="TableContents"/>
              <w:bidi w:val="0"/>
              <w:spacing w:before="0" w:after="283"/>
              <w:jc w:val="right"/>
              <w:rPr>
                <w:sz w:val="24"/>
              </w:rPr>
            </w:pPr>
            <w:r>
              <w:rPr>
                <w:sz w:val="24"/>
              </w:rPr>
              <w:t>September 15, 2030</w:t>
            </w:r>
          </w:p>
        </w:tc>
        <w:tc>
          <w:tcPr>
            <w:tcW w:w="63" w:type="dxa"/>
            <w:tcBorders/>
            <w:vAlign w:val="bottom"/>
          </w:tcPr>
          <w:p>
            <w:pPr>
              <w:pStyle w:val="TableContents"/>
              <w:bidi w:val="0"/>
              <w:spacing w:before="0" w:after="283"/>
              <w:jc w:val="left"/>
              <w:rPr/>
            </w:pPr>
            <w:r>
              <w:rPr/>
              <w:t> </w:t>
            </w:r>
          </w:p>
        </w:tc>
      </w:tr>
      <w:tr>
        <w:trPr/>
        <w:tc>
          <w:tcPr>
            <w:tcW w:w="6578"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Principal amount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95,102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r>
              <w:rPr>
                <w:sz w:val="24"/>
              </w:rPr>
              <w:t>$</w:t>
            </w:r>
          </w:p>
        </w:tc>
        <w:tc>
          <w:tcPr>
            <w:tcW w:w="1513" w:type="dxa"/>
            <w:tcBorders/>
            <w:shd w:fill="CCEEFF" w:val="clear"/>
            <w:vAlign w:val="bottom"/>
          </w:tcPr>
          <w:p>
            <w:pPr>
              <w:pStyle w:val="TableContents"/>
              <w:bidi w:val="0"/>
              <w:spacing w:before="0" w:after="283"/>
              <w:jc w:val="right"/>
              <w:rPr>
                <w:sz w:val="24"/>
              </w:rPr>
            </w:pPr>
            <w:r>
              <w:rPr>
                <w:sz w:val="24"/>
              </w:rPr>
              <w:t>750,000</w:t>
            </w:r>
          </w:p>
        </w:tc>
        <w:tc>
          <w:tcPr>
            <w:tcW w:w="63"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Cash coupon rate (per annum)</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2.25</w:t>
            </w:r>
          </w:p>
        </w:tc>
        <w:tc>
          <w:tcPr>
            <w:tcW w:w="21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1513" w:type="dxa"/>
            <w:tcBorders/>
            <w:vAlign w:val="bottom"/>
          </w:tcPr>
          <w:p>
            <w:pPr>
              <w:pStyle w:val="TableContents"/>
              <w:bidi w:val="0"/>
              <w:spacing w:before="0" w:after="283"/>
              <w:jc w:val="right"/>
              <w:rPr>
                <w:sz w:val="24"/>
              </w:rPr>
            </w:pPr>
            <w:r>
              <w:rPr>
                <w:sz w:val="24"/>
              </w:rPr>
              <w:t>2.25%</w:t>
            </w:r>
          </w:p>
        </w:tc>
        <w:tc>
          <w:tcPr>
            <w:tcW w:w="63" w:type="dxa"/>
            <w:tcBorders/>
            <w:vAlign w:val="bottom"/>
          </w:tcPr>
          <w:p>
            <w:pPr>
              <w:pStyle w:val="TableContents"/>
              <w:bidi w:val="0"/>
              <w:spacing w:before="0" w:after="283"/>
              <w:jc w:val="left"/>
              <w:rPr/>
            </w:pPr>
            <w:r>
              <w:rPr/>
              <w:t> </w:t>
            </w:r>
          </w:p>
        </w:tc>
      </w:tr>
      <w:tr>
        <w:trPr/>
        <w:tc>
          <w:tcPr>
            <w:tcW w:w="6578" w:type="dxa"/>
            <w:tcBorders/>
            <w:shd w:fill="CCEEFF" w:val="clear"/>
            <w:vAlign w:val="bottom"/>
          </w:tcPr>
          <w:p>
            <w:pPr>
              <w:pStyle w:val="TableContents"/>
              <w:bidi w:val="0"/>
              <w:spacing w:before="0" w:after="0"/>
              <w:ind w:left="0" w:right="0" w:hanging="0"/>
              <w:jc w:val="left"/>
              <w:rPr>
                <w:rFonts w:ascii="Times New Roman" w:hAnsi="Times New Roman"/>
                <w:sz w:val="24"/>
              </w:rPr>
            </w:pPr>
            <w:r>
              <w:rPr>
                <w:rFonts w:ascii="Times New Roman" w:hAnsi="Times New Roman"/>
                <w:sz w:val="24"/>
              </w:rPr>
              <w:t>Conversion rate effective December 12, 2023 (per $1 principal amount)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32.1268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1513" w:type="dxa"/>
            <w:tcBorders/>
            <w:shd w:fill="CCEEFF" w:val="clear"/>
            <w:vAlign w:val="bottom"/>
          </w:tcPr>
          <w:p>
            <w:pPr>
              <w:pStyle w:val="TableContents"/>
              <w:bidi w:val="0"/>
              <w:spacing w:before="0" w:after="283"/>
              <w:jc w:val="right"/>
              <w:rPr>
                <w:sz w:val="24"/>
              </w:rPr>
            </w:pPr>
            <w:r>
              <w:rPr>
                <w:sz w:val="24"/>
              </w:rPr>
              <w:t>33.1609</w:t>
            </w:r>
          </w:p>
        </w:tc>
        <w:tc>
          <w:tcPr>
            <w:tcW w:w="63"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Effective conversion price effective December 12, 2023 (per share)</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4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31.13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r>
              <w:rPr>
                <w:sz w:val="24"/>
              </w:rPr>
              <w:t>$</w:t>
            </w:r>
          </w:p>
        </w:tc>
        <w:tc>
          <w:tcPr>
            <w:tcW w:w="1513" w:type="dxa"/>
            <w:tcBorders/>
            <w:vAlign w:val="bottom"/>
          </w:tcPr>
          <w:p>
            <w:pPr>
              <w:pStyle w:val="TableContents"/>
              <w:bidi w:val="0"/>
              <w:spacing w:before="0" w:after="283"/>
              <w:jc w:val="right"/>
              <w:rPr>
                <w:sz w:val="24"/>
              </w:rPr>
            </w:pPr>
            <w:r>
              <w:rPr>
                <w:sz w:val="24"/>
              </w:rPr>
              <w:t>30.16</w:t>
            </w:r>
          </w:p>
        </w:tc>
        <w:tc>
          <w:tcPr>
            <w:tcW w:w="63" w:type="dxa"/>
            <w:tcBorders/>
            <w:vAlign w:val="bottom"/>
          </w:tcPr>
          <w:p>
            <w:pPr>
              <w:pStyle w:val="TableContents"/>
              <w:bidi w:val="0"/>
              <w:spacing w:before="0" w:after="283"/>
              <w:jc w:val="left"/>
              <w:rPr/>
            </w:pPr>
            <w:r>
              <w:rPr/>
              <w:t> </w:t>
            </w:r>
          </w:p>
        </w:tc>
      </w:tr>
      <w:tr>
        <w:trPr/>
        <w:tc>
          <w:tcPr>
            <w:tcW w:w="657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130% of the conversion price (per share)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14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40.47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r>
              <w:rPr>
                <w:sz w:val="24"/>
              </w:rPr>
              <w:t>$</w:t>
            </w:r>
          </w:p>
        </w:tc>
        <w:tc>
          <w:tcPr>
            <w:tcW w:w="1513" w:type="dxa"/>
            <w:tcBorders/>
            <w:shd w:fill="CCEEFF" w:val="clear"/>
            <w:vAlign w:val="bottom"/>
          </w:tcPr>
          <w:p>
            <w:pPr>
              <w:pStyle w:val="TableContents"/>
              <w:bidi w:val="0"/>
              <w:spacing w:before="0" w:after="283"/>
              <w:jc w:val="right"/>
              <w:rPr>
                <w:sz w:val="24"/>
              </w:rPr>
            </w:pPr>
            <w:r>
              <w:rPr>
                <w:sz w:val="24"/>
              </w:rPr>
              <w:t>39.21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i/>
          <w:color w:val="000000"/>
          <w:sz w:val="24"/>
          <w:shd w:fill="FFFFFF" w:val="clear"/>
        </w:rPr>
      </w:pPr>
      <w:r>
        <w:rPr>
          <w:rFonts w:ascii="Times New Roman" w:hAnsi="Times New Roman"/>
          <w:i/>
          <w:color w:val="000000"/>
          <w:sz w:val="24"/>
          <w:shd w:fill="FFFFFF" w:val="clear"/>
        </w:rPr>
        <w:t>Convertible Senior Notes due 2030</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In September 2023, the Company issued $750,000 aggregate principal amount of 2.25% convertible senior notes due 2030 (the “2030 Notes”) to qualified institutional buyers pursuant to an exemption from registration provided by Rule 144A under the Securities Act. The Company used the net proceeds from this offering to repurchase $370,242 principal amount of its outstanding 2.25% convertible senior notes due 2025 (the “2025 Notes”) (as further described below), to reduce the outstanding balance of its Credit Facility, to enter into capped call transactions (as further described below), and for other general corporate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2030 Notes bear interest at a rate of 2.25% per year payable semi-annually in arrears on March 15 and September 15 of each year, beginning March 15, 2024.  The 2030 Notes mature on September 15, 2030, unless earlier repurchased or converted.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2030 Notes are convertible into shares of Vishay common stock at an initial conversion rate of 33.1609 shares of common stock per $1 principal amount of the notes, subject to adjustment.  This initial conversion price represents a premium of 20% to the closing price of Vishay's common stock on September 7, 2023, which was $25.13 per share.  This represents an initial effective conversion price of approximately $30.16 per share.  The conversion rate of the 2030 Notes is not adjusted for quarterly cash dividends equal to or less than $0.10 per share of common stock.  Pursuant to the indenture governing the 2030 Notes, the Company is required to satisfy its conversion obligations by paying cash equal to the principal amount of notes and settle any additional value in cash and/or shares at its discretion.  Vishay must provide additional shares upon conversion if there is a "fundamental change" in the business as defined in the indenture governing the notes.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may not redeem the 2030 Notes prior to September 20, 2027.  The Company may redeem for cash all or part of the 2030 Notes, at its option, on or after September 20, 2027, if the sale price of Vishay’s common stock has been at least 130% of the conversion price for a specified period at a redemption price equal to 100% of the principal amount of the notes to be redeemed, plus accrued and unpaid interest.  If the Company elects to redeem fewer than all of the outstanding 2030 Notes, at least $100,000 aggregate principal amount of 2030 Notes must be outstanding and not subject to redemption.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Prior to March 15, 2030, the holders of the 2030 Notes may convert their notes only under the following conditions: (1) the sale price of Vishay common stock reaches 130% of the applicable conversion price for a specified period during any fiscal quarter commencing after the fiscal quarter ending on December 31, 2023; (2) the trading price of the notes falls below 98% of the product of the last reported sale price of Vishay’s common stock and the conversion rate for a specified period; (3) the Company calls any or all of the 2030 Notes for redemption; or (4) upon the occurrence of specified corporate transactions.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4"/>
          <w:shd w:fill="FFFFFF" w:val="clear"/>
        </w:rPr>
      </w:pPr>
      <w:r>
        <w:rPr>
          <w:rFonts w:ascii="Times New Roman;Times;serif" w:hAnsi="Times New Roman;Times;serif"/>
          <w:i/>
          <w:color w:val="000000"/>
          <w:sz w:val="24"/>
          <w:shd w:fill="FFFFFF" w:val="clear"/>
        </w:rPr>
        <w:t>Capped Call Transactions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In September 2023, in connection with the pricing and initial purchasers’ exercise in full of their option to purchase additional 2030 Notes, the Company entered into separate base and additional privately negotiated capped call transactions with an affiliate of an initial purchaser and certain other financial institutions.  The capped call will initially cover, subject to customary anti-dilution adjustments, the aggregate number of shares of the Company’s common stock that initially underlie the 2030 Notes.  The Company used $94,200 of the net proceeds from the 2030 Notes to pay the cost of the capped call transactions.  The cap price of the capped call will initially be $43.98 per share, which represents a premium of approximately 75% over the last reported sale price of the Company’s common stock on September 7, 2023, and is subject to certain adjustments under the terms of the capped call.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capped call transactions are separate transactions entered into by the Company with each of the capped call counterparties, are not part of the terms of the 2030 Notes, and do not affect any holder’s rights under the 2030 Notes.  Holders of the 2030 Notes do not have any rights with respect to the capped call.  The capped call is classified within stockholders’ equity on the consolidated balance sheet.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F-25</w:t>
      </w:r>
    </w:p>
    <w:p>
      <w:pPr>
        <w:pStyle w:val="HorizontalLine"/>
        <w:bidi w:val="0"/>
        <w:spacing w:before="240" w:after="240"/>
        <w:jc w:val="left"/>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i w:val="false"/>
          <w:caps w:val="false"/>
          <w:smallCaps w:val="false"/>
          <w:color w:val="000000"/>
          <w:sz w:val="24"/>
          <w:u w:val="single"/>
          <w:shd w:fill="FFFFFF" w:val="clear"/>
        </w:rPr>
      </w:pPr>
      <w:r>
        <w:rPr>
          <w:rFonts w:ascii="Times New Roman" w:hAnsi="Times New Roman"/>
          <w:b/>
          <w:i w:val="false"/>
          <w:caps w:val="false"/>
          <w:smallCaps w:val="false"/>
          <w:color w:val="000000"/>
          <w:sz w:val="24"/>
          <w:u w:val="single"/>
          <w:shd w:fill="FFFFFF" w:val="clear"/>
        </w:rPr>
        <w:t>Note 6 – Long-Term Debt (continued)</w:t>
      </w:r>
    </w:p>
    <w:p>
      <w:pPr>
        <w:pStyle w:val="TextBody"/>
        <w:bidi w:val="0"/>
        <w:spacing w:before="0" w:after="0"/>
        <w:jc w:val="both"/>
        <w:rPr>
          <w:rFonts w:ascii="Times New Roman;Times;serif" w:hAnsi="Times New Roman;Times;serif"/>
          <w:i/>
          <w:sz w:val="24"/>
        </w:rPr>
      </w:pPr>
      <w:r>
        <w:rPr>
          <w:rFonts w:ascii="Times New Roman;Times;serif" w:hAnsi="Times New Roman;Times;serif"/>
          <w:i/>
          <w:sz w:val="24"/>
        </w:rPr>
      </w:r>
    </w:p>
    <w:p>
      <w:pPr>
        <w:pStyle w:val="TextBody"/>
        <w:bidi w:val="0"/>
        <w:spacing w:before="0" w:after="0"/>
        <w:jc w:val="both"/>
        <w:rPr>
          <w:rFonts w:ascii="Times New Roman;Times;serif" w:hAnsi="Times New Roman;Times;serif"/>
          <w:i/>
          <w:color w:val="000000"/>
          <w:sz w:val="24"/>
          <w:shd w:fill="FFFFFF" w:val="clear"/>
        </w:rPr>
      </w:pPr>
      <w:r>
        <w:rPr>
          <w:rFonts w:ascii="Times New Roman;Times;serif" w:hAnsi="Times New Roman;Times;serif"/>
          <w:i/>
          <w:color w:val="000000"/>
          <w:sz w:val="24"/>
          <w:shd w:fill="FFFFFF" w:val="clear"/>
        </w:rPr>
        <w:t>Convertible Senior Notes due 2025</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used $386,745 of the net proceeds from the offering of the 2030 Notes to repurchase $370,242 principal amount of its outstanding 2025 Notes.  As a result, the Company recognized a loss on early extinguishment of the 2025 Notes of $18,874, including the write-off of a portion of unamortized debt issuance costs.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Prior to December 15, 2024, the holders of the convertible senior notes due 2025 may convert their notes only under the following circumstances: (1) the sale price of Vishay common stock reaches 130% of the conversion price for a specified period; (2) the trading price of the notes falls below 98% of the product of the sale price of Vishay's common stock and the conversion rate for a specified period; or (3) upon the occurrence of specified corporate transactions.  The convertible senior notes due 2025 are not currently convertible.</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Upon conversion of the convertible senior notes due 2025, Vishay will satisfy its conversion obligations by paying $1 cash per $1 principal amount of converted notes and settle any additional amounts due in common stock.</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quarterly cash dividend program of the Company results in adjustments to the conversion rate and effective conversion price for the convertible senior notes due 2025 effective as of the ex-dividend date of each cash dividend.  The conversion rate and effective conversion price for the convertible senior notes due 2025 is adjusted for quarterly cash dividends to the extent such dividends exceed $0.085 per share of common stock.</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b/>
          <w:i/>
          <w:color w:val="000000"/>
          <w:sz w:val="24"/>
          <w:shd w:fill="FFFFFF" w:val="clear"/>
        </w:rPr>
      </w:pPr>
      <w:r>
        <w:rPr>
          <w:rFonts w:ascii="Times New Roman;Times;serif" w:hAnsi="Times New Roman;Times;serif"/>
          <w:b/>
          <w:i/>
          <w:color w:val="000000"/>
          <w:sz w:val="24"/>
          <w:shd w:fill="FFFFFF" w:val="clear"/>
        </w:rPr>
        <w:t>Other Borrowings Information</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Credit Facility, of which no amount was drawn as of December 31, 2023, expires in 2028.  The convertible senior notes mature in 2025 and 2030, respectively.</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 December 31, 2023 and 2022, the Company had committed and uncommitted credit lines with various foreign banks aggregating approximately $34,000 and $1,000, respectively, with substantially no amounts borrowed.</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Interest paid was $17,242, $13,739, and $14,177 for the years ended December 31, 2023, 2022, and 2021, respectively.  Deferred financing costs are recognized as non-cash interest expense.  Non-cash interest expense was $3,735, $3,272, and $3,272 for the years ended December 31, 2023, 2022, and 2021, respectively.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See Note 18 for further discussion on the fair value of the Company’s long-term debt.</w:t>
      </w:r>
    </w:p>
    <w:p>
      <w:pPr>
        <w:pStyle w:val="TextBody"/>
        <w:bidi w:val="0"/>
        <w:spacing w:before="0" w:after="0"/>
        <w:jc w:val="both"/>
        <w:rPr/>
      </w:pPr>
      <w:r>
        <w:rPr/>
      </w:r>
    </w:p>
    <w:p>
      <w:pPr>
        <w:pStyle w:val="TextBody"/>
        <w:bidi w:val="0"/>
        <w:spacing w:before="240" w:after="24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F-26</w:t>
      </w:r>
    </w:p>
    <w:p>
      <w:pPr>
        <w:pStyle w:val="HorizontalLine"/>
        <w:bidi w:val="0"/>
        <w:spacing w:before="240" w:after="240"/>
        <w:jc w:val="both"/>
        <w:rPr/>
      </w:pPr>
      <w:r>
        <w:rPr/>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40" w:after="24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7 – Stockholders’ Equity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Class B common stock carries 10 votes per share while the common stock carries 1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Board of Directors may only declare dividends or other distributions with respect to the common stock or the Class B common stock if it grants such dividends or distributions in the same amount per share with respect to the other class of stock.  Stock dividends or distributions on any class of stock are payable only in shares of stock of that class.  Shares of either common stock or Class B common stock cannot be split, divided, or combined unless the other is also split, divided, or combined equally.  Cash dividends were paid quarterly in 2023 and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Credit Facility also allows an unlimited amount of defined "Restricted Payments," which include cash dividends and share repurchases, provided the Company's pro forma net leverage ratio is equal to or less than 2.50 to 1.00.  If the Company's pro forma net leverage ratio is greater than 2.50 to 1.00, the Credit Facility allows such payments up to $100,000 per annum (subject to a cap of $300,000 for the term of the facility, with up to $25,000 of any unused amount of the $100,000 per annum base available for use in the next succeeding calendar year).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At December 31, 2023, the Company had reserved shares of common stock for future issuance as follows:</w:t>
      </w:r>
    </w:p>
    <w:p>
      <w:pPr>
        <w:pStyle w:val="TextBody"/>
        <w:bidi w:val="0"/>
        <w:spacing w:before="0" w:after="0"/>
        <w:jc w:val="both"/>
        <w:rPr>
          <w:rFonts w:ascii="Times New Roman" w:hAnsi="Times New Roman"/>
          <w:sz w:val="20"/>
        </w:rPr>
      </w:pPr>
      <w:r>
        <w:rPr>
          <w:rFonts w:ascii="Times New Roman" w:hAnsi="Times New Roman"/>
          <w:sz w:val="20"/>
        </w:rPr>
      </w:r>
    </w:p>
    <w:tbl>
      <w:tblPr>
        <w:tblW w:w="6190" w:type="dxa"/>
        <w:jc w:val="left"/>
        <w:tblInd w:w="0" w:type="dxa"/>
        <w:tblLayout w:type="fixed"/>
        <w:tblCellMar>
          <w:top w:w="0" w:type="dxa"/>
          <w:left w:w="0" w:type="dxa"/>
          <w:bottom w:w="0" w:type="dxa"/>
          <w:right w:w="0" w:type="dxa"/>
        </w:tblCellMar>
      </w:tblPr>
      <w:tblGrid>
        <w:gridCol w:w="4895"/>
        <w:gridCol w:w="60"/>
        <w:gridCol w:w="60"/>
        <w:gridCol w:w="1100"/>
        <w:gridCol w:w="75"/>
      </w:tblGrid>
      <w:tr>
        <w:trPr/>
        <w:tc>
          <w:tcPr>
            <w:tcW w:w="489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Restricted stock units outstanding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1,717,000</w:t>
            </w:r>
          </w:p>
        </w:tc>
        <w:tc>
          <w:tcPr>
            <w:tcW w:w="75"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Phantom stock units outstanding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120,000</w:t>
            </w:r>
          </w:p>
        </w:tc>
        <w:tc>
          <w:tcPr>
            <w:tcW w:w="75"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2023 Long-Term Incentive Plan - available to grant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5,250,847</w:t>
            </w:r>
          </w:p>
        </w:tc>
        <w:tc>
          <w:tcPr>
            <w:tcW w:w="75"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Convertible senior notes, due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3,055,323</w:t>
            </w:r>
          </w:p>
        </w:tc>
        <w:tc>
          <w:tcPr>
            <w:tcW w:w="75"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283"/>
              <w:jc w:val="left"/>
              <w:rPr>
                <w:sz w:val="24"/>
              </w:rPr>
            </w:pPr>
            <w:r>
              <w:rPr>
                <w:sz w:val="24"/>
              </w:rPr>
              <w:t>Convertible senior notes, due 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sz w:val="24"/>
              </w:rPr>
            </w:pPr>
            <w:r>
              <w:rPr>
                <w:sz w:val="24"/>
              </w:rPr>
              <w:t>24,870,675</w:t>
            </w:r>
          </w:p>
        </w:tc>
        <w:tc>
          <w:tcPr>
            <w:tcW w:w="75"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Conversion of Class B common stock</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12,097,148</w:t>
            </w:r>
          </w:p>
        </w:tc>
        <w:tc>
          <w:tcPr>
            <w:tcW w:w="75"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283"/>
              <w:jc w:val="left"/>
              <w:rPr>
                <w:sz w:val="24"/>
              </w:rPr>
            </w:pPr>
            <w:r>
              <w:rPr>
                <w:sz w:val="24"/>
              </w:rPr>
              <w:t>Total</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47,110,993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240"/>
        <w:ind w:left="0" w:right="0" w:hanging="0"/>
        <w:jc w:val="both"/>
        <w:rPr/>
      </w:pPr>
      <w:r>
        <w:rPr/>
      </w:r>
    </w:p>
    <w:p>
      <w:pPr>
        <w:pStyle w:val="TextBody"/>
        <w:bidi w:val="0"/>
        <w:spacing w:before="0" w:after="240"/>
        <w:ind w:left="0" w:right="0" w:hanging="0"/>
        <w:jc w:val="both"/>
        <w:rPr>
          <w:rFonts w:ascii="Times New Roman" w:hAnsi="Times New Roman"/>
          <w:color w:val="000000"/>
          <w:sz w:val="24"/>
          <w:shd w:fill="FFFFFF" w:val="clear"/>
        </w:rPr>
      </w:pPr>
      <w:r>
        <w:rPr>
          <w:rFonts w:ascii="Times New Roman" w:hAnsi="Times New Roman"/>
          <w:color w:val="000000"/>
          <w:sz w:val="24"/>
          <w:shd w:fill="FFFFFF" w:val="clear"/>
        </w:rPr>
        <w:t>In 2022, the Company's Board of Directors adopted a Stockholder Return Policy that will remain in effect until such time as the Board votes to amend or rescind the policy.  The Stockholder Return Policy calls for the Company to return a prescribed amount of cash flows on an annual basis. The Company intends to return such amounts directly, in the form of dividends, or indirectly, in the form of stock repurchases.</w:t>
      </w:r>
    </w:p>
    <w:p>
      <w:pPr>
        <w:pStyle w:val="TextBody"/>
        <w:bidi w:val="0"/>
        <w:spacing w:before="0" w:after="240"/>
        <w:jc w:val="both"/>
        <w:rPr>
          <w:rFonts w:ascii="Times New Roman" w:hAnsi="Times New Roman"/>
          <w:sz w:val="24"/>
        </w:rPr>
      </w:pPr>
      <w:r>
        <w:rPr>
          <w:rFonts w:ascii="Times New Roman" w:hAnsi="Times New Roman"/>
          <w:sz w:val="24"/>
        </w:rPr>
      </w:r>
    </w:p>
    <w:p>
      <w:pPr>
        <w:pStyle w:val="TextBody"/>
        <w:bidi w:val="0"/>
        <w:spacing w:before="0" w:after="24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following table summarizes activity pursuant to this policy:</w:t>
      </w:r>
    </w:p>
    <w:p>
      <w:pPr>
        <w:pStyle w:val="TextBody"/>
        <w:bidi w:val="0"/>
        <w:spacing w:before="0" w:after="240"/>
        <w:jc w:val="both"/>
        <w:rPr/>
      </w:pPr>
      <w:r>
        <w:rPr/>
      </w:r>
    </w:p>
    <w:tbl>
      <w:tblPr>
        <w:tblW w:w="5751" w:type="dxa"/>
        <w:jc w:val="left"/>
        <w:tblInd w:w="0" w:type="dxa"/>
        <w:tblLayout w:type="fixed"/>
        <w:tblCellMar>
          <w:top w:w="0" w:type="dxa"/>
          <w:left w:w="0" w:type="dxa"/>
          <w:bottom w:w="0" w:type="dxa"/>
          <w:right w:w="0" w:type="dxa"/>
        </w:tblCellMar>
      </w:tblPr>
      <w:tblGrid>
        <w:gridCol w:w="2945"/>
        <w:gridCol w:w="80"/>
        <w:gridCol w:w="186"/>
        <w:gridCol w:w="1067"/>
        <w:gridCol w:w="80"/>
        <w:gridCol w:w="80"/>
        <w:gridCol w:w="186"/>
        <w:gridCol w:w="1067"/>
        <w:gridCol w:w="60"/>
      </w:tblGrid>
      <w:tr>
        <w:trPr/>
        <w:tc>
          <w:tcPr>
            <w:tcW w:w="2945" w:type="dxa"/>
            <w:tcBorders/>
            <w:vAlign w:val="bottom"/>
          </w:tcPr>
          <w:p>
            <w:pPr>
              <w:pStyle w:val="TableContents"/>
              <w:bidi w:val="0"/>
              <w:spacing w:before="0" w:after="283"/>
              <w:jc w:val="left"/>
              <w:rPr/>
            </w:pPr>
            <w:r>
              <w:rPr/>
              <w:t> </w:t>
            </w:r>
          </w:p>
        </w:tc>
        <w:tc>
          <w:tcPr>
            <w:tcW w:w="2746" w:type="dxa"/>
            <w:gridSpan w:val="7"/>
            <w:tcBorders/>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Years ended December 31,</w:t>
            </w:r>
          </w:p>
        </w:tc>
        <w:tc>
          <w:tcPr>
            <w:tcW w:w="6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1333"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2023</w:t>
            </w:r>
          </w:p>
        </w:tc>
        <w:tc>
          <w:tcPr>
            <w:tcW w:w="80" w:type="dxa"/>
            <w:tcBorders/>
            <w:vAlign w:val="bottom"/>
          </w:tcPr>
          <w:p>
            <w:pPr>
              <w:pStyle w:val="TableContents"/>
              <w:bidi w:val="0"/>
              <w:spacing w:before="0" w:after="283"/>
              <w:jc w:val="left"/>
              <w:rPr/>
            </w:pPr>
            <w:r>
              <w:rPr/>
              <w:t> </w:t>
            </w:r>
          </w:p>
        </w:tc>
        <w:tc>
          <w:tcPr>
            <w:tcW w:w="1333"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Dividends paid to stockholders</w:t>
            </w:r>
          </w:p>
        </w:tc>
        <w:tc>
          <w:tcPr>
            <w:tcW w:w="8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55,626</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b w:val="false"/>
              </w:rPr>
            </w:pPr>
            <w:r>
              <w:rPr>
                <w:b w:val="false"/>
              </w:rPr>
              <w:t>$</w:t>
            </w:r>
          </w:p>
        </w:tc>
        <w:tc>
          <w:tcPr>
            <w:tcW w:w="1067" w:type="dxa"/>
            <w:tcBorders/>
            <w:shd w:fill="CCEEFF" w:val="clear"/>
            <w:vAlign w:val="bottom"/>
          </w:tcPr>
          <w:p>
            <w:pPr>
              <w:pStyle w:val="TableContents"/>
              <w:bidi w:val="0"/>
              <w:spacing w:before="0" w:after="283"/>
              <w:jc w:val="right"/>
              <w:rPr>
                <w:b w:val="false"/>
              </w:rPr>
            </w:pPr>
            <w:r>
              <w:rPr>
                <w:b w:val="false"/>
              </w:rPr>
              <w:t>57,187</w:t>
            </w:r>
          </w:p>
        </w:tc>
        <w:tc>
          <w:tcPr>
            <w:tcW w:w="60"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Stock repurchases</w:t>
            </w:r>
          </w:p>
        </w:tc>
        <w:tc>
          <w:tcPr>
            <w:tcW w:w="8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7" w:type="dxa"/>
            <w:tcBorders>
              <w:bottom w:val="single" w:sz="12" w:space="0" w:color="000000"/>
            </w:tcBorders>
            <w:tcMar>
              <w:bottom w:w="28" w:type="dxa"/>
            </w:tcMar>
            <w:vAlign w:val="bottom"/>
          </w:tcPr>
          <w:p>
            <w:pPr>
              <w:pStyle w:val="TableContents"/>
              <w:bidi w:val="0"/>
              <w:spacing w:before="0" w:after="283"/>
              <w:jc w:val="right"/>
              <w:rPr>
                <w:b/>
              </w:rPr>
            </w:pPr>
            <w:r>
              <w:rPr>
                <w:b/>
              </w:rPr>
              <w:t>78,684</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7" w:type="dxa"/>
            <w:tcBorders>
              <w:bottom w:val="single" w:sz="12" w:space="0" w:color="000000"/>
            </w:tcBorders>
            <w:tcMar>
              <w:bottom w:w="28" w:type="dxa"/>
            </w:tcMar>
            <w:vAlign w:val="bottom"/>
          </w:tcPr>
          <w:p>
            <w:pPr>
              <w:pStyle w:val="TableContents"/>
              <w:bidi w:val="0"/>
              <w:spacing w:before="0" w:after="283"/>
              <w:jc w:val="right"/>
              <w:rPr>
                <w:b w:val="false"/>
              </w:rPr>
            </w:pPr>
            <w:r>
              <w:rPr>
                <w:b w:val="false"/>
              </w:rPr>
              <w:t>82,972</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Total</w:t>
            </w:r>
          </w:p>
        </w:tc>
        <w:tc>
          <w:tcPr>
            <w:tcW w:w="80" w:type="dxa"/>
            <w:tcBorders/>
            <w:shd w:fill="CCEEFF" w:val="clear"/>
            <w:vAlign w:val="bottom"/>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1067"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134,310</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283"/>
              <w:jc w:val="left"/>
              <w:rPr>
                <w:b w:val="false"/>
              </w:rPr>
            </w:pPr>
            <w:r>
              <w:rPr>
                <w:b w:val="false"/>
              </w:rPr>
              <w:t>$</w:t>
            </w:r>
          </w:p>
        </w:tc>
        <w:tc>
          <w:tcPr>
            <w:tcW w:w="1067" w:type="dxa"/>
            <w:tcBorders>
              <w:bottom w:val="double" w:sz="8" w:space="0" w:color="000000"/>
            </w:tcBorders>
            <w:shd w:fill="CCEEFF" w:val="clear"/>
            <w:tcMar>
              <w:bottom w:w="28" w:type="dxa"/>
            </w:tcMar>
            <w:vAlign w:val="bottom"/>
          </w:tcPr>
          <w:p>
            <w:pPr>
              <w:pStyle w:val="TableContents"/>
              <w:bidi w:val="0"/>
              <w:spacing w:before="0" w:after="283"/>
              <w:jc w:val="right"/>
              <w:rPr>
                <w:b w:val="false"/>
              </w:rPr>
            </w:pPr>
            <w:r>
              <w:rPr>
                <w:b w:val="false"/>
              </w:rPr>
              <w:t>140,159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repurchased shares are being held as treasury stock.  The number of shares of common stock being held as treasury stock was 7,535,881 and 4,240,573 as of December 31, 2023 and 2022, respectively.</w:t>
      </w:r>
    </w:p>
    <w:p>
      <w:pPr>
        <w:pStyle w:val="TextBody"/>
        <w:bidi w:val="0"/>
        <w:spacing w:before="0" w:after="2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F-27</w:t>
      </w:r>
    </w:p>
    <w:p>
      <w:pPr>
        <w:pStyle w:val="HorizontalLine"/>
        <w:bidi w:val="0"/>
        <w:spacing w:before="200" w:after="200"/>
        <w:jc w:val="both"/>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8 – Details of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caption “Other” on the accompanying consolidated statements of operations consists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7565" w:type="dxa"/>
        <w:jc w:val="left"/>
        <w:tblInd w:w="0" w:type="dxa"/>
        <w:tblLayout w:type="fixed"/>
        <w:tblCellMar>
          <w:top w:w="0" w:type="dxa"/>
          <w:left w:w="0" w:type="dxa"/>
          <w:bottom w:w="0" w:type="dxa"/>
          <w:right w:w="0" w:type="dxa"/>
        </w:tblCellMar>
      </w:tblPr>
      <w:tblGrid>
        <w:gridCol w:w="4475"/>
        <w:gridCol w:w="60"/>
        <w:gridCol w:w="140"/>
        <w:gridCol w:w="680"/>
        <w:gridCol w:w="95"/>
        <w:gridCol w:w="60"/>
        <w:gridCol w:w="140"/>
        <w:gridCol w:w="755"/>
        <w:gridCol w:w="95"/>
        <w:gridCol w:w="60"/>
        <w:gridCol w:w="140"/>
        <w:gridCol w:w="755"/>
        <w:gridCol w:w="110"/>
      </w:tblGrid>
      <w:tr>
        <w:trPr/>
        <w:tc>
          <w:tcPr>
            <w:tcW w:w="44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Foreign exchange gain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5,690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(2,692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47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31,353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7,560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1,269</w:t>
            </w:r>
          </w:p>
        </w:tc>
        <w:tc>
          <w:tcPr>
            <w:tcW w:w="11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components of periodic pension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(8,730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(11,090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(13,206</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47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Investment income (expense)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1,347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(6,812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(1,036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47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w:t>
            </w:r>
          </w:p>
        </w:tc>
        <w:tc>
          <w:tcPr>
            <w:tcW w:w="11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25,263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(4,852</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(15,654</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shd w:fill="FFFFFF" w:val="clear"/>
        </w:rPr>
      </w:pPr>
      <w:r>
        <w:rPr>
          <w:rFonts w:ascii="Times New Roman" w:hAnsi="Times New Roman"/>
          <w:i/>
          <w:color w:val="000000"/>
          <w:sz w:val="24"/>
          <w:shd w:fill="FFFFFF" w:val="clear"/>
        </w:rPr>
        <w:t>Impact of the COVID-19 Pandemic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operations were impacted by the "COVID-19" pandemic, particularly in 2020 and again in 2022 when operations in the People's Republic of China were impacted by government-mandated shut-downs.  The Company incurred incremental costs separable from normal operations that are directly related to the pandemic containment efforts, primarily wages paid to manufacturing employees during government-mandated shut-downs, additional wages and hardship allowances for working during lockdown periods, additional costs of cleaning and disinfecting facilities, costs of additional safety equipment for employees, and temporary housing for employees due to travel restrictions, which were partially offset by government subsidies.  Since 2021, certain costs directly attributable to the pandemic, such as additional costs of cleaning and disinfecting facility and costs of additional safety equipment for employees, are no longer incremental and are considered normal operating costs.  The net impact of the costs and subsidies are reported as "Cost of products sold" of $6,661 and "Selling, general, and administrative expenses" of $546 based on employee function on the consolidated statement of operations for the year ended December 31, 2022.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F-28</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9 – Other Accrued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Other accrued expenses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5290" w:type="dxa"/>
        <w:jc w:val="left"/>
        <w:tblInd w:w="0" w:type="dxa"/>
        <w:tblLayout w:type="fixed"/>
        <w:tblCellMar>
          <w:top w:w="0" w:type="dxa"/>
          <w:left w:w="0" w:type="dxa"/>
          <w:bottom w:w="0" w:type="dxa"/>
          <w:right w:w="0" w:type="dxa"/>
        </w:tblCellMar>
      </w:tblPr>
      <w:tblGrid>
        <w:gridCol w:w="3155"/>
        <w:gridCol w:w="60"/>
        <w:gridCol w:w="140"/>
        <w:gridCol w:w="800"/>
        <w:gridCol w:w="60"/>
        <w:gridCol w:w="60"/>
        <w:gridCol w:w="140"/>
        <w:gridCol w:w="800"/>
        <w:gridCol w:w="75"/>
      </w:tblGrid>
      <w:tr>
        <w:trPr/>
        <w:tc>
          <w:tcPr>
            <w:tcW w:w="3155" w:type="dxa"/>
            <w:tcBorders/>
            <w:vAlign w:val="bottom"/>
          </w:tcPr>
          <w:p>
            <w:pPr>
              <w:pStyle w:val="TableContents"/>
              <w:bidi w:val="0"/>
              <w:spacing w:before="0" w:after="283"/>
              <w:jc w:val="left"/>
              <w:rPr/>
            </w:pPr>
            <w:r>
              <w:rPr/>
              <w:t> </w:t>
            </w:r>
          </w:p>
        </w:tc>
        <w:tc>
          <w:tcPr>
            <w:tcW w:w="2060" w:type="dxa"/>
            <w:gridSpan w:val="7"/>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tc>
        <w:tc>
          <w:tcPr>
            <w:tcW w:w="75"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75"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 </w:t>
            </w:r>
          </w:p>
        </w:tc>
        <w:tc>
          <w:tcPr>
            <w:tcW w:w="100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Sales returns and allowances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47,760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46,979</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Goods received, not yet invoiced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44,657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60,201</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Accrued VAT taxes payable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56,218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55,010</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90,715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99,416</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239,350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261,606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Sales returns and allowances accrual activity is shown below:</w:t>
      </w:r>
    </w:p>
    <w:p>
      <w:pPr>
        <w:pStyle w:val="TextBody"/>
        <w:bidi w:val="0"/>
        <w:spacing w:before="0" w:after="0"/>
        <w:jc w:val="left"/>
        <w:rPr>
          <w:rFonts w:ascii="Times New Roman" w:hAnsi="Times New Roman"/>
          <w:sz w:val="20"/>
        </w:rPr>
      </w:pPr>
      <w:r>
        <w:rPr>
          <w:rFonts w:ascii="Times New Roman" w:hAnsi="Times New Roman"/>
          <w:sz w:val="20"/>
        </w:rPr>
      </w:r>
    </w:p>
    <w:tbl>
      <w:tblPr>
        <w:tblW w:w="6080" w:type="dxa"/>
        <w:jc w:val="left"/>
        <w:tblInd w:w="0" w:type="dxa"/>
        <w:tblLayout w:type="fixed"/>
        <w:tblCellMar>
          <w:top w:w="0" w:type="dxa"/>
          <w:left w:w="0" w:type="dxa"/>
          <w:bottom w:w="0" w:type="dxa"/>
          <w:right w:w="0" w:type="dxa"/>
        </w:tblCellMar>
      </w:tblPr>
      <w:tblGrid>
        <w:gridCol w:w="2750"/>
        <w:gridCol w:w="60"/>
        <w:gridCol w:w="140"/>
        <w:gridCol w:w="875"/>
        <w:gridCol w:w="95"/>
        <w:gridCol w:w="60"/>
        <w:gridCol w:w="140"/>
        <w:gridCol w:w="800"/>
        <w:gridCol w:w="95"/>
        <w:gridCol w:w="60"/>
        <w:gridCol w:w="140"/>
        <w:gridCol w:w="755"/>
        <w:gridCol w:w="110"/>
      </w:tblGrid>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Beginning balance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46,979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39,759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39,629</w:t>
            </w:r>
          </w:p>
        </w:tc>
        <w:tc>
          <w:tcPr>
            <w:tcW w:w="11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Sales returns and allowances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101,696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102,640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89,832</w:t>
            </w:r>
          </w:p>
        </w:tc>
        <w:tc>
          <w:tcPr>
            <w:tcW w:w="11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Credits issued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(101,324</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(94,682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(88,708</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7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Foreign currency</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(738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(994</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7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Ending balance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47,760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46,979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39,759</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F-29</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10 – Accumulated Other Comprehensive Income (Loss)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cumulative balance of each component of other comprehensive income (loss) and the income tax effects allocated to each component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0059" w:type="dxa"/>
        <w:jc w:val="left"/>
        <w:tblInd w:w="0" w:type="dxa"/>
        <w:tblLayout w:type="fixed"/>
        <w:tblCellMar>
          <w:top w:w="0" w:type="dxa"/>
          <w:left w:w="0" w:type="dxa"/>
          <w:bottom w:w="0" w:type="dxa"/>
          <w:right w:w="0" w:type="dxa"/>
        </w:tblCellMar>
      </w:tblPr>
      <w:tblGrid>
        <w:gridCol w:w="6020"/>
        <w:gridCol w:w="60"/>
        <w:gridCol w:w="234"/>
        <w:gridCol w:w="1270"/>
        <w:gridCol w:w="95"/>
        <w:gridCol w:w="60"/>
        <w:gridCol w:w="181"/>
        <w:gridCol w:w="979"/>
        <w:gridCol w:w="95"/>
        <w:gridCol w:w="60"/>
        <w:gridCol w:w="140"/>
        <w:gridCol w:w="755"/>
        <w:gridCol w:w="110"/>
      </w:tblGrid>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Pension and</w:t>
            </w:r>
          </w:p>
          <w:p>
            <w:pPr>
              <w:pStyle w:val="TableContents"/>
              <w:bidi w:val="0"/>
              <w:spacing w:before="0" w:after="0"/>
              <w:jc w:val="center"/>
              <w:rPr>
                <w:rFonts w:ascii="Times New Roman" w:hAnsi="Times New Roman"/>
                <w:b/>
                <w:sz w:val="24"/>
              </w:rPr>
            </w:pPr>
            <w:r>
              <w:rPr>
                <w:rFonts w:ascii="Times New Roman" w:hAnsi="Times New Roman"/>
                <w:b/>
                <w:sz w:val="24"/>
              </w:rPr>
              <w:t>other post-</w:t>
            </w:r>
          </w:p>
          <w:p>
            <w:pPr>
              <w:pStyle w:val="TableContents"/>
              <w:bidi w:val="0"/>
              <w:spacing w:before="0" w:after="0"/>
              <w:jc w:val="center"/>
              <w:rPr>
                <w:rFonts w:ascii="Times New Roman" w:hAnsi="Times New Roman"/>
                <w:b/>
                <w:sz w:val="24"/>
              </w:rPr>
            </w:pPr>
            <w:r>
              <w:rPr>
                <w:rFonts w:ascii="Times New Roman" w:hAnsi="Times New Roman"/>
                <w:b/>
                <w:sz w:val="24"/>
              </w:rPr>
              <w:t>retirement</w:t>
            </w:r>
          </w:p>
          <w:p>
            <w:pPr>
              <w:pStyle w:val="TableContents"/>
              <w:bidi w:val="0"/>
              <w:spacing w:before="0" w:after="0"/>
              <w:jc w:val="center"/>
              <w:rPr>
                <w:rFonts w:ascii="Times New Roman" w:hAnsi="Times New Roman"/>
                <w:b/>
                <w:sz w:val="24"/>
              </w:rPr>
            </w:pPr>
            <w:r>
              <w:rPr>
                <w:rFonts w:ascii="Times New Roman" w:hAnsi="Times New Roman"/>
                <w:b/>
                <w:sz w:val="24"/>
              </w:rPr>
              <w:t>actuarial items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Currency</w:t>
            </w:r>
          </w:p>
          <w:p>
            <w:pPr>
              <w:pStyle w:val="TableContents"/>
              <w:bidi w:val="0"/>
              <w:spacing w:before="0" w:after="0"/>
              <w:jc w:val="center"/>
              <w:rPr>
                <w:rFonts w:ascii="Times New Roman" w:hAnsi="Times New Roman"/>
                <w:b/>
                <w:sz w:val="24"/>
              </w:rPr>
            </w:pPr>
            <w:r>
              <w:rPr>
                <w:rFonts w:ascii="Times New Roman" w:hAnsi="Times New Roman"/>
                <w:b/>
                <w:sz w:val="24"/>
              </w:rPr>
              <w:t>translation</w:t>
            </w:r>
          </w:p>
          <w:p>
            <w:pPr>
              <w:pStyle w:val="TableContents"/>
              <w:bidi w:val="0"/>
              <w:spacing w:before="0" w:after="0"/>
              <w:jc w:val="center"/>
              <w:rPr>
                <w:rFonts w:ascii="Times New Roman" w:hAnsi="Times New Roman"/>
                <w:b/>
                <w:sz w:val="24"/>
              </w:rPr>
            </w:pPr>
            <w:r>
              <w:rPr>
                <w:rFonts w:ascii="Times New Roman" w:hAnsi="Times New Roman"/>
                <w:b/>
                <w:sz w:val="24"/>
              </w:rPr>
              <w:t>adjustment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Total</w:t>
            </w:r>
          </w:p>
        </w:tc>
        <w:tc>
          <w:tcPr>
            <w:tcW w:w="110"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44" w:right="0" w:hanging="0"/>
              <w:jc w:val="left"/>
              <w:rPr>
                <w:rFonts w:ascii="Times New Roman" w:hAnsi="Times New Roman"/>
                <w:b/>
                <w:sz w:val="24"/>
              </w:rPr>
            </w:pPr>
            <w:r>
              <w:rPr>
                <w:rFonts w:ascii="Times New Roman" w:hAnsi="Times New Roman"/>
                <w:b/>
                <w:sz w:val="24"/>
              </w:rPr>
              <w:t>Balance at January 1, 2021</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7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(77,075</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7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90,634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13,559</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12,592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(51,978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(39,386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(2,509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(2,509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 net of tax</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10,083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(51,978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(41,895</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10,677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10,677</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(2,593</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(2,593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 net of tax</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8,084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8,084</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Net comprehensive income (loss)</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18,167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(51,978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(33,811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shd w:fill="CCEEFF" w:val="clear"/>
            <w:vAlign w:val="bottom"/>
          </w:tcPr>
          <w:p>
            <w:pPr>
              <w:pStyle w:val="TableContents"/>
              <w:bidi w:val="0"/>
              <w:spacing w:before="0" w:after="0"/>
              <w:ind w:left="144" w:right="0" w:hanging="0"/>
              <w:jc w:val="left"/>
              <w:rPr>
                <w:rFonts w:ascii="Times New Roman" w:hAnsi="Times New Roman"/>
                <w:b/>
                <w:sz w:val="24"/>
              </w:rPr>
            </w:pPr>
            <w:r>
              <w:rPr>
                <w:rFonts w:ascii="Times New Roman" w:hAnsi="Times New Roman"/>
                <w:b/>
                <w:sz w:val="24"/>
              </w:rPr>
              <w:t>Balance at December 31, 2021</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(58,908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38,656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(20,252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60,949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(41,885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19,064</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(15,783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(15,783</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 net of tax</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45,166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(41,885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3,281</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8,260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8,260</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(2,116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(2,116</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 net of tax</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6,144</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Net comprehensive income (loss)</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51,310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(41,885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9,425</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44" w:right="0" w:hanging="0"/>
              <w:jc w:val="left"/>
              <w:rPr>
                <w:rFonts w:ascii="Times New Roman" w:hAnsi="Times New Roman"/>
                <w:b/>
                <w:sz w:val="24"/>
              </w:rPr>
            </w:pPr>
            <w:r>
              <w:rPr>
                <w:rFonts w:ascii="Times New Roman" w:hAnsi="Times New Roman"/>
                <w:b/>
                <w:sz w:val="24"/>
              </w:rPr>
              <w:t>Balance at December 31, 2022</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(7,598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(3,229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(10,827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(10,338</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28,165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17,827</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2,462</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Other comprehensive income before reclassifications, net of tax</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(7,876</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28,165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20,289</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1,181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1,181</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Tax effect</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(306</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(306</w:t>
            </w:r>
          </w:p>
        </w:tc>
        <w:tc>
          <w:tcPr>
            <w:tcW w:w="11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Amounts reclassified out of AOCI, net of tax</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875</w:t>
            </w:r>
          </w:p>
        </w:tc>
        <w:tc>
          <w:tcPr>
            <w:tcW w:w="11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Net comprehensive income (loss)</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(7,001</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28,165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21,164</w:t>
            </w:r>
          </w:p>
        </w:tc>
        <w:tc>
          <w:tcPr>
            <w:tcW w:w="11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44" w:right="0" w:hanging="0"/>
              <w:jc w:val="left"/>
              <w:rPr>
                <w:rFonts w:ascii="Times New Roman" w:hAnsi="Times New Roman"/>
                <w:b/>
                <w:sz w:val="24"/>
              </w:rPr>
            </w:pPr>
            <w:r>
              <w:rPr>
                <w:rFonts w:ascii="Times New Roman" w:hAnsi="Times New Roman"/>
                <w:b/>
                <w:sz w:val="24"/>
              </w:rPr>
              <w:t>Balance at December 31, 2023</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(14,599</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24,936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10,337</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Other comprehensive income (loss) includes Vishay's proportionate share of other comprehensive income (loss) of nonconsolidated subsidiaries accounted for under the equity method.</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F-30</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maintains various retirement benefit plans. GAAP requires employers to recognize the funded status of a benefit plan, measured as the difference between plan assets at fair value and the benefit obligation, in its balance sheet.  The recognition of the funded status on the balance sheet requires employers to recognize actuarial items (such as actuarial gains and losses, prior service costs, and transition obligations) as a component of other comprehensive income, net of tax.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summarizes amounts recorded on the accompanying consolidated balance sheets associated with these various retirement benefit plans:</w:t>
      </w:r>
    </w:p>
    <w:p>
      <w:pPr>
        <w:pStyle w:val="TextBody"/>
        <w:bidi w:val="0"/>
        <w:spacing w:before="0" w:after="0"/>
        <w:jc w:val="left"/>
        <w:rPr>
          <w:rFonts w:ascii="Times New Roman" w:hAnsi="Times New Roman"/>
          <w:sz w:val="20"/>
        </w:rPr>
      </w:pPr>
      <w:r>
        <w:rPr>
          <w:rFonts w:ascii="Times New Roman" w:hAnsi="Times New Roman"/>
          <w:sz w:val="20"/>
        </w:rPr>
      </w:r>
    </w:p>
    <w:tbl>
      <w:tblPr>
        <w:tblW w:w="7340" w:type="dxa"/>
        <w:jc w:val="left"/>
        <w:tblInd w:w="0" w:type="dxa"/>
        <w:tblLayout w:type="fixed"/>
        <w:tblCellMar>
          <w:top w:w="0" w:type="dxa"/>
          <w:left w:w="0" w:type="dxa"/>
          <w:bottom w:w="0" w:type="dxa"/>
          <w:right w:w="0" w:type="dxa"/>
        </w:tblCellMar>
      </w:tblPr>
      <w:tblGrid>
        <w:gridCol w:w="4985"/>
        <w:gridCol w:w="60"/>
        <w:gridCol w:w="140"/>
        <w:gridCol w:w="875"/>
        <w:gridCol w:w="95"/>
        <w:gridCol w:w="60"/>
        <w:gridCol w:w="140"/>
        <w:gridCol w:w="875"/>
        <w:gridCol w:w="110"/>
      </w:tblGrid>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tc>
        <w:tc>
          <w:tcPr>
            <w:tcW w:w="110"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0"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Included in "Other assets":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pension plans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3,929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4,715</w:t>
            </w:r>
          </w:p>
        </w:tc>
        <w:tc>
          <w:tcPr>
            <w:tcW w:w="110"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included in other assets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3,929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4,715</w:t>
            </w:r>
          </w:p>
        </w:tc>
        <w:tc>
          <w:tcPr>
            <w:tcW w:w="110"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Included in "Payroll and related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pension plans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(1,474</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(6,378</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pension plans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(7,149</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(6,827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other postretirement plans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(510</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(497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other postretirement plans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(390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(666</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included in payroll and related expenses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(9,523</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(14,368</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Accrued pension and other postretirement costs: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pension plans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(29,217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(30,843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pension plans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(144,276</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(135,809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other postretirement plans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(3,750</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(3,831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other postretirement plans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(7,173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(6,049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retirement obligations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(11,087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(10,560</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accrued pension and other postretirement costs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(195,503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(187,092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Accumulated other comprehensive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pension plans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(522</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69</w:t>
            </w:r>
          </w:p>
        </w:tc>
        <w:tc>
          <w:tcPr>
            <w:tcW w:w="110"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pension plans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24,891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16,392</w:t>
            </w:r>
          </w:p>
        </w:tc>
        <w:tc>
          <w:tcPr>
            <w:tcW w:w="110"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U.S. other postretirement plans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(1,527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(2,031</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9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Non-U.S. other postretirement plans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743</w:t>
            </w:r>
          </w:p>
        </w:tc>
        <w:tc>
          <w:tcPr>
            <w:tcW w:w="110"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 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24,330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15,173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 Amounts included in accumulated other comprehensive loss are presented in this table pre-tax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Defined Benefit Pension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U.S. Pension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maintained several defined benefit pension plans which covered most full-time U.S. employees.  These included pension plans which are “qualified” under the Employee Retirement Income Security Act of 1974 (“ERISA”) and the Internal Revenue Code, and “non-qualified” pension plans which provide defined benefits primarily to U.S. employees whose benefits under the qualified pension plan would be limited by ERISA and the Internal Revenue Code.  The Company’s principal qualified U.S. pension plan (the Vishay Retirement Plan) was frozen effective January 1, 2009 and terminated in 2016.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principal non-qualified U.S. pension plan (the Vishay Non-qualified Retirement Plan) was a contributory pension plan designed to provide similar defined benefits to covered U.S. employees whose benefits under the Vishay Retirement Plan were limited by the Internal Revenue Code.  The Vishay Non-qualified Retirement Plan was similar in construction to the Vishay Retirement Plan, except that the plan is not qualified under the Internal Revenue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Vishay Non-qualified Retirement Plan, like all non-qualified plans, is considered to be unfunded.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the non-qualified pension plan were $21,095 and $20,615 at December 31, 2023 and 2022, respectively.</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F-31</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2008, the Company adopted amendments to the Vishay Non-Qualified Retirement Plan such that effective January 1, 2009, the plan was frozen.  Pursuant to these amendments, no new employees may participate in the plans, no further participant contributions were required or permitted, and no further benefits shall accrue after December 31, 2008.  Benefits accumulated as of December 31, 2008 will be paid to employees upon or following retirement, and the Company will likely need to make additional cash contributions to the rabbi trust to fund this accumulated benefit obligation.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also maintains other pension plans which provide supplemental defined benefits primarily to former U.S. employees whose benefits under qualified pension plans were limited by the Internal Revenue Code.  These non-qualified plans are all non-contributory plans, and are considered to be unfunded.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2004, the Company entered into an employment agreement with Dr. Felix Zandman, its Executive Chairman and then-Chief Executive Officer.  Pursuant to this agreement, the Company is providing an annual retirement benefit of approximately $614 to his surviving spouse.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this non-qualified pension plan were $445 and $1,023 at December 31, 2023 and 2022,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Non-U.S. Pension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provides pension and similar benefits to employees of certain non-U.S. subsidiaries consistent with local practices.  Pension benefits earned are generally based on years of service and compensation during active employment.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a reconciliation of the benefit obligation, plan assets, and funded status related to U.S. and non-U.S. pension plans:</w:t>
      </w:r>
    </w:p>
    <w:p>
      <w:pPr>
        <w:pStyle w:val="TextBody"/>
        <w:bidi w:val="0"/>
        <w:spacing w:before="0" w:after="0"/>
        <w:jc w:val="left"/>
        <w:rPr>
          <w:rFonts w:ascii="Times New Roman" w:hAnsi="Times New Roman"/>
          <w:sz w:val="20"/>
        </w:rPr>
      </w:pPr>
      <w:r>
        <w:rPr>
          <w:rFonts w:ascii="Times New Roman" w:hAnsi="Times New Roman"/>
          <w:sz w:val="20"/>
        </w:rPr>
      </w:r>
    </w:p>
    <w:tbl>
      <w:tblPr>
        <w:tblW w:w="8765" w:type="dxa"/>
        <w:jc w:val="left"/>
        <w:tblInd w:w="0" w:type="dxa"/>
        <w:tblLayout w:type="fixed"/>
        <w:tblCellMar>
          <w:top w:w="0" w:type="dxa"/>
          <w:left w:w="0" w:type="dxa"/>
          <w:bottom w:w="0" w:type="dxa"/>
          <w:right w:w="0" w:type="dxa"/>
        </w:tblCellMar>
      </w:tblPr>
      <w:tblGrid>
        <w:gridCol w:w="4250"/>
        <w:gridCol w:w="60"/>
        <w:gridCol w:w="140"/>
        <w:gridCol w:w="755"/>
        <w:gridCol w:w="95"/>
        <w:gridCol w:w="60"/>
        <w:gridCol w:w="140"/>
        <w:gridCol w:w="875"/>
        <w:gridCol w:w="95"/>
        <w:gridCol w:w="60"/>
        <w:gridCol w:w="140"/>
        <w:gridCol w:w="755"/>
        <w:gridCol w:w="95"/>
        <w:gridCol w:w="60"/>
        <w:gridCol w:w="200"/>
        <w:gridCol w:w="875"/>
        <w:gridCol w:w="110"/>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in benefit obligation:</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 obligation at beginning of year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37,221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203,541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45,613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278,173</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Service cost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3,063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4,199</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7,346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3,200</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Plan amendments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(15</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79</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Actuarial (gains) losses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(272</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8,835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(7,668</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(45,102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Benefits paid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(8,255</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(17,160</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(1,846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(16,777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Curtailments and settlements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Currency translation</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5,200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(20,231</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 obligation at end of year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30,691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210,783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37,221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203,541</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in plan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Fair value of plan assets at beginning of year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65,620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sz w:val="24"/>
              </w:rPr>
              <w:t>$</w:t>
            </w:r>
            <w:r>
              <w:rPr/>
              <w:t xml:space="preserve">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75,920</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Actual return on plan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790</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Company contributions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8,255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12,161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1,846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13,212</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Benefits paid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(8,255</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(17,160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(1,846</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(16,777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5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Currency translation</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(7,525</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Fair value of plan assets at end of year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63,287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65,620</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Funded status at end of year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(30,691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(147,496</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(37,221</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(137,921</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F-32</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plan assets are stated at fair value. See Note 18 for further discussion of the valuation of the plan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Amounts recognized in the accompanying consolidated balance sheets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8195" w:type="dxa"/>
        <w:jc w:val="left"/>
        <w:tblInd w:w="0" w:type="dxa"/>
        <w:tblLayout w:type="fixed"/>
        <w:tblCellMar>
          <w:top w:w="0" w:type="dxa"/>
          <w:left w:w="0" w:type="dxa"/>
          <w:bottom w:w="0" w:type="dxa"/>
          <w:right w:w="0" w:type="dxa"/>
        </w:tblCellMar>
      </w:tblPr>
      <w:tblGrid>
        <w:gridCol w:w="3740"/>
        <w:gridCol w:w="60"/>
        <w:gridCol w:w="140"/>
        <w:gridCol w:w="755"/>
        <w:gridCol w:w="95"/>
        <w:gridCol w:w="60"/>
        <w:gridCol w:w="140"/>
        <w:gridCol w:w="875"/>
        <w:gridCol w:w="95"/>
        <w:gridCol w:w="60"/>
        <w:gridCol w:w="140"/>
        <w:gridCol w:w="755"/>
        <w:gridCol w:w="95"/>
        <w:gridCol w:w="60"/>
        <w:gridCol w:w="140"/>
        <w:gridCol w:w="875"/>
        <w:gridCol w:w="110"/>
      </w:tblGrid>
      <w:tr>
        <w:trPr/>
        <w:tc>
          <w:tcPr>
            <w:tcW w:w="3740" w:type="dxa"/>
            <w:tcBorders/>
            <w:vAlign w:val="bottom"/>
          </w:tcPr>
          <w:p>
            <w:pPr>
              <w:pStyle w:val="TableContents"/>
              <w:bidi w:val="0"/>
              <w:spacing w:before="0" w:after="283"/>
              <w:jc w:val="left"/>
              <w:rPr/>
            </w:pPr>
            <w:r>
              <w:rPr/>
              <w:t> </w:t>
            </w:r>
          </w:p>
        </w:tc>
        <w:tc>
          <w:tcPr>
            <w:tcW w:w="212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95" w:type="dxa"/>
            <w:tcBorders/>
            <w:vAlign w:val="bottom"/>
          </w:tcPr>
          <w:p>
            <w:pPr>
              <w:pStyle w:val="TableContents"/>
              <w:bidi w:val="0"/>
              <w:spacing w:before="0" w:after="283"/>
              <w:jc w:val="left"/>
              <w:rPr/>
            </w:pPr>
            <w:r>
              <w:rPr/>
              <w:t> </w:t>
            </w:r>
          </w:p>
        </w:tc>
        <w:tc>
          <w:tcPr>
            <w:tcW w:w="212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110"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95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10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95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10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0"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95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7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75" w:type="dxa"/>
            <w:gridSpan w:val="3"/>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3,929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4,715</w:t>
            </w:r>
          </w:p>
        </w:tc>
        <w:tc>
          <w:tcPr>
            <w:tcW w:w="110"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Accrued benefit liability - current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(1,474</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(7,149</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(6,378</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(6,827</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7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Accrued benefit liability - non-current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(29,217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(144,276</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(30,843</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(135,809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7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Accumulated other comprehensive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(522</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24,891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16,392</w:t>
            </w:r>
          </w:p>
        </w:tc>
        <w:tc>
          <w:tcPr>
            <w:tcW w:w="110"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(31,213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(122,605</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(37,152</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(121,529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Actuarial items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7638" w:type="dxa"/>
        <w:jc w:val="left"/>
        <w:tblInd w:w="0" w:type="dxa"/>
        <w:tblLayout w:type="fixed"/>
        <w:tblCellMar>
          <w:top w:w="0" w:type="dxa"/>
          <w:left w:w="0" w:type="dxa"/>
          <w:bottom w:w="0" w:type="dxa"/>
          <w:right w:w="0" w:type="dxa"/>
        </w:tblCellMar>
      </w:tblPr>
      <w:tblGrid>
        <w:gridCol w:w="3605"/>
        <w:gridCol w:w="71"/>
        <w:gridCol w:w="167"/>
        <w:gridCol w:w="545"/>
        <w:gridCol w:w="113"/>
        <w:gridCol w:w="71"/>
        <w:gridCol w:w="167"/>
        <w:gridCol w:w="815"/>
        <w:gridCol w:w="60"/>
        <w:gridCol w:w="71"/>
        <w:gridCol w:w="167"/>
        <w:gridCol w:w="545"/>
        <w:gridCol w:w="113"/>
        <w:gridCol w:w="71"/>
        <w:gridCol w:w="167"/>
        <w:gridCol w:w="815"/>
        <w:gridCol w:w="75"/>
      </w:tblGrid>
      <w:tr>
        <w:trPr/>
        <w:tc>
          <w:tcPr>
            <w:tcW w:w="3605" w:type="dxa"/>
            <w:tcBorders/>
            <w:vAlign w:val="bottom"/>
          </w:tcPr>
          <w:p>
            <w:pPr>
              <w:pStyle w:val="TableContents"/>
              <w:bidi w:val="0"/>
              <w:spacing w:before="0" w:after="283"/>
              <w:jc w:val="left"/>
              <w:rPr/>
            </w:pPr>
            <w:r>
              <w:rPr/>
              <w:t> </w:t>
            </w:r>
          </w:p>
        </w:tc>
        <w:tc>
          <w:tcPr>
            <w:tcW w:w="1949"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60" w:type="dxa"/>
            <w:tcBorders/>
            <w:vAlign w:val="bottom"/>
          </w:tcPr>
          <w:p>
            <w:pPr>
              <w:pStyle w:val="TableContents"/>
              <w:bidi w:val="0"/>
              <w:spacing w:before="0" w:after="283"/>
              <w:jc w:val="left"/>
              <w:rPr/>
            </w:pPr>
            <w:r>
              <w:rPr/>
              <w:t> </w:t>
            </w:r>
          </w:p>
        </w:tc>
        <w:tc>
          <w:tcPr>
            <w:tcW w:w="1949"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7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283"/>
              <w:jc w:val="left"/>
              <w:rPr/>
            </w:pPr>
            <w:r>
              <w:rPr/>
              <w:t> </w:t>
            </w:r>
          </w:p>
        </w:tc>
        <w:tc>
          <w:tcPr>
            <w:tcW w:w="78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3" w:type="dxa"/>
            <w:tcBorders/>
            <w:vAlign w:val="bottom"/>
          </w:tcPr>
          <w:p>
            <w:pPr>
              <w:pStyle w:val="TableContents"/>
              <w:bidi w:val="0"/>
              <w:spacing w:before="0" w:after="283"/>
              <w:jc w:val="left"/>
              <w:rPr/>
            </w:pPr>
            <w:r>
              <w:rPr/>
              <w:t> </w:t>
            </w:r>
          </w:p>
        </w:tc>
        <w:tc>
          <w:tcPr>
            <w:tcW w:w="105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78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3" w:type="dxa"/>
            <w:tcBorders/>
            <w:vAlign w:val="bottom"/>
          </w:tcPr>
          <w:p>
            <w:pPr>
              <w:pStyle w:val="TableContents"/>
              <w:bidi w:val="0"/>
              <w:spacing w:before="0" w:after="283"/>
              <w:jc w:val="left"/>
              <w:rPr/>
            </w:pPr>
            <w:r>
              <w:rPr/>
              <w:t> </w:t>
            </w:r>
          </w:p>
        </w:tc>
        <w:tc>
          <w:tcPr>
            <w:tcW w:w="105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283"/>
              <w:jc w:val="left"/>
              <w:rPr/>
            </w:pPr>
            <w:r>
              <w:rPr/>
              <w:t> </w:t>
            </w:r>
          </w:p>
        </w:tc>
        <w:tc>
          <w:tcPr>
            <w:tcW w:w="783" w:type="dxa"/>
            <w:gridSpan w:val="3"/>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gridSpan w:val="3"/>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Unrecognized net actuarial (gain) loss</w:t>
            </w:r>
          </w:p>
        </w:tc>
        <w:tc>
          <w:tcPr>
            <w:tcW w:w="71"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54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(588</w:t>
            </w:r>
          </w:p>
        </w:tc>
        <w:tc>
          <w:tcPr>
            <w:tcW w:w="113"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1"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1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24,094</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(140</w:t>
            </w:r>
          </w:p>
        </w:tc>
        <w:tc>
          <w:tcPr>
            <w:tcW w:w="11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1"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1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15,628</w:t>
            </w:r>
          </w:p>
        </w:tc>
        <w:tc>
          <w:tcPr>
            <w:tcW w:w="7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Unamortized prior service cost</w:t>
            </w:r>
          </w:p>
        </w:tc>
        <w:tc>
          <w:tcPr>
            <w:tcW w:w="71"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66</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797</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764</w:t>
            </w:r>
          </w:p>
        </w:tc>
        <w:tc>
          <w:tcPr>
            <w:tcW w:w="7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(522</w:t>
            </w:r>
          </w:p>
        </w:tc>
        <w:tc>
          <w:tcPr>
            <w:tcW w:w="113"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1" w:type="dxa"/>
            <w:tcBorders/>
            <w:shd w:fill="CCEEFF" w:val="clear"/>
            <w:vAlign w:val="bottom"/>
          </w:tcPr>
          <w:p>
            <w:pPr>
              <w:pStyle w:val="TableContents"/>
              <w:bidi w:val="0"/>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24,891</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69</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16,392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additional information regarding the projected and accumulated benefit obligations: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5954"/>
        <w:gridCol w:w="60"/>
        <w:gridCol w:w="148"/>
        <w:gridCol w:w="721"/>
        <w:gridCol w:w="63"/>
        <w:gridCol w:w="63"/>
        <w:gridCol w:w="150"/>
        <w:gridCol w:w="851"/>
        <w:gridCol w:w="60"/>
        <w:gridCol w:w="60"/>
        <w:gridCol w:w="148"/>
        <w:gridCol w:w="721"/>
        <w:gridCol w:w="63"/>
        <w:gridCol w:w="63"/>
        <w:gridCol w:w="150"/>
        <w:gridCol w:w="851"/>
        <w:gridCol w:w="79"/>
      </w:tblGrid>
      <w:tr>
        <w:trPr/>
        <w:tc>
          <w:tcPr>
            <w:tcW w:w="59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 xml:space="preserve">December 31, 2023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 xml:space="preserve">December 31, 2022 </w:t>
            </w:r>
          </w:p>
        </w:tc>
        <w:tc>
          <w:tcPr>
            <w:tcW w:w="79" w:type="dxa"/>
            <w:tcBorders/>
            <w:vAlign w:val="bottom"/>
          </w:tcPr>
          <w:p>
            <w:pPr>
              <w:pStyle w:val="TableContents"/>
              <w:bidi w:val="0"/>
              <w:spacing w:before="0" w:after="283"/>
              <w:jc w:val="left"/>
              <w:rPr/>
            </w:pPr>
            <w:r>
              <w:rPr/>
              <w:t> </w:t>
            </w:r>
          </w:p>
        </w:tc>
      </w:tr>
      <w:tr>
        <w:trPr/>
        <w:tc>
          <w:tcPr>
            <w:tcW w:w="59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9" w:type="dxa"/>
            <w:tcBorders/>
            <w:vAlign w:val="bottom"/>
          </w:tcPr>
          <w:p>
            <w:pPr>
              <w:pStyle w:val="TableContents"/>
              <w:bidi w:val="0"/>
              <w:spacing w:before="0" w:after="283"/>
              <w:jc w:val="left"/>
              <w:rPr/>
            </w:pPr>
            <w:r>
              <w:rPr/>
              <w:t> </w:t>
            </w:r>
          </w:p>
        </w:tc>
      </w:tr>
      <w:tr>
        <w:trPr/>
        <w:tc>
          <w:tcPr>
            <w:tcW w:w="59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r>
      <w:tr>
        <w:trPr/>
        <w:tc>
          <w:tcPr>
            <w:tcW w:w="59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Accumulated benefit obligation, all plans</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30,691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5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194,361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37,221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5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176,056</w:t>
            </w:r>
          </w:p>
        </w:tc>
        <w:tc>
          <w:tcPr>
            <w:tcW w:w="79" w:type="dxa"/>
            <w:tcBorders/>
            <w:shd w:fill="CCEEFF" w:val="clear"/>
            <w:vAlign w:val="bottom"/>
          </w:tcPr>
          <w:p>
            <w:pPr>
              <w:pStyle w:val="TableContents"/>
              <w:bidi w:val="0"/>
              <w:spacing w:before="0" w:after="283"/>
              <w:jc w:val="left"/>
              <w:rPr/>
            </w:pPr>
            <w:r>
              <w:rPr/>
              <w:t> </w:t>
            </w:r>
          </w:p>
        </w:tc>
      </w:tr>
      <w:tr>
        <w:trPr/>
        <w:tc>
          <w:tcPr>
            <w:tcW w:w="59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59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Plans for which the accumulated benefit obligation exceeds plan assets:</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59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Projected benefit obligation</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30,691</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5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146,898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37,221</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5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181,207</w:t>
            </w:r>
          </w:p>
        </w:tc>
        <w:tc>
          <w:tcPr>
            <w:tcW w:w="79" w:type="dxa"/>
            <w:tcBorders/>
            <w:vAlign w:val="bottom"/>
          </w:tcPr>
          <w:p>
            <w:pPr>
              <w:pStyle w:val="TableContents"/>
              <w:bidi w:val="0"/>
              <w:spacing w:before="0" w:after="283"/>
              <w:jc w:val="left"/>
              <w:rPr/>
            </w:pPr>
            <w:r>
              <w:rPr/>
              <w:t> </w:t>
            </w:r>
          </w:p>
        </w:tc>
      </w:tr>
      <w:tr>
        <w:trPr/>
        <w:tc>
          <w:tcPr>
            <w:tcW w:w="5954"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Accumulated benefit obligation</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30,691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144,213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37,221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159,433</w:t>
            </w:r>
          </w:p>
        </w:tc>
        <w:tc>
          <w:tcPr>
            <w:tcW w:w="79" w:type="dxa"/>
            <w:tcBorders/>
            <w:shd w:fill="CCEEFF" w:val="clear"/>
            <w:vAlign w:val="bottom"/>
          </w:tcPr>
          <w:p>
            <w:pPr>
              <w:pStyle w:val="TableContents"/>
              <w:bidi w:val="0"/>
              <w:spacing w:before="0" w:after="283"/>
              <w:jc w:val="left"/>
              <w:rPr/>
            </w:pPr>
            <w:r>
              <w:rPr/>
              <w:t> </w:t>
            </w:r>
          </w:p>
        </w:tc>
      </w:tr>
      <w:tr>
        <w:trPr/>
        <w:tc>
          <w:tcPr>
            <w:tcW w:w="5954"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Fair value of plan assets</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38,854</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the components of net periodic pension cost:</w:t>
      </w:r>
    </w:p>
    <w:p>
      <w:pPr>
        <w:pStyle w:val="TextBody"/>
        <w:bidi w:val="0"/>
        <w:spacing w:before="0" w:after="0"/>
        <w:jc w:val="left"/>
        <w:rPr>
          <w:rFonts w:ascii="Times New Roman" w:hAnsi="Times New Roman"/>
          <w:sz w:val="20"/>
        </w:rPr>
      </w:pPr>
      <w:r>
        <w:rPr>
          <w:rFonts w:ascii="Times New Roman" w:hAnsi="Times New Roman"/>
          <w:sz w:val="20"/>
        </w:rPr>
      </w:r>
    </w:p>
    <w:tbl>
      <w:tblPr>
        <w:tblW w:w="9035" w:type="dxa"/>
        <w:jc w:val="left"/>
        <w:tblInd w:w="0" w:type="dxa"/>
        <w:tblLayout w:type="fixed"/>
        <w:tblCellMar>
          <w:top w:w="0" w:type="dxa"/>
          <w:left w:w="0" w:type="dxa"/>
          <w:bottom w:w="0" w:type="dxa"/>
          <w:right w:w="0" w:type="dxa"/>
        </w:tblCellMar>
      </w:tblPr>
      <w:tblGrid>
        <w:gridCol w:w="3200"/>
        <w:gridCol w:w="60"/>
        <w:gridCol w:w="140"/>
        <w:gridCol w:w="560"/>
        <w:gridCol w:w="60"/>
        <w:gridCol w:w="60"/>
        <w:gridCol w:w="174"/>
        <w:gridCol w:w="791"/>
        <w:gridCol w:w="95"/>
        <w:gridCol w:w="60"/>
        <w:gridCol w:w="140"/>
        <w:gridCol w:w="560"/>
        <w:gridCol w:w="60"/>
        <w:gridCol w:w="60"/>
        <w:gridCol w:w="164"/>
        <w:gridCol w:w="801"/>
        <w:gridCol w:w="95"/>
        <w:gridCol w:w="60"/>
        <w:gridCol w:w="140"/>
        <w:gridCol w:w="560"/>
        <w:gridCol w:w="60"/>
        <w:gridCol w:w="60"/>
        <w:gridCol w:w="164"/>
        <w:gridCol w:w="801"/>
        <w:gridCol w:w="110"/>
      </w:tblGrid>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65" w:type="dxa"/>
            <w:gridSpan w:val="22"/>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Service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5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3,063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4,199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4,693</w:t>
            </w:r>
          </w:p>
        </w:tc>
        <w:tc>
          <w:tcPr>
            <w:tcW w:w="110" w:type="dxa"/>
            <w:tcBorders/>
            <w:shd w:fill="CCEEFF" w:val="clear"/>
            <w:vAlign w:val="bottom"/>
          </w:tcPr>
          <w:p>
            <w:pPr>
              <w:pStyle w:val="TableContents"/>
              <w:bidi w:val="0"/>
              <w:spacing w:before="0" w:after="283"/>
              <w:jc w:val="left"/>
              <w:rPr/>
            </w:pPr>
            <w:r>
              <w:rPr/>
              <w:t> </w:t>
            </w:r>
          </w:p>
        </w:tc>
      </w:tr>
      <w:tr>
        <w:trPr/>
        <w:tc>
          <w:tcPr>
            <w:tcW w:w="3200"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cost</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1,997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74" w:type="dxa"/>
            <w:tcBorders/>
            <w:shd w:fill="FFFFFF" w:val="clear"/>
            <w:vAlign w:val="bottom"/>
          </w:tcPr>
          <w:p>
            <w:pPr>
              <w:pStyle w:val="TableContents"/>
              <w:bidi w:val="0"/>
              <w:spacing w:before="0" w:after="283"/>
              <w:jc w:val="left"/>
              <w:rPr/>
            </w:pPr>
            <w:r>
              <w:rPr/>
              <w:t> </w:t>
            </w:r>
          </w:p>
        </w:tc>
        <w:tc>
          <w:tcPr>
            <w:tcW w:w="791"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7,346</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shd w:fill="FFFFFF" w:val="clear"/>
            <w:vAlign w:val="bottom"/>
          </w:tcPr>
          <w:p>
            <w:pPr>
              <w:pStyle w:val="TableContents"/>
              <w:bidi w:val="0"/>
              <w:spacing w:before="0" w:after="283"/>
              <w:jc w:val="left"/>
              <w:rPr/>
            </w:pPr>
            <w:r>
              <w:rPr/>
              <w:t> </w:t>
            </w:r>
          </w:p>
        </w:tc>
        <w:tc>
          <w:tcPr>
            <w:tcW w:w="801"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3,200</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1,016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shd w:fill="FFFFFF" w:val="clear"/>
            <w:vAlign w:val="bottom"/>
          </w:tcPr>
          <w:p>
            <w:pPr>
              <w:pStyle w:val="TableContents"/>
              <w:bidi w:val="0"/>
              <w:spacing w:before="0" w:after="283"/>
              <w:jc w:val="left"/>
              <w:rPr/>
            </w:pPr>
            <w:r>
              <w:rPr/>
              <w:t> </w:t>
            </w:r>
          </w:p>
        </w:tc>
        <w:tc>
          <w:tcPr>
            <w:tcW w:w="801"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2,968</w:t>
            </w:r>
          </w:p>
        </w:tc>
        <w:tc>
          <w:tcPr>
            <w:tcW w:w="110" w:type="dxa"/>
            <w:tcBorders/>
            <w:shd w:fill="FFFFFF" w:val="clear"/>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Expected return on plan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(2,270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(1,725</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(1,660</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200"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Amortization of actuarial losses</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175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74" w:type="dxa"/>
            <w:tcBorders/>
            <w:shd w:fill="FFFFFF" w:val="clear"/>
            <w:vAlign w:val="bottom"/>
          </w:tcPr>
          <w:p>
            <w:pPr>
              <w:pStyle w:val="TableContents"/>
              <w:bidi w:val="0"/>
              <w:spacing w:before="0" w:after="283"/>
              <w:jc w:val="left"/>
              <w:rPr/>
            </w:pPr>
            <w:r>
              <w:rPr/>
              <w:t> </w:t>
            </w:r>
          </w:p>
        </w:tc>
        <w:tc>
          <w:tcPr>
            <w:tcW w:w="791"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345</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shd w:fill="FFFFFF" w:val="clear"/>
            <w:vAlign w:val="bottom"/>
          </w:tcPr>
          <w:p>
            <w:pPr>
              <w:pStyle w:val="TableContents"/>
              <w:bidi w:val="0"/>
              <w:spacing w:before="0" w:after="283"/>
              <w:jc w:val="left"/>
              <w:rPr/>
            </w:pPr>
            <w:r>
              <w:rPr/>
              <w:t> </w:t>
            </w:r>
          </w:p>
        </w:tc>
        <w:tc>
          <w:tcPr>
            <w:tcW w:w="801"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4,760</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56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2,032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shd w:fill="FFFFFF" w:val="clear"/>
            <w:vAlign w:val="bottom"/>
          </w:tcPr>
          <w:p>
            <w:pPr>
              <w:pStyle w:val="TableContents"/>
              <w:bidi w:val="0"/>
              <w:spacing w:before="0" w:after="283"/>
              <w:jc w:val="left"/>
              <w:rPr/>
            </w:pPr>
            <w:r>
              <w:rPr/>
              <w:t> </w:t>
            </w:r>
          </w:p>
        </w:tc>
        <w:tc>
          <w:tcPr>
            <w:tcW w:w="801"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7,444</w:t>
            </w:r>
          </w:p>
        </w:tc>
        <w:tc>
          <w:tcPr>
            <w:tcW w:w="110" w:type="dxa"/>
            <w:tcBorders/>
            <w:shd w:fill="FFFFFF" w:val="clear"/>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Amortization of prior service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189</w:t>
            </w:r>
          </w:p>
        </w:tc>
        <w:tc>
          <w:tcPr>
            <w:tcW w:w="110" w:type="dxa"/>
            <w:tcBorders/>
            <w:shd w:fill="CCEEFF" w:val="clear"/>
            <w:vAlign w:val="bottom"/>
          </w:tcPr>
          <w:p>
            <w:pPr>
              <w:pStyle w:val="TableContents"/>
              <w:bidi w:val="0"/>
              <w:spacing w:before="0" w:after="283"/>
              <w:jc w:val="left"/>
              <w:rPr/>
            </w:pPr>
            <w:r>
              <w:rPr/>
              <w:t> </w:t>
            </w:r>
          </w:p>
        </w:tc>
      </w:tr>
      <w:tr>
        <w:trPr/>
        <w:tc>
          <w:tcPr>
            <w:tcW w:w="3200"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Curtailment and settlement losses</w:t>
            </w:r>
          </w:p>
        </w:tc>
        <w:tc>
          <w:tcPr>
            <w:tcW w:w="60" w:type="dxa"/>
            <w:tcBorders/>
            <w:shd w:fill="FFFFFF" w:val="clear"/>
            <w:vAlign w:val="bottom"/>
          </w:tcPr>
          <w:p>
            <w:pPr>
              <w:pStyle w:val="TableContents"/>
              <w:bidi w:val="0"/>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7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546</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1,190</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6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632</w:t>
            </w:r>
          </w:p>
        </w:tc>
        <w:tc>
          <w:tcPr>
            <w:tcW w:w="110" w:type="dxa"/>
            <w:tcBorders/>
            <w:shd w:fill="FFFFFF" w:val="clear"/>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periodic pension cost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9,225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2,789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11,840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14,266</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F-33</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bookmarkStart w:id="52" w:name="OLE_LINK23"/>
      <w:bookmarkEnd w:id="52"/>
      <w:r>
        <w:rPr>
          <w:rFonts w:ascii="Times New Roman" w:hAnsi="Times New Roman"/>
          <w:color w:val="000000"/>
          <w:sz w:val="24"/>
          <w:shd w:fill="FFFFFF" w:val="clear"/>
        </w:rPr>
        <w:t>See Note 10 for the pretax, tax effect and after tax amounts included in other comprehensive income during the years ended December 31, 2023, 2022, and 2021.  The estimated actuarial items for the defined benefit pensions plans that will be amortized from accumulated other comprehensive loss into net periodic pension cost during 2024 are not material.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weighted average assumptions were used to determine benefit obligations at December 31 of the respective years:</w:t>
      </w:r>
    </w:p>
    <w:p>
      <w:pPr>
        <w:pStyle w:val="TextBody"/>
        <w:bidi w:val="0"/>
        <w:spacing w:before="0" w:after="0"/>
        <w:jc w:val="left"/>
        <w:rPr>
          <w:rFonts w:ascii="Times New Roman" w:hAnsi="Times New Roman"/>
          <w:sz w:val="20"/>
        </w:rPr>
      </w:pPr>
      <w:r>
        <w:rPr>
          <w:rFonts w:ascii="Times New Roman" w:hAnsi="Times New Roman"/>
          <w:sz w:val="20"/>
        </w:rPr>
      </w:r>
    </w:p>
    <w:tbl>
      <w:tblPr>
        <w:tblW w:w="7200" w:type="dxa"/>
        <w:jc w:val="left"/>
        <w:tblInd w:w="0" w:type="dxa"/>
        <w:tblLayout w:type="fixed"/>
        <w:tblCellMar>
          <w:top w:w="0" w:type="dxa"/>
          <w:left w:w="0" w:type="dxa"/>
          <w:bottom w:w="0" w:type="dxa"/>
          <w:right w:w="0" w:type="dxa"/>
        </w:tblCellMar>
      </w:tblPr>
      <w:tblGrid>
        <w:gridCol w:w="2915"/>
        <w:gridCol w:w="60"/>
        <w:gridCol w:w="69"/>
        <w:gridCol w:w="506"/>
        <w:gridCol w:w="260"/>
        <w:gridCol w:w="60"/>
        <w:gridCol w:w="115"/>
        <w:gridCol w:w="850"/>
        <w:gridCol w:w="260"/>
        <w:gridCol w:w="60"/>
        <w:gridCol w:w="69"/>
        <w:gridCol w:w="506"/>
        <w:gridCol w:w="215"/>
        <w:gridCol w:w="60"/>
        <w:gridCol w:w="115"/>
        <w:gridCol w:w="850"/>
        <w:gridCol w:w="230"/>
      </w:tblGrid>
      <w:tr>
        <w:trPr/>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3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Discount rate</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5.25</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3.36</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3.57</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915"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Rate of compensation increase</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0.00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3.12</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0.00</w:t>
            </w:r>
          </w:p>
        </w:tc>
        <w:tc>
          <w:tcPr>
            <w:tcW w:w="215"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2.60</w:t>
            </w:r>
          </w:p>
        </w:tc>
        <w:tc>
          <w:tcPr>
            <w:tcW w:w="230"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weighted average assumptions were used to determine the net periodic pension costs:</w:t>
      </w:r>
    </w:p>
    <w:p>
      <w:pPr>
        <w:pStyle w:val="TextBody"/>
        <w:bidi w:val="0"/>
        <w:spacing w:before="0" w:after="0"/>
        <w:jc w:val="left"/>
        <w:rPr>
          <w:rFonts w:ascii="Times New Roman" w:hAnsi="Times New Roman"/>
          <w:sz w:val="20"/>
        </w:rPr>
      </w:pPr>
      <w:r>
        <w:rPr>
          <w:rFonts w:ascii="Times New Roman" w:hAnsi="Times New Roman"/>
          <w:sz w:val="20"/>
        </w:rPr>
      </w:r>
    </w:p>
    <w:tbl>
      <w:tblPr>
        <w:tblW w:w="7200" w:type="dxa"/>
        <w:jc w:val="left"/>
        <w:tblInd w:w="0" w:type="dxa"/>
        <w:tblLayout w:type="fixed"/>
        <w:tblCellMar>
          <w:top w:w="0" w:type="dxa"/>
          <w:left w:w="0" w:type="dxa"/>
          <w:bottom w:w="0" w:type="dxa"/>
          <w:right w:w="0" w:type="dxa"/>
        </w:tblCellMar>
      </w:tblPr>
      <w:tblGrid>
        <w:gridCol w:w="2915"/>
        <w:gridCol w:w="60"/>
        <w:gridCol w:w="69"/>
        <w:gridCol w:w="506"/>
        <w:gridCol w:w="260"/>
        <w:gridCol w:w="60"/>
        <w:gridCol w:w="115"/>
        <w:gridCol w:w="850"/>
        <w:gridCol w:w="260"/>
        <w:gridCol w:w="60"/>
        <w:gridCol w:w="69"/>
        <w:gridCol w:w="506"/>
        <w:gridCol w:w="215"/>
        <w:gridCol w:w="60"/>
        <w:gridCol w:w="115"/>
        <w:gridCol w:w="850"/>
        <w:gridCol w:w="230"/>
      </w:tblGrid>
      <w:tr>
        <w:trPr/>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5" w:type="dxa"/>
            <w:gridSpan w:val="14"/>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3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Discount rate</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5.50</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3.57</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1.19</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915"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Rate of compensation increase</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0.00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2.60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0.00</w:t>
            </w:r>
          </w:p>
        </w:tc>
        <w:tc>
          <w:tcPr>
            <w:tcW w:w="215"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2.07</w:t>
            </w:r>
          </w:p>
        </w:tc>
        <w:tc>
          <w:tcPr>
            <w:tcW w:w="230"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Expected return on plan assets</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0.00</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4.11</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0.00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investment mix between equity securities and fixed income securities is based upon achieving a desired return, balancing higher return, more volatile equity securities, and lower return, less volatile fixed income securities and is adjusted for the expected duration of the obligation and the funded status of the plan.  Investment allocations are made across a range of securities, maturities and credit quality.  The Company’s non-U.S. defined benefit plan investments are based on local laws and customs.  Most plans invest in cash and local government fixed income securities, although plans in certain countries have investments in equity securities.  The plans do not invest in securities of Vishay or its subsidiaries.  Negative investment returns could ultimately affect the funded status of the plans, requiring additional cash contributions.  See Note 18 for further information on the fair value of the plan assets by asset category.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Estimated future benefit payments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2990" w:type="dxa"/>
        <w:jc w:val="left"/>
        <w:tblInd w:w="0" w:type="dxa"/>
        <w:tblLayout w:type="fixed"/>
        <w:tblCellMar>
          <w:top w:w="0" w:type="dxa"/>
          <w:left w:w="0" w:type="dxa"/>
          <w:bottom w:w="0" w:type="dxa"/>
          <w:right w:w="0" w:type="dxa"/>
        </w:tblCellMar>
      </w:tblPr>
      <w:tblGrid>
        <w:gridCol w:w="1070"/>
        <w:gridCol w:w="60"/>
        <w:gridCol w:w="140"/>
        <w:gridCol w:w="560"/>
        <w:gridCol w:w="60"/>
        <w:gridCol w:w="60"/>
        <w:gridCol w:w="164"/>
        <w:gridCol w:w="801"/>
        <w:gridCol w:w="75"/>
      </w:tblGrid>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14,897</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15,450</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17,775</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14,830</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14,744</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2029-2033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74,939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anticipated 2024 contributions for defined benefit pension plans will approximate the expected benefit payments disclosed above.</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F-34</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Other Postretirement Benefits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the U.S., the Company maintains unfunded non-pension postretirement plans, including medical benefits for certain executives and their surviving spouses, which are funded as costs are incurred.  The Company also maintains two unfunded non-pension postretirement plans at two European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sets forth a reconciliation of the benefit obligation, plan assets, and accrued benefit cost related to U.S. and non-U.S. non-pension defined benefit postretirement plans:</w:t>
      </w:r>
    </w:p>
    <w:p>
      <w:pPr>
        <w:pStyle w:val="TextBody"/>
        <w:bidi w:val="0"/>
        <w:spacing w:before="0" w:after="0"/>
        <w:jc w:val="left"/>
        <w:rPr>
          <w:rFonts w:ascii="Times New Roman" w:hAnsi="Times New Roman"/>
          <w:sz w:val="20"/>
        </w:rPr>
      </w:pPr>
      <w:r>
        <w:rPr>
          <w:rFonts w:ascii="Times New Roman" w:hAnsi="Times New Roman"/>
          <w:sz w:val="20"/>
        </w:rPr>
      </w:r>
    </w:p>
    <w:tbl>
      <w:tblPr>
        <w:tblW w:w="8303" w:type="dxa"/>
        <w:jc w:val="left"/>
        <w:tblInd w:w="0" w:type="dxa"/>
        <w:tblLayout w:type="fixed"/>
        <w:tblCellMar>
          <w:top w:w="0" w:type="dxa"/>
          <w:left w:w="0" w:type="dxa"/>
          <w:bottom w:w="0" w:type="dxa"/>
          <w:right w:w="0" w:type="dxa"/>
        </w:tblCellMar>
      </w:tblPr>
      <w:tblGrid>
        <w:gridCol w:w="3920"/>
        <w:gridCol w:w="60"/>
        <w:gridCol w:w="160"/>
        <w:gridCol w:w="728"/>
        <w:gridCol w:w="108"/>
        <w:gridCol w:w="68"/>
        <w:gridCol w:w="174"/>
        <w:gridCol w:w="791"/>
        <w:gridCol w:w="95"/>
        <w:gridCol w:w="60"/>
        <w:gridCol w:w="160"/>
        <w:gridCol w:w="728"/>
        <w:gridCol w:w="108"/>
        <w:gridCol w:w="68"/>
        <w:gridCol w:w="174"/>
        <w:gridCol w:w="791"/>
        <w:gridCol w:w="110"/>
      </w:tblGrid>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110"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0"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Change in benefit obligation:</w:t>
            </w:r>
          </w:p>
        </w:tc>
        <w:tc>
          <w:tcPr>
            <w:tcW w:w="6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 obligation at beginning of year</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8"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4,328</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6,715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8"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7,611</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7,782</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Service cost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21</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39</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237</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cost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225</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178</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Actuarial (gains) losses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183</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(2,525</w:t>
            </w:r>
          </w:p>
        </w:tc>
        <w:tc>
          <w:tcPr>
            <w:tcW w:w="10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(749</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Benefits paid</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(497</w:t>
            </w:r>
          </w:p>
        </w:tc>
        <w:tc>
          <w:tcPr>
            <w:tcW w:w="108"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(681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(975</w:t>
            </w:r>
          </w:p>
        </w:tc>
        <w:tc>
          <w:tcPr>
            <w:tcW w:w="10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92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Currency translation</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(463</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Benefit obligation at end of year</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4,260</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7,563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4,328</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6,715</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Fair value of plan assets at end of year</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Funded status at end of year</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(4,260</w:t>
            </w:r>
          </w:p>
        </w:tc>
        <w:tc>
          <w:tcPr>
            <w:tcW w:w="108"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(7,563</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(4,328</w:t>
            </w:r>
          </w:p>
        </w:tc>
        <w:tc>
          <w:tcPr>
            <w:tcW w:w="10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(6,715</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Amounts recognized in the accompanying consolidated balance sheets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8833" w:type="dxa"/>
        <w:jc w:val="left"/>
        <w:tblInd w:w="0" w:type="dxa"/>
        <w:tblLayout w:type="fixed"/>
        <w:tblCellMar>
          <w:top w:w="0" w:type="dxa"/>
          <w:left w:w="0" w:type="dxa"/>
          <w:bottom w:w="0" w:type="dxa"/>
          <w:right w:w="0" w:type="dxa"/>
        </w:tblCellMar>
      </w:tblPr>
      <w:tblGrid>
        <w:gridCol w:w="4640"/>
        <w:gridCol w:w="66"/>
        <w:gridCol w:w="155"/>
        <w:gridCol w:w="703"/>
        <w:gridCol w:w="105"/>
        <w:gridCol w:w="69"/>
        <w:gridCol w:w="161"/>
        <w:gridCol w:w="735"/>
        <w:gridCol w:w="95"/>
        <w:gridCol w:w="66"/>
        <w:gridCol w:w="155"/>
        <w:gridCol w:w="703"/>
        <w:gridCol w:w="105"/>
        <w:gridCol w:w="69"/>
        <w:gridCol w:w="161"/>
        <w:gridCol w:w="735"/>
        <w:gridCol w:w="110"/>
      </w:tblGrid>
      <w:tr>
        <w:trPr/>
        <w:tc>
          <w:tcPr>
            <w:tcW w:w="4640" w:type="dxa"/>
            <w:tcBorders/>
            <w:vAlign w:val="bottom"/>
          </w:tcPr>
          <w:p>
            <w:pPr>
              <w:pStyle w:val="TableContents"/>
              <w:bidi w:val="0"/>
              <w:spacing w:before="0" w:after="283"/>
              <w:jc w:val="left"/>
              <w:rPr/>
            </w:pPr>
            <w:r>
              <w:rPr/>
              <w:t> </w:t>
            </w:r>
          </w:p>
        </w:tc>
        <w:tc>
          <w:tcPr>
            <w:tcW w:w="1994"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95" w:type="dxa"/>
            <w:tcBorders/>
            <w:vAlign w:val="bottom"/>
          </w:tcPr>
          <w:p>
            <w:pPr>
              <w:pStyle w:val="TableContents"/>
              <w:bidi w:val="0"/>
              <w:spacing w:before="0" w:after="283"/>
              <w:jc w:val="left"/>
              <w:rPr/>
            </w:pPr>
            <w:r>
              <w:rPr/>
              <w:t> </w:t>
            </w:r>
          </w:p>
        </w:tc>
        <w:tc>
          <w:tcPr>
            <w:tcW w:w="1994"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110"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 </w:t>
            </w:r>
          </w:p>
        </w:tc>
        <w:tc>
          <w:tcPr>
            <w:tcW w:w="92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05"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92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05"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10"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 </w:t>
            </w:r>
          </w:p>
        </w:tc>
        <w:tc>
          <w:tcPr>
            <w:tcW w:w="924" w:type="dxa"/>
            <w:gridSpan w:val="3"/>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24" w:type="dxa"/>
            <w:gridSpan w:val="3"/>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Accrued benefit liability - current</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03"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(510</w:t>
            </w:r>
          </w:p>
        </w:tc>
        <w:tc>
          <w:tcPr>
            <w:tcW w:w="10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3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(390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03"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(497</w:t>
            </w:r>
          </w:p>
        </w:tc>
        <w:tc>
          <w:tcPr>
            <w:tcW w:w="1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3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(666</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6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Accrued benefit liability - non-current</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(3,750</w:t>
            </w:r>
          </w:p>
        </w:tc>
        <w:tc>
          <w:tcPr>
            <w:tcW w:w="10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(7,173</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(3,831</w:t>
            </w:r>
          </w:p>
        </w:tc>
        <w:tc>
          <w:tcPr>
            <w:tcW w:w="1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(6,049</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6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Accumulated other comprehensive (income) loss</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(1,527</w:t>
            </w:r>
          </w:p>
        </w:tc>
        <w:tc>
          <w:tcPr>
            <w:tcW w:w="10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 w:type="dxa"/>
            <w:tcBorders/>
            <w:shd w:fill="CCEEFF" w:val="clear"/>
            <w:vAlign w:val="bottom"/>
          </w:tcPr>
          <w:p>
            <w:pPr>
              <w:pStyle w:val="TableContents"/>
              <w:bidi w:val="0"/>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1,488</w:t>
            </w:r>
          </w:p>
        </w:tc>
        <w:tc>
          <w:tcPr>
            <w:tcW w:w="9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(2,031</w:t>
            </w:r>
          </w:p>
        </w:tc>
        <w:tc>
          <w:tcPr>
            <w:tcW w:w="10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 w:type="dxa"/>
            <w:tcBorders/>
            <w:shd w:fill="CCEEFF" w:val="clear"/>
            <w:vAlign w:val="bottom"/>
          </w:tcPr>
          <w:p>
            <w:pPr>
              <w:pStyle w:val="TableContents"/>
              <w:bidi w:val="0"/>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743</w:t>
            </w:r>
          </w:p>
        </w:tc>
        <w:tc>
          <w:tcPr>
            <w:tcW w:w="110"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jc w:val="left"/>
              <w:rPr/>
            </w:pPr>
            <w:r>
              <w:rPr/>
              <w:t> </w:t>
            </w:r>
          </w:p>
        </w:tc>
        <w:tc>
          <w:tcPr>
            <w:tcW w:w="66"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(5,787</w:t>
            </w:r>
          </w:p>
        </w:tc>
        <w:tc>
          <w:tcPr>
            <w:tcW w:w="10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9"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(6,075</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6"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(6,359</w:t>
            </w:r>
          </w:p>
        </w:tc>
        <w:tc>
          <w:tcPr>
            <w:tcW w:w="1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9"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(5,972</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F-35</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Actuarial items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7945" w:type="dxa"/>
        <w:jc w:val="left"/>
        <w:tblInd w:w="0" w:type="dxa"/>
        <w:tblLayout w:type="fixed"/>
        <w:tblCellMar>
          <w:top w:w="0" w:type="dxa"/>
          <w:left w:w="0" w:type="dxa"/>
          <w:bottom w:w="0" w:type="dxa"/>
          <w:right w:w="0" w:type="dxa"/>
        </w:tblCellMar>
      </w:tblPr>
      <w:tblGrid>
        <w:gridCol w:w="3605"/>
        <w:gridCol w:w="69"/>
        <w:gridCol w:w="161"/>
        <w:gridCol w:w="734"/>
        <w:gridCol w:w="109"/>
        <w:gridCol w:w="76"/>
        <w:gridCol w:w="177"/>
        <w:gridCol w:w="712"/>
        <w:gridCol w:w="60"/>
        <w:gridCol w:w="77"/>
        <w:gridCol w:w="181"/>
        <w:gridCol w:w="822"/>
        <w:gridCol w:w="122"/>
        <w:gridCol w:w="99"/>
        <w:gridCol w:w="232"/>
        <w:gridCol w:w="634"/>
        <w:gridCol w:w="75"/>
      </w:tblGrid>
      <w:tr>
        <w:trPr/>
        <w:tc>
          <w:tcPr>
            <w:tcW w:w="3605" w:type="dxa"/>
            <w:tcBorders/>
            <w:vAlign w:val="bottom"/>
          </w:tcPr>
          <w:p>
            <w:pPr>
              <w:pStyle w:val="TableContents"/>
              <w:bidi w:val="0"/>
              <w:spacing w:before="0" w:after="283"/>
              <w:jc w:val="left"/>
              <w:rPr/>
            </w:pPr>
            <w:r>
              <w:rPr/>
              <w:t> </w:t>
            </w:r>
          </w:p>
        </w:tc>
        <w:tc>
          <w:tcPr>
            <w:tcW w:w="2038"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2023</w:t>
            </w:r>
          </w:p>
        </w:tc>
        <w:tc>
          <w:tcPr>
            <w:tcW w:w="60" w:type="dxa"/>
            <w:tcBorders/>
            <w:vAlign w:val="bottom"/>
          </w:tcPr>
          <w:p>
            <w:pPr>
              <w:pStyle w:val="TableContents"/>
              <w:bidi w:val="0"/>
              <w:spacing w:before="0" w:after="283"/>
              <w:jc w:val="left"/>
              <w:rPr/>
            </w:pPr>
            <w:r>
              <w:rPr/>
              <w:t> </w:t>
            </w:r>
          </w:p>
        </w:tc>
        <w:tc>
          <w:tcPr>
            <w:tcW w:w="2167"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 2022</w:t>
            </w:r>
          </w:p>
        </w:tc>
        <w:tc>
          <w:tcPr>
            <w:tcW w:w="7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283"/>
              <w:jc w:val="left"/>
              <w:rPr/>
            </w:pPr>
            <w:r>
              <w:rPr/>
              <w:t> </w:t>
            </w:r>
          </w:p>
        </w:tc>
        <w:tc>
          <w:tcPr>
            <w:tcW w:w="96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09"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10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122"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283"/>
              <w:jc w:val="left"/>
              <w:rPr/>
            </w:pPr>
            <w:r>
              <w:rPr/>
              <w:t> </w:t>
            </w:r>
          </w:p>
        </w:tc>
        <w:tc>
          <w:tcPr>
            <w:tcW w:w="964" w:type="dxa"/>
            <w:gridSpan w:val="3"/>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gridSpan w:val="3"/>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Unrecognized net actuarial loss (gain)</w:t>
            </w:r>
          </w:p>
        </w:tc>
        <w:tc>
          <w:tcPr>
            <w:tcW w:w="69" w:type="dxa"/>
            <w:tcBorders/>
            <w:shd w:fill="CCEEFF" w:val="clear"/>
            <w:vAlign w:val="bottom"/>
          </w:tcPr>
          <w:p>
            <w:pPr>
              <w:pStyle w:val="TableContents"/>
              <w:bidi w:val="0"/>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(1,527</w:t>
            </w:r>
          </w:p>
        </w:tc>
        <w:tc>
          <w:tcPr>
            <w:tcW w:w="109"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6" w:type="dxa"/>
            <w:tcBorders/>
            <w:shd w:fill="CCEEFF" w:val="clear"/>
            <w:vAlign w:val="bottom"/>
          </w:tcPr>
          <w:p>
            <w:pPr>
              <w:pStyle w:val="TableContents"/>
              <w:bidi w:val="0"/>
              <w:spacing w:before="0" w:after="283"/>
              <w:jc w:val="righ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1,488</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(2,031</w:t>
            </w:r>
          </w:p>
        </w:tc>
        <w:tc>
          <w:tcPr>
            <w:tcW w:w="12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9" w:type="dxa"/>
            <w:tcBorders/>
            <w:shd w:fill="CCEEFF" w:val="clear"/>
            <w:vAlign w:val="bottom"/>
          </w:tcPr>
          <w:p>
            <w:pPr>
              <w:pStyle w:val="TableContents"/>
              <w:bidi w:val="0"/>
              <w:spacing w:before="0" w:after="283"/>
              <w:jc w:val="righ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743</w:t>
            </w:r>
          </w:p>
        </w:tc>
        <w:tc>
          <w:tcPr>
            <w:tcW w:w="7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jc w:val="left"/>
              <w:rPr/>
            </w:pPr>
            <w:r>
              <w:rPr/>
              <w:t> </w:t>
            </w:r>
          </w:p>
        </w:tc>
        <w:tc>
          <w:tcPr>
            <w:tcW w:w="69"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3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(1,527</w:t>
            </w:r>
          </w:p>
        </w:tc>
        <w:tc>
          <w:tcPr>
            <w:tcW w:w="109"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6" w:type="dxa"/>
            <w:tcBorders/>
            <w:vAlign w:val="bottom"/>
          </w:tcPr>
          <w:p>
            <w:pPr>
              <w:pStyle w:val="TableContents"/>
              <w:bidi w:val="0"/>
              <w:spacing w:before="0" w:after="283"/>
              <w:jc w:val="righ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1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1,488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2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(2,031</w:t>
            </w:r>
          </w:p>
        </w:tc>
        <w:tc>
          <w:tcPr>
            <w:tcW w:w="12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9" w:type="dxa"/>
            <w:tcBorders/>
            <w:vAlign w:val="bottom"/>
          </w:tcPr>
          <w:p>
            <w:pPr>
              <w:pStyle w:val="TableContents"/>
              <w:bidi w:val="0"/>
              <w:spacing w:before="0" w:after="283"/>
              <w:jc w:val="right"/>
              <w:rPr/>
            </w:pPr>
            <w:r>
              <w:rPr/>
              <w:t> </w:t>
            </w:r>
          </w:p>
        </w:tc>
        <w:tc>
          <w:tcPr>
            <w:tcW w:w="2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743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following table sets forth the components of net periodic benefit cost:</w:t>
      </w:r>
    </w:p>
    <w:p>
      <w:pPr>
        <w:pStyle w:val="TextBody"/>
        <w:bidi w:val="0"/>
        <w:spacing w:before="0" w:after="0"/>
        <w:jc w:val="left"/>
        <w:rPr>
          <w:rFonts w:ascii="Times New Roman" w:hAnsi="Times New Roman"/>
          <w:sz w:val="20"/>
        </w:rPr>
      </w:pPr>
      <w:r>
        <w:rPr>
          <w:rFonts w:ascii="Times New Roman" w:hAnsi="Times New Roman"/>
          <w:sz w:val="20"/>
        </w:rPr>
      </w:r>
    </w:p>
    <w:tbl>
      <w:tblPr>
        <w:tblW w:w="8830" w:type="dxa"/>
        <w:jc w:val="left"/>
        <w:tblInd w:w="0" w:type="dxa"/>
        <w:tblLayout w:type="fixed"/>
        <w:tblCellMar>
          <w:top w:w="0" w:type="dxa"/>
          <w:left w:w="0" w:type="dxa"/>
          <w:bottom w:w="0" w:type="dxa"/>
          <w:right w:w="0" w:type="dxa"/>
        </w:tblCellMar>
      </w:tblPr>
      <w:tblGrid>
        <w:gridCol w:w="3710"/>
        <w:gridCol w:w="60"/>
        <w:gridCol w:w="140"/>
        <w:gridCol w:w="455"/>
        <w:gridCol w:w="95"/>
        <w:gridCol w:w="99"/>
        <w:gridCol w:w="232"/>
        <w:gridCol w:w="634"/>
        <w:gridCol w:w="60"/>
        <w:gridCol w:w="60"/>
        <w:gridCol w:w="140"/>
        <w:gridCol w:w="380"/>
        <w:gridCol w:w="60"/>
        <w:gridCol w:w="99"/>
        <w:gridCol w:w="232"/>
        <w:gridCol w:w="634"/>
        <w:gridCol w:w="60"/>
        <w:gridCol w:w="60"/>
        <w:gridCol w:w="140"/>
        <w:gridCol w:w="380"/>
        <w:gridCol w:w="60"/>
        <w:gridCol w:w="99"/>
        <w:gridCol w:w="232"/>
        <w:gridCol w:w="634"/>
        <w:gridCol w:w="75"/>
      </w:tblGrid>
      <w:tr>
        <w:trPr/>
        <w:tc>
          <w:tcPr>
            <w:tcW w:w="3710" w:type="dxa"/>
            <w:tcBorders/>
            <w:vAlign w:val="bottom"/>
          </w:tcPr>
          <w:p>
            <w:pPr>
              <w:pStyle w:val="TableContents"/>
              <w:bidi w:val="0"/>
              <w:spacing w:before="0" w:after="283"/>
              <w:jc w:val="left"/>
              <w:rPr/>
            </w:pPr>
            <w:r>
              <w:rPr/>
              <w:t> </w:t>
            </w:r>
          </w:p>
        </w:tc>
        <w:tc>
          <w:tcPr>
            <w:tcW w:w="5045" w:type="dxa"/>
            <w:gridSpan w:val="2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pPr>
            <w:r>
              <w:rPr/>
              <w:t> </w:t>
            </w:r>
          </w:p>
        </w:tc>
        <w:tc>
          <w:tcPr>
            <w:tcW w:w="171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160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160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pPr>
            <w:r>
              <w:rPr/>
              <w:t> </w:t>
            </w:r>
          </w:p>
        </w:tc>
        <w:tc>
          <w:tcPr>
            <w:tcW w:w="65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95"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5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5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9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5"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pPr>
            <w:r>
              <w:rPr/>
              <w:t> </w:t>
            </w:r>
          </w:p>
        </w:tc>
        <w:tc>
          <w:tcPr>
            <w:tcW w:w="65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Service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4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21</w:t>
            </w:r>
          </w:p>
        </w:tc>
        <w:tc>
          <w:tcPr>
            <w:tcW w:w="9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3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3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3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102</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278</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Interest cost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225</w:t>
            </w:r>
          </w:p>
        </w:tc>
        <w:tc>
          <w:tcPr>
            <w:tcW w:w="9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178</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163</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42</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Amortization of actuarial (gains) losses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(321</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342</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53</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116</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Curtailment and settlement losses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67</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periodic benefit cost (benefit)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(75</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9"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3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559</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3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318</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estimated actuarial items for the other postretirement benefit plans that will be amortized from accumulated other comprehensive loss into net periodic benefit cost during 2024 are not material.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weighted average assumptions were used to determine benefit obligations at December 31 of the respective years:</w:t>
      </w:r>
    </w:p>
    <w:p>
      <w:pPr>
        <w:pStyle w:val="TextBody"/>
        <w:bidi w:val="0"/>
        <w:spacing w:before="0" w:after="0"/>
        <w:jc w:val="left"/>
        <w:rPr>
          <w:rFonts w:ascii="Times New Roman" w:hAnsi="Times New Roman"/>
          <w:sz w:val="20"/>
        </w:rPr>
      </w:pPr>
      <w:r>
        <w:rPr>
          <w:rFonts w:ascii="Times New Roman" w:hAnsi="Times New Roman"/>
          <w:sz w:val="20"/>
        </w:rPr>
      </w:r>
    </w:p>
    <w:tbl>
      <w:tblPr>
        <w:tblW w:w="7200" w:type="dxa"/>
        <w:jc w:val="left"/>
        <w:tblInd w:w="0" w:type="dxa"/>
        <w:tblLayout w:type="fixed"/>
        <w:tblCellMar>
          <w:top w:w="0" w:type="dxa"/>
          <w:left w:w="0" w:type="dxa"/>
          <w:bottom w:w="0" w:type="dxa"/>
          <w:right w:w="0" w:type="dxa"/>
        </w:tblCellMar>
      </w:tblPr>
      <w:tblGrid>
        <w:gridCol w:w="2915"/>
        <w:gridCol w:w="60"/>
        <w:gridCol w:w="69"/>
        <w:gridCol w:w="506"/>
        <w:gridCol w:w="260"/>
        <w:gridCol w:w="60"/>
        <w:gridCol w:w="115"/>
        <w:gridCol w:w="850"/>
        <w:gridCol w:w="260"/>
        <w:gridCol w:w="60"/>
        <w:gridCol w:w="69"/>
        <w:gridCol w:w="506"/>
        <w:gridCol w:w="215"/>
        <w:gridCol w:w="60"/>
        <w:gridCol w:w="115"/>
        <w:gridCol w:w="850"/>
        <w:gridCol w:w="230"/>
      </w:tblGrid>
      <w:tr>
        <w:trPr/>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Discount rate</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5.25</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3.40</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5.50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3.86</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915"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Rate of compensation increase</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0.00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4.00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0.00</w:t>
            </w:r>
          </w:p>
        </w:tc>
        <w:tc>
          <w:tcPr>
            <w:tcW w:w="215"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4.19</w:t>
            </w:r>
          </w:p>
        </w:tc>
        <w:tc>
          <w:tcPr>
            <w:tcW w:w="230"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weighted average assumptions were used to determine the net periodic benefit costs:</w:t>
      </w:r>
    </w:p>
    <w:p>
      <w:pPr>
        <w:pStyle w:val="TextBody"/>
        <w:bidi w:val="0"/>
        <w:spacing w:before="0" w:after="0"/>
        <w:jc w:val="left"/>
        <w:rPr>
          <w:rFonts w:ascii="Times New Roman" w:hAnsi="Times New Roman"/>
          <w:sz w:val="20"/>
        </w:rPr>
      </w:pPr>
      <w:r>
        <w:rPr>
          <w:rFonts w:ascii="Times New Roman" w:hAnsi="Times New Roman"/>
          <w:sz w:val="20"/>
        </w:rPr>
      </w:r>
    </w:p>
    <w:tbl>
      <w:tblPr>
        <w:tblW w:w="7200" w:type="dxa"/>
        <w:jc w:val="left"/>
        <w:tblInd w:w="0" w:type="dxa"/>
        <w:tblLayout w:type="fixed"/>
        <w:tblCellMar>
          <w:top w:w="0" w:type="dxa"/>
          <w:left w:w="0" w:type="dxa"/>
          <w:bottom w:w="0" w:type="dxa"/>
          <w:right w:w="0" w:type="dxa"/>
        </w:tblCellMar>
      </w:tblPr>
      <w:tblGrid>
        <w:gridCol w:w="2915"/>
        <w:gridCol w:w="60"/>
        <w:gridCol w:w="69"/>
        <w:gridCol w:w="506"/>
        <w:gridCol w:w="260"/>
        <w:gridCol w:w="60"/>
        <w:gridCol w:w="115"/>
        <w:gridCol w:w="850"/>
        <w:gridCol w:w="260"/>
        <w:gridCol w:w="60"/>
        <w:gridCol w:w="69"/>
        <w:gridCol w:w="506"/>
        <w:gridCol w:w="215"/>
        <w:gridCol w:w="60"/>
        <w:gridCol w:w="115"/>
        <w:gridCol w:w="850"/>
        <w:gridCol w:w="230"/>
      </w:tblGrid>
      <w:tr>
        <w:trPr/>
        <w:tc>
          <w:tcPr>
            <w:tcW w:w="291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995" w:type="dxa"/>
            <w:gridSpan w:val="14"/>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230"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Discount rate</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5.50</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3.86</w:t>
            </w:r>
          </w:p>
        </w:tc>
        <w:tc>
          <w:tcPr>
            <w:tcW w:w="26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2.50</w:t>
            </w:r>
          </w:p>
        </w:tc>
        <w:tc>
          <w:tcPr>
            <w:tcW w:w="21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0.80</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2915" w:type="dxa"/>
            <w:tcBorders/>
            <w:shd w:fill="FFFF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Rate of compensation increase</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0.00</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4.19</w:t>
            </w:r>
          </w:p>
        </w:tc>
        <w:tc>
          <w:tcPr>
            <w:tcW w:w="260" w:type="dxa"/>
            <w:tcBorders/>
            <w:shd w:fill="FFFF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FFFFFF" w:val="clear"/>
            <w:vAlign w:val="bottom"/>
          </w:tcPr>
          <w:p>
            <w:pPr>
              <w:pStyle w:val="TableContents"/>
              <w:bidi w:val="0"/>
              <w:spacing w:before="0" w:after="283"/>
              <w:jc w:val="right"/>
              <w:rPr/>
            </w:pPr>
            <w:r>
              <w:rPr/>
              <w:t> </w:t>
            </w:r>
          </w:p>
        </w:tc>
        <w:tc>
          <w:tcPr>
            <w:tcW w:w="69" w:type="dxa"/>
            <w:tcBorders/>
            <w:shd w:fill="FFFFFF" w:val="clear"/>
            <w:vAlign w:val="bottom"/>
          </w:tcPr>
          <w:p>
            <w:pPr>
              <w:pStyle w:val="TableContents"/>
              <w:bidi w:val="0"/>
              <w:spacing w:before="0" w:after="283"/>
              <w:jc w:val="left"/>
              <w:rPr/>
            </w:pPr>
            <w:r>
              <w:rPr/>
              <w:t> </w:t>
            </w:r>
          </w:p>
        </w:tc>
        <w:tc>
          <w:tcPr>
            <w:tcW w:w="506"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0.00</w:t>
            </w:r>
          </w:p>
        </w:tc>
        <w:tc>
          <w:tcPr>
            <w:tcW w:w="215"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FFFFFF" w:val="clear"/>
            <w:vAlign w:val="bottom"/>
          </w:tcPr>
          <w:p>
            <w:pPr>
              <w:pStyle w:val="TableContents"/>
              <w:bidi w:val="0"/>
              <w:spacing w:before="0" w:after="283"/>
              <w:jc w:val="right"/>
              <w:rPr/>
            </w:pPr>
            <w:r>
              <w:rPr/>
              <w:t> </w:t>
            </w:r>
          </w:p>
        </w:tc>
        <w:tc>
          <w:tcPr>
            <w:tcW w:w="115" w:type="dxa"/>
            <w:tcBorders/>
            <w:shd w:fill="FFFFFF" w:val="clear"/>
            <w:vAlign w:val="bottom"/>
          </w:tcPr>
          <w:p>
            <w:pPr>
              <w:pStyle w:val="TableContents"/>
              <w:bidi w:val="0"/>
              <w:spacing w:before="0" w:after="283"/>
              <w:jc w:val="left"/>
              <w:rPr/>
            </w:pPr>
            <w:r>
              <w:rPr/>
              <w:t> </w:t>
            </w:r>
          </w:p>
        </w:tc>
        <w:tc>
          <w:tcPr>
            <w:tcW w:w="850" w:type="dxa"/>
            <w:tcBorders/>
            <w:shd w:fill="FFFF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2.88</w:t>
            </w:r>
          </w:p>
        </w:tc>
        <w:tc>
          <w:tcPr>
            <w:tcW w:w="230" w:type="dxa"/>
            <w:tcBorders/>
            <w:shd w:fill="FFFF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impact of a one-percentage-point change in assumed health care cost trend rates on the net periodic benefit cost and postretirement benefit obligation is not material.</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F-36</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11 – Pensions and Other Postretirement Benefits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Estimated future benefit payments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2990" w:type="dxa"/>
        <w:jc w:val="left"/>
        <w:tblInd w:w="0" w:type="dxa"/>
        <w:tblLayout w:type="fixed"/>
        <w:tblCellMar>
          <w:top w:w="0" w:type="dxa"/>
          <w:left w:w="0" w:type="dxa"/>
          <w:bottom w:w="0" w:type="dxa"/>
          <w:right w:w="0" w:type="dxa"/>
        </w:tblCellMar>
      </w:tblPr>
      <w:tblGrid>
        <w:gridCol w:w="1070"/>
        <w:gridCol w:w="60"/>
        <w:gridCol w:w="140"/>
        <w:gridCol w:w="560"/>
        <w:gridCol w:w="60"/>
        <w:gridCol w:w="60"/>
        <w:gridCol w:w="193"/>
        <w:gridCol w:w="772"/>
        <w:gridCol w:w="75"/>
      </w:tblGrid>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Non-U.S.</w:t>
            </w:r>
          </w:p>
          <w:p>
            <w:pPr>
              <w:pStyle w:val="TableContents"/>
              <w:bidi w:val="0"/>
              <w:spacing w:before="0" w:after="0"/>
              <w:jc w:val="center"/>
              <w:rPr>
                <w:rFonts w:ascii="Times New Roman" w:hAnsi="Times New Roman"/>
                <w:b/>
                <w:sz w:val="24"/>
              </w:rPr>
            </w:pPr>
            <w:r>
              <w:rPr>
                <w:rFonts w:ascii="Times New Roman" w:hAnsi="Times New Roman"/>
                <w:b/>
                <w:sz w:val="24"/>
              </w:rPr>
              <w:t>Plans</w:t>
            </w:r>
          </w:p>
        </w:tc>
        <w:tc>
          <w:tcPr>
            <w:tcW w:w="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7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390</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621</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205</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1,525</w:t>
            </w:r>
          </w:p>
        </w:tc>
        <w:tc>
          <w:tcPr>
            <w:tcW w:w="7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785</w:t>
            </w:r>
          </w:p>
        </w:tc>
        <w:tc>
          <w:tcPr>
            <w:tcW w:w="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44" w:right="0" w:hanging="0"/>
              <w:jc w:val="left"/>
              <w:rPr>
                <w:rFonts w:ascii="Times New Roman" w:hAnsi="Times New Roman"/>
                <w:sz w:val="24"/>
              </w:rPr>
            </w:pPr>
            <w:r>
              <w:rPr>
                <w:rFonts w:ascii="Times New Roman" w:hAnsi="Times New Roman"/>
                <w:sz w:val="24"/>
              </w:rPr>
              <w:t>2029-2033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4,897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As the plans are unfunded, the Company’s anticipated contributions for 2024 are equal to its estimated benefits payments.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Other Retirement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2023 and 2022, the accompanying consolidated balance sheets include $11,087 and $10,560, respectively, within accrued pension and other postretirement costs related to these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U.S. employees are eligible to participate in a 401(k) savings plan, which provides for Company matching contributions.  The Company’s matching expense for the plans was $7,641, $7,083, and $6,557 for the years ended December 31, 2023, 2022, and 2021, respectively.  No material amounts are included in the accompanying consolidated balance sheets at December 31, 2023 and 2022 related to unfunded 401(k) contributions.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Certain key employees participate in a deferred compensation plan.  During the years ended December 31, 2023, 2022, and 2021, these employees could defer a portion of their compensation until retirement, or elect shorter deferral periods.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 at December 31, 2023 and 2022 were approximately $28,838 and $28,535, respectively.  </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F-37</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12 – Stock-Based Compensation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i/>
          <w:color w:val="000000"/>
          <w:sz w:val="24"/>
          <w:shd w:fill="FFFFFF" w:val="clear"/>
        </w:rPr>
      </w:pPr>
      <w:r>
        <w:rPr>
          <w:rFonts w:ascii="Times New Roman;Times;serif" w:hAnsi="Times New Roman;Times;serif"/>
          <w:i/>
          <w:color w:val="000000"/>
          <w:sz w:val="24"/>
          <w:shd w:fill="FFFFFF" w:val="clear"/>
        </w:rPr>
        <w:t>2023 Long-Term Incentive Plan</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implemented the Vishay Intertechnology, Inc. 2023 Long-Term Incentive Plan (the "2023 Plan") after receiving stockholder approval at its 2023 Annual Meeting of Stockholders on May 23, 2023.  The 2023 Plan allows the Company to grant up to 6,000,000 shares (subject to certain adjustments described in the 2023 Plan) of stock options, stock appreciation rights, restricted stock, restricted stock units, other stock-based awards, phantom stock units, and other cash-based awards to employees, directors, consultants, and other service providers of the Company and its affiliates.  Such instruments are available for grant until March 24, 2033.  The Company has granted approximately 761,000 time-vested restricted stock units to employees pursuant to the 2023 Plan.  At December 31, 2023, the Company has reserved 5,250,847 shares of common stock for future grants of equity awards pursuant to the 2023 Plan.</w:t>
      </w:r>
    </w:p>
    <w:p>
      <w:pPr>
        <w:pStyle w:val="TextBody"/>
        <w:bidi w:val="0"/>
        <w:spacing w:before="0" w:after="0"/>
        <w:jc w:val="both"/>
        <w:rPr/>
      </w:pPr>
      <w:r>
        <w:rPr/>
      </w:r>
    </w:p>
    <w:p>
      <w:pPr>
        <w:pStyle w:val="TextBody"/>
        <w:bidi w:val="0"/>
        <w:spacing w:before="0" w:after="0"/>
        <w:jc w:val="both"/>
        <w:rPr>
          <w:rFonts w:ascii="Times New Roman;Times;serif" w:hAnsi="Times New Roman;Times;serif"/>
          <w:i/>
          <w:color w:val="000000"/>
          <w:sz w:val="24"/>
          <w:shd w:fill="FFFFFF" w:val="clear"/>
        </w:rPr>
      </w:pPr>
      <w:r>
        <w:rPr>
          <w:rFonts w:ascii="Times New Roman;Times;serif" w:hAnsi="Times New Roman;Times;serif"/>
          <w:i/>
          <w:color w:val="000000"/>
          <w:sz w:val="24"/>
          <w:shd w:fill="FFFFFF" w:val="clear"/>
        </w:rPr>
        <w:t>2007 Stock Incentive Program</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Under the Company's 2007 Stock Incentive Program (the "2007 Program"), as amended and restated, certain executive officers and board members of the Company were granted restricted stock units.  No further awards will be granted pursuant to the 2007 Program.  Pursuant to the terms of the 2023 Plan, any shares of common stock that are subject to outstanding awards granted pursuant to the 2007 Program that subsequently cease to be subject to such awards as a result of the termination, expiration, cancellation, or forfeiture of such awards and any shares of common stock withheld in settlement of tax withholding obligations associated with outstanding awards granted pursuant to the 2007 Program may become available for issuance under the 2023 Plan.  A total of 1,294,546 shares of common stock were subject to awards granted pursuant to the 2007 Program as of May 23, 2023.</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All RSUs granted pursuant to the 2007 Program and the 2023 Plan contain service vesting conditions.  Certain RSUs also contain performance or market vesting conditions.  The Company recognizes compensation cost for RSUs that are expected to vest and records cumulative adjustments in the period that the expectation changes. </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The following table summarizes share-based compensation expense recognized:</w:t>
      </w:r>
    </w:p>
    <w:p>
      <w:pPr>
        <w:pStyle w:val="TextBody"/>
        <w:bidi w:val="0"/>
        <w:spacing w:before="0" w:after="0"/>
        <w:jc w:val="left"/>
        <w:rPr>
          <w:rFonts w:ascii="Times New Roman" w:hAnsi="Times New Roman"/>
          <w:sz w:val="20"/>
        </w:rPr>
      </w:pPr>
      <w:r>
        <w:rPr>
          <w:rFonts w:ascii="Times New Roman" w:hAnsi="Times New Roman"/>
          <w:sz w:val="20"/>
        </w:rPr>
      </w:r>
    </w:p>
    <w:tbl>
      <w:tblPr>
        <w:tblW w:w="4928" w:type="dxa"/>
        <w:jc w:val="left"/>
        <w:tblInd w:w="0" w:type="dxa"/>
        <w:tblLayout w:type="fixed"/>
        <w:tblCellMar>
          <w:top w:w="0" w:type="dxa"/>
          <w:left w:w="0" w:type="dxa"/>
          <w:bottom w:w="0" w:type="dxa"/>
          <w:right w:w="0" w:type="dxa"/>
        </w:tblCellMar>
      </w:tblPr>
      <w:tblGrid>
        <w:gridCol w:w="2045"/>
        <w:gridCol w:w="60"/>
        <w:gridCol w:w="156"/>
        <w:gridCol w:w="760"/>
        <w:gridCol w:w="67"/>
        <w:gridCol w:w="67"/>
        <w:gridCol w:w="156"/>
        <w:gridCol w:w="626"/>
        <w:gridCol w:w="67"/>
        <w:gridCol w:w="67"/>
        <w:gridCol w:w="156"/>
        <w:gridCol w:w="626"/>
        <w:gridCol w:w="75"/>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8"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1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Restricted stock units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16,425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2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6,323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26"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6,396</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Phantom stock units</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107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222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209</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7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16,532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6,545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6,605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summarizes unrecognized compensation cost and the weighted average remaining amortization periods at December 31, 2023 </w:t>
      </w:r>
      <w:r>
        <w:rPr>
          <w:rFonts w:ascii="Times New Roman" w:hAnsi="Times New Roman"/>
          <w:i/>
          <w:color w:val="000000"/>
          <w:sz w:val="24"/>
          <w:shd w:fill="FFFFFF" w:val="clear"/>
        </w:rPr>
        <w:t>(amortization periods in years)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5160" w:type="dxa"/>
        <w:jc w:val="left"/>
        <w:tblInd w:w="0" w:type="dxa"/>
        <w:tblLayout w:type="fixed"/>
        <w:tblCellMar>
          <w:top w:w="0" w:type="dxa"/>
          <w:left w:w="0" w:type="dxa"/>
          <w:bottom w:w="0" w:type="dxa"/>
          <w:right w:w="0" w:type="dxa"/>
        </w:tblCellMar>
      </w:tblPr>
      <w:tblGrid>
        <w:gridCol w:w="2045"/>
        <w:gridCol w:w="60"/>
        <w:gridCol w:w="254"/>
        <w:gridCol w:w="1236"/>
        <w:gridCol w:w="60"/>
        <w:gridCol w:w="60"/>
        <w:gridCol w:w="216"/>
        <w:gridCol w:w="1154"/>
        <w:gridCol w:w="75"/>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Unrecognized</w:t>
            </w:r>
          </w:p>
          <w:p>
            <w:pPr>
              <w:pStyle w:val="TableContents"/>
              <w:bidi w:val="0"/>
              <w:spacing w:before="0" w:after="0"/>
              <w:jc w:val="center"/>
              <w:rPr>
                <w:rFonts w:ascii="Times New Roman" w:hAnsi="Times New Roman"/>
                <w:b/>
                <w:sz w:val="24"/>
              </w:rPr>
            </w:pPr>
            <w:r>
              <w:rPr>
                <w:rFonts w:ascii="Times New Roman" w:hAnsi="Times New Roman"/>
                <w:b/>
                <w:sz w:val="24"/>
              </w:rPr>
              <w:t>Compensation</w:t>
            </w:r>
          </w:p>
          <w:p>
            <w:pPr>
              <w:pStyle w:val="TableContents"/>
              <w:bidi w:val="0"/>
              <w:spacing w:before="0" w:after="0"/>
              <w:jc w:val="center"/>
              <w:rPr>
                <w:rFonts w:ascii="Times New Roman" w:hAnsi="Times New Roman"/>
                <w:b/>
                <w:sz w:val="24"/>
              </w:rPr>
            </w:pPr>
            <w:r>
              <w:rPr>
                <w:rFonts w:ascii="Times New Roman" w:hAnsi="Times New Roman"/>
                <w:b/>
                <w:sz w:val="24"/>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Weighted</w:t>
            </w:r>
          </w:p>
          <w:p>
            <w:pPr>
              <w:pStyle w:val="TableContents"/>
              <w:bidi w:val="0"/>
              <w:spacing w:before="0" w:after="0"/>
              <w:jc w:val="center"/>
              <w:rPr>
                <w:rFonts w:ascii="Times New Roman" w:hAnsi="Times New Roman"/>
                <w:b/>
                <w:sz w:val="24"/>
              </w:rPr>
            </w:pPr>
            <w:r>
              <w:rPr>
                <w:rFonts w:ascii="Times New Roman" w:hAnsi="Times New Roman"/>
                <w:b/>
                <w:sz w:val="24"/>
              </w:rPr>
              <w:t>Average</w:t>
            </w:r>
          </w:p>
          <w:p>
            <w:pPr>
              <w:pStyle w:val="TableContents"/>
              <w:bidi w:val="0"/>
              <w:spacing w:before="0" w:after="0"/>
              <w:jc w:val="center"/>
              <w:rPr>
                <w:rFonts w:ascii="Times New Roman" w:hAnsi="Times New Roman"/>
                <w:b/>
                <w:sz w:val="24"/>
              </w:rPr>
            </w:pPr>
            <w:r>
              <w:rPr>
                <w:rFonts w:ascii="Times New Roman" w:hAnsi="Times New Roman"/>
                <w:b/>
                <w:sz w:val="24"/>
              </w:rPr>
              <w:t>Remaining</w:t>
            </w:r>
          </w:p>
          <w:p>
            <w:pPr>
              <w:pStyle w:val="TableContents"/>
              <w:bidi w:val="0"/>
              <w:spacing w:before="0" w:after="0"/>
              <w:jc w:val="center"/>
              <w:rPr>
                <w:rFonts w:ascii="Times New Roman" w:hAnsi="Times New Roman"/>
                <w:b/>
                <w:sz w:val="24"/>
              </w:rPr>
            </w:pPr>
            <w:r>
              <w:rPr>
                <w:rFonts w:ascii="Times New Roman" w:hAnsi="Times New Roman"/>
                <w:b/>
                <w:sz w:val="24"/>
              </w:rPr>
              <w:t>Amortization</w:t>
            </w:r>
          </w:p>
          <w:p>
            <w:pPr>
              <w:pStyle w:val="TableContents"/>
              <w:bidi w:val="0"/>
              <w:spacing w:before="0" w:after="0"/>
              <w:jc w:val="center"/>
              <w:rPr>
                <w:rFonts w:ascii="Times New Roman" w:hAnsi="Times New Roman"/>
                <w:b/>
                <w:sz w:val="24"/>
              </w:rPr>
            </w:pPr>
            <w:r>
              <w:rPr>
                <w:rFonts w:ascii="Times New Roman" w:hAnsi="Times New Roman"/>
                <w:b/>
                <w:sz w:val="24"/>
              </w:rPr>
              <w:t>Periods</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Restricted stock units</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3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15,174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Phantom stock units</w:t>
            </w:r>
          </w:p>
        </w:tc>
        <w:tc>
          <w:tcPr>
            <w:tcW w:w="60" w:type="dxa"/>
            <w:tcBorders/>
            <w:vAlign w:val="bottom"/>
          </w:tcPr>
          <w:p>
            <w:pPr>
              <w:pStyle w:val="TableContents"/>
              <w:bidi w:val="0"/>
              <w:spacing w:before="0" w:after="283"/>
              <w:jc w:val="left"/>
              <w:rPr/>
            </w:pPr>
            <w:r>
              <w:rPr/>
              <w:t> </w:t>
            </w:r>
          </w:p>
        </w:tc>
        <w:tc>
          <w:tcPr>
            <w:tcW w:w="2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0.0</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Total</w:t>
            </w:r>
          </w:p>
        </w:tc>
        <w:tc>
          <w:tcPr>
            <w:tcW w:w="60" w:type="dxa"/>
            <w:tcBorders/>
            <w:shd w:fill="CCEEFF" w:val="clear"/>
            <w:vAlign w:val="bottom"/>
          </w:tcPr>
          <w:p>
            <w:pPr>
              <w:pStyle w:val="TableContents"/>
              <w:bidi w:val="0"/>
              <w:spacing w:before="0" w:after="283"/>
              <w:jc w:val="left"/>
              <w:rPr/>
            </w:pPr>
            <w:r>
              <w:rPr/>
              <w:t> </w:t>
            </w:r>
          </w:p>
        </w:tc>
        <w:tc>
          <w:tcPr>
            <w:tcW w:w="25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3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currently expects all performance-based RSUs to vest and all of the associated unrecognized compensation cost for performance-based RSUs presented in the table above to be recognized.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F-38</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12 – Stock-Based Compensation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Restricted Stock Units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Each RSU entitles the recipient to receive a share of common stock when the RSU vests.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RSU activity is presented below </w:t>
      </w:r>
      <w:r>
        <w:rPr>
          <w:rFonts w:ascii="Times New Roman" w:hAnsi="Times New Roman"/>
          <w:i/>
          <w:color w:val="000000"/>
          <w:sz w:val="24"/>
          <w:shd w:fill="FFFFFF" w:val="clear"/>
        </w:rPr>
        <w:t>(number of RSUs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9390" w:type="dxa"/>
        <w:jc w:val="left"/>
        <w:tblInd w:w="0" w:type="dxa"/>
        <w:tblLayout w:type="fixed"/>
        <w:tblCellMar>
          <w:top w:w="0" w:type="dxa"/>
          <w:left w:w="0" w:type="dxa"/>
          <w:bottom w:w="0" w:type="dxa"/>
          <w:right w:w="0" w:type="dxa"/>
        </w:tblCellMar>
      </w:tblPr>
      <w:tblGrid>
        <w:gridCol w:w="2090"/>
        <w:gridCol w:w="99"/>
        <w:gridCol w:w="99"/>
        <w:gridCol w:w="931"/>
        <w:gridCol w:w="95"/>
        <w:gridCol w:w="90"/>
        <w:gridCol w:w="210"/>
        <w:gridCol w:w="845"/>
        <w:gridCol w:w="60"/>
        <w:gridCol w:w="117"/>
        <w:gridCol w:w="117"/>
        <w:gridCol w:w="894"/>
        <w:gridCol w:w="95"/>
        <w:gridCol w:w="90"/>
        <w:gridCol w:w="210"/>
        <w:gridCol w:w="845"/>
        <w:gridCol w:w="60"/>
        <w:gridCol w:w="117"/>
        <w:gridCol w:w="117"/>
        <w:gridCol w:w="894"/>
        <w:gridCol w:w="95"/>
        <w:gridCol w:w="90"/>
        <w:gridCol w:w="210"/>
        <w:gridCol w:w="845"/>
        <w:gridCol w:w="75"/>
      </w:tblGrid>
      <w:tr>
        <w:trPr/>
        <w:tc>
          <w:tcPr>
            <w:tcW w:w="2090" w:type="dxa"/>
            <w:tcBorders/>
            <w:vAlign w:val="bottom"/>
          </w:tcPr>
          <w:p>
            <w:pPr>
              <w:pStyle w:val="TableContents"/>
              <w:bidi w:val="0"/>
              <w:spacing w:before="0" w:after="283"/>
              <w:jc w:val="left"/>
              <w:rPr/>
            </w:pPr>
            <w:r>
              <w:rPr/>
              <w:t> </w:t>
            </w:r>
          </w:p>
        </w:tc>
        <w:tc>
          <w:tcPr>
            <w:tcW w:w="7225" w:type="dxa"/>
            <w:gridSpan w:val="2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pPr>
            <w:r>
              <w:rPr/>
              <w:t> </w:t>
            </w:r>
          </w:p>
        </w:tc>
        <w:tc>
          <w:tcPr>
            <w:tcW w:w="2369"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2368"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2368"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pPr>
            <w:r>
              <w:rPr/>
              <w:t> </w:t>
            </w:r>
          </w:p>
        </w:tc>
        <w:tc>
          <w:tcPr>
            <w:tcW w:w="112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RSUs</w:t>
            </w:r>
          </w:p>
        </w:tc>
        <w:tc>
          <w:tcPr>
            <w:tcW w:w="95" w:type="dxa"/>
            <w:tcBorders/>
            <w:vAlign w:val="bottom"/>
          </w:tcPr>
          <w:p>
            <w:pPr>
              <w:pStyle w:val="TableContents"/>
              <w:bidi w:val="0"/>
              <w:spacing w:before="0" w:after="283"/>
              <w:jc w:val="left"/>
              <w:rPr/>
            </w:pPr>
            <w:r>
              <w:rPr/>
              <w:t> </w:t>
            </w:r>
          </w:p>
        </w:tc>
        <w:tc>
          <w:tcPr>
            <w:tcW w:w="114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Weighted</w:t>
            </w:r>
          </w:p>
          <w:p>
            <w:pPr>
              <w:pStyle w:val="TableContents"/>
              <w:bidi w:val="0"/>
              <w:spacing w:before="0" w:after="0"/>
              <w:jc w:val="center"/>
              <w:rPr>
                <w:rFonts w:ascii="Times New Roman" w:hAnsi="Times New Roman"/>
                <w:b/>
                <w:sz w:val="24"/>
              </w:rPr>
            </w:pPr>
            <w:r>
              <w:rPr>
                <w:rFonts w:ascii="Times New Roman" w:hAnsi="Times New Roman"/>
                <w:b/>
                <w:sz w:val="24"/>
              </w:rPr>
              <w:t>Average</w:t>
            </w:r>
          </w:p>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w:t>
            </w:r>
          </w:p>
        </w:tc>
        <w:tc>
          <w:tcPr>
            <w:tcW w:w="60" w:type="dxa"/>
            <w:tcBorders/>
            <w:vAlign w:val="bottom"/>
          </w:tcPr>
          <w:p>
            <w:pPr>
              <w:pStyle w:val="TableContents"/>
              <w:bidi w:val="0"/>
              <w:spacing w:before="0" w:after="283"/>
              <w:jc w:val="left"/>
              <w:rPr/>
            </w:pPr>
            <w:r>
              <w:rPr/>
              <w:t> </w:t>
            </w:r>
          </w:p>
        </w:tc>
        <w:tc>
          <w:tcPr>
            <w:tcW w:w="1128"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RSUs</w:t>
            </w:r>
          </w:p>
        </w:tc>
        <w:tc>
          <w:tcPr>
            <w:tcW w:w="95" w:type="dxa"/>
            <w:tcBorders/>
            <w:vAlign w:val="bottom"/>
          </w:tcPr>
          <w:p>
            <w:pPr>
              <w:pStyle w:val="TableContents"/>
              <w:bidi w:val="0"/>
              <w:spacing w:before="0" w:after="283"/>
              <w:jc w:val="left"/>
              <w:rPr/>
            </w:pPr>
            <w:r>
              <w:rPr/>
              <w:t> </w:t>
            </w:r>
          </w:p>
        </w:tc>
        <w:tc>
          <w:tcPr>
            <w:tcW w:w="114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Weighted</w:t>
            </w:r>
          </w:p>
          <w:p>
            <w:pPr>
              <w:pStyle w:val="TableContents"/>
              <w:bidi w:val="0"/>
              <w:spacing w:before="0" w:after="0"/>
              <w:jc w:val="center"/>
              <w:rPr>
                <w:rFonts w:ascii="Times New Roman" w:hAnsi="Times New Roman"/>
                <w:b/>
                <w:sz w:val="24"/>
              </w:rPr>
            </w:pPr>
            <w:r>
              <w:rPr>
                <w:rFonts w:ascii="Times New Roman" w:hAnsi="Times New Roman"/>
                <w:b/>
                <w:sz w:val="24"/>
              </w:rPr>
              <w:t>Average</w:t>
            </w:r>
          </w:p>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w:t>
            </w:r>
          </w:p>
        </w:tc>
        <w:tc>
          <w:tcPr>
            <w:tcW w:w="60" w:type="dxa"/>
            <w:tcBorders/>
            <w:vAlign w:val="bottom"/>
          </w:tcPr>
          <w:p>
            <w:pPr>
              <w:pStyle w:val="TableContents"/>
              <w:bidi w:val="0"/>
              <w:spacing w:before="0" w:after="283"/>
              <w:jc w:val="left"/>
              <w:rPr/>
            </w:pPr>
            <w:r>
              <w:rPr/>
              <w:t> </w:t>
            </w:r>
          </w:p>
        </w:tc>
        <w:tc>
          <w:tcPr>
            <w:tcW w:w="1128"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RSUs</w:t>
            </w:r>
          </w:p>
        </w:tc>
        <w:tc>
          <w:tcPr>
            <w:tcW w:w="95" w:type="dxa"/>
            <w:tcBorders/>
            <w:vAlign w:val="bottom"/>
          </w:tcPr>
          <w:p>
            <w:pPr>
              <w:pStyle w:val="TableContents"/>
              <w:bidi w:val="0"/>
              <w:spacing w:before="0" w:after="283"/>
              <w:jc w:val="left"/>
              <w:rPr/>
            </w:pPr>
            <w:r>
              <w:rPr/>
              <w:t> </w:t>
            </w:r>
          </w:p>
        </w:tc>
        <w:tc>
          <w:tcPr>
            <w:tcW w:w="114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Weighted</w:t>
            </w:r>
          </w:p>
          <w:p>
            <w:pPr>
              <w:pStyle w:val="TableContents"/>
              <w:bidi w:val="0"/>
              <w:spacing w:before="0" w:after="0"/>
              <w:jc w:val="center"/>
              <w:rPr>
                <w:rFonts w:ascii="Times New Roman" w:hAnsi="Times New Roman"/>
                <w:b/>
                <w:sz w:val="24"/>
              </w:rPr>
            </w:pPr>
            <w:r>
              <w:rPr>
                <w:rFonts w:ascii="Times New Roman" w:hAnsi="Times New Roman"/>
                <w:b/>
                <w:sz w:val="24"/>
              </w:rPr>
              <w:t>Average</w:t>
            </w:r>
          </w:p>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pPr>
            <w:r>
              <w:rPr/>
              <w:t> </w:t>
            </w:r>
          </w:p>
        </w:tc>
        <w:tc>
          <w:tcPr>
            <w:tcW w:w="1129"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b/>
                <w:sz w:val="24"/>
              </w:rPr>
            </w:pPr>
            <w:r>
              <w:rPr>
                <w:rFonts w:ascii="Times New Roman" w:hAnsi="Times New Roman"/>
                <w:b/>
                <w:sz w:val="24"/>
              </w:rPr>
              <w:t>Outstanding:</w:t>
            </w:r>
          </w:p>
        </w:tc>
        <w:tc>
          <w:tcPr>
            <w:tcW w:w="1129"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Beginning of year</w:t>
            </w:r>
          </w:p>
        </w:tc>
        <w:tc>
          <w:tcPr>
            <w:tcW w:w="9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894</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4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19.73</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877</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20.08</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793</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18.90</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Granted*</w:t>
            </w:r>
          </w:p>
        </w:tc>
        <w:tc>
          <w:tcPr>
            <w:tcW w:w="9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1,180</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24.34</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336</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19.13</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319</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22.07</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Vested**</w:t>
            </w:r>
          </w:p>
        </w:tc>
        <w:tc>
          <w:tcPr>
            <w:tcW w:w="9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(342</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18.86</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(306</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20.04</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(235</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18.79</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Cancelled or forfeited</w:t>
            </w:r>
          </w:p>
        </w:tc>
        <w:tc>
          <w:tcPr>
            <w:tcW w:w="99" w:type="dxa"/>
            <w:tcBorders/>
            <w:vAlign w:val="bottom"/>
          </w:tcPr>
          <w:p>
            <w:pPr>
              <w:pStyle w:val="TableContents"/>
              <w:bidi w:val="0"/>
              <w:spacing w:before="0" w:after="283"/>
              <w:jc w:val="righ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(15</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24.83</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4"/>
              </w:rPr>
            </w:pPr>
            <w:r>
              <w:rPr>
                <w:sz w:val="24"/>
              </w:rPr>
              <w:t>20.50</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End of year</w:t>
            </w:r>
          </w:p>
        </w:tc>
        <w:tc>
          <w:tcPr>
            <w:tcW w:w="99" w:type="dxa"/>
            <w:tcBorders/>
            <w:shd w:fill="CCEEFF" w:val="clear"/>
            <w:vAlign w:val="bottom"/>
          </w:tcPr>
          <w:p>
            <w:pPr>
              <w:pStyle w:val="TableContents"/>
              <w:bidi w:val="0"/>
              <w:spacing w:before="0" w:after="283"/>
              <w:jc w:val="righ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1,717</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4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23.03</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894</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19.73</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877</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4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20.08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pPr>
            <w:r>
              <w:rPr/>
              <w:t> </w:t>
            </w:r>
          </w:p>
        </w:tc>
        <w:tc>
          <w:tcPr>
            <w:tcW w:w="9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Expected to vest</w:t>
            </w:r>
          </w:p>
        </w:tc>
        <w:tc>
          <w:tcPr>
            <w:tcW w:w="99" w:type="dxa"/>
            <w:tcBorders/>
            <w:shd w:fill="CCEEFF" w:val="clear"/>
            <w:vAlign w:val="bottom"/>
          </w:tcPr>
          <w:p>
            <w:pPr>
              <w:pStyle w:val="TableContents"/>
              <w:bidi w:val="0"/>
              <w:spacing w:before="0" w:after="283"/>
              <w:jc w:val="righ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1,702</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894</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right"/>
              <w:rPr/>
            </w:pPr>
            <w:r>
              <w:rPr/>
              <w:t> </w:t>
            </w:r>
          </w:p>
        </w:tc>
        <w:tc>
          <w:tcPr>
            <w:tcW w:w="11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877</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Employees in certain countries are granted equity-linked awards that will be settled in cash and are accounted for as liability awards.  The liability awards are not material.  The number of RSUs granted excludes these awards.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The number of RSUs vested includes shares that the Company withheld on behalf of employees to satisfy the statutory tax withholding requirements.</w:t>
      </w:r>
    </w:p>
    <w:p>
      <w:pPr>
        <w:pStyle w:val="TextBody"/>
        <w:bidi w:val="0"/>
        <w:spacing w:before="0" w:after="0"/>
        <w:jc w:val="left"/>
        <w:rPr/>
      </w:pPr>
      <w:r>
        <w:rPr/>
      </w:r>
    </w:p>
    <w:p>
      <w:pPr>
        <w:pStyle w:val="TextBody"/>
        <w:bidi w:val="0"/>
        <w:spacing w:before="0" w:after="16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The number of performance-based RSUs that are scheduled to vest increases ratably based on the achievement of defined performance and market criteria between the established target and maximum levels.  RSUs with performance-based and market-based vesting criteria are expected to vest as follows </w:t>
      </w:r>
      <w:r>
        <w:rPr>
          <w:rFonts w:ascii="Times New Roman" w:hAnsi="Times New Roman"/>
          <w:i/>
          <w:color w:val="000000"/>
          <w:sz w:val="24"/>
          <w:shd w:fill="FFFFFF" w:val="clear"/>
        </w:rPr>
        <w:t>(number of RSUs in thousands)</w:t>
      </w:r>
      <w:r>
        <w:rPr>
          <w:rFonts w:ascii="Times New Roman;Times;serif" w:hAnsi="Times New Roman;Times;serif"/>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5463" w:type="dxa"/>
        <w:jc w:val="left"/>
        <w:tblInd w:w="0" w:type="dxa"/>
        <w:tblLayout w:type="fixed"/>
        <w:tblCellMar>
          <w:top w:w="0" w:type="dxa"/>
          <w:left w:w="0" w:type="dxa"/>
          <w:bottom w:w="28" w:type="dxa"/>
          <w:right w:w="0" w:type="dxa"/>
        </w:tblCellMar>
      </w:tblPr>
      <w:tblGrid>
        <w:gridCol w:w="1910"/>
        <w:gridCol w:w="60"/>
        <w:gridCol w:w="165"/>
        <w:gridCol w:w="1054"/>
        <w:gridCol w:w="60"/>
        <w:gridCol w:w="60"/>
        <w:gridCol w:w="261"/>
        <w:gridCol w:w="1138"/>
        <w:gridCol w:w="60"/>
        <w:gridCol w:w="60"/>
        <w:gridCol w:w="76"/>
        <w:gridCol w:w="484"/>
        <w:gridCol w:w="75"/>
      </w:tblGrid>
      <w:tr>
        <w:trPr/>
        <w:tc>
          <w:tcPr>
            <w:tcW w:w="1910" w:type="dxa"/>
            <w:tcBorders>
              <w:bottom w:val="single" w:sz="12" w:space="0" w:color="00000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Vesting Date</w:t>
            </w:r>
          </w:p>
        </w:tc>
        <w:tc>
          <w:tcPr>
            <w:tcW w:w="60" w:type="dxa"/>
            <w:tcBorders/>
            <w:tcMar>
              <w:bottom w:w="0" w:type="dxa"/>
            </w:tcMar>
            <w:vAlign w:val="bottom"/>
          </w:tcPr>
          <w:p>
            <w:pPr>
              <w:pStyle w:val="TableContents"/>
              <w:bidi w:val="0"/>
              <w:spacing w:before="0" w:after="283"/>
              <w:jc w:val="left"/>
              <w:rPr/>
            </w:pPr>
            <w:r>
              <w:rPr/>
              <w:t> </w:t>
            </w:r>
          </w:p>
        </w:tc>
        <w:tc>
          <w:tcPr>
            <w:tcW w:w="1219" w:type="dxa"/>
            <w:gridSpan w:val="2"/>
            <w:tcBorders>
              <w:bottom w:val="single" w:sz="12" w:space="0" w:color="00000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Expected to</w:t>
            </w:r>
          </w:p>
          <w:p>
            <w:pPr>
              <w:pStyle w:val="TableContents"/>
              <w:bidi w:val="0"/>
              <w:spacing w:before="0" w:after="0"/>
              <w:jc w:val="center"/>
              <w:rPr>
                <w:rFonts w:ascii="Times New Roman" w:hAnsi="Times New Roman"/>
                <w:b/>
                <w:sz w:val="24"/>
              </w:rPr>
            </w:pPr>
            <w:r>
              <w:rPr>
                <w:rFonts w:ascii="Times New Roman" w:hAnsi="Times New Roman"/>
                <w:b/>
                <w:sz w:val="24"/>
              </w:rPr>
              <w:t>Vest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99" w:type="dxa"/>
            <w:gridSpan w:val="2"/>
            <w:tcBorders>
              <w:bottom w:val="single" w:sz="12" w:space="0" w:color="00000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Not Expected</w:t>
            </w:r>
          </w:p>
          <w:p>
            <w:pPr>
              <w:pStyle w:val="TableContents"/>
              <w:bidi w:val="0"/>
              <w:spacing w:before="0" w:after="0"/>
              <w:jc w:val="center"/>
              <w:rPr>
                <w:rFonts w:ascii="Times New Roman" w:hAnsi="Times New Roman"/>
                <w:b/>
                <w:sz w:val="24"/>
              </w:rPr>
            </w:pPr>
            <w:r>
              <w:rPr>
                <w:rFonts w:ascii="Times New Roman" w:hAnsi="Times New Roman"/>
                <w:b/>
                <w:sz w:val="24"/>
              </w:rPr>
              <w:t>to Vest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560" w:type="dxa"/>
            <w:gridSpan w:val="2"/>
            <w:tcBorders>
              <w:bottom w:val="single" w:sz="12" w:space="0" w:color="00000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Total</w:t>
            </w:r>
          </w:p>
        </w:tc>
        <w:tc>
          <w:tcPr>
            <w:tcW w:w="75" w:type="dxa"/>
            <w:tcBorders/>
            <w:tcMar>
              <w:bottom w:w="0" w:type="dxa"/>
            </w:tcMar>
            <w:vAlign w:val="bottom"/>
          </w:tcPr>
          <w:p>
            <w:pPr>
              <w:pStyle w:val="TableContents"/>
              <w:bidi w:val="0"/>
              <w:spacing w:before="0" w:after="283"/>
              <w:jc w:val="left"/>
              <w:rPr/>
            </w:pPr>
            <w:r>
              <w:rPr/>
              <w:t> </w:t>
            </w:r>
          </w:p>
        </w:tc>
      </w:tr>
      <w:tr>
        <w:trPr/>
        <w:tc>
          <w:tcPr>
            <w:tcW w:w="1910" w:type="dxa"/>
            <w:tcBorders/>
            <w:shd w:fill="CCEEFF" w:val="clear"/>
            <w:tcMar>
              <w:bottom w:w="0" w:type="dxa"/>
            </w:tcMar>
            <w:vAlign w:val="bottom"/>
          </w:tcPr>
          <w:p>
            <w:pPr>
              <w:pStyle w:val="TableContents"/>
              <w:bidi w:val="0"/>
              <w:spacing w:before="0" w:after="0"/>
              <w:jc w:val="center"/>
              <w:rPr>
                <w:rFonts w:ascii="Times New Roman" w:hAnsi="Times New Roman"/>
                <w:sz w:val="24"/>
              </w:rPr>
            </w:pPr>
            <w:r>
              <w:rPr>
                <w:rFonts w:ascii="Times New Roman" w:hAnsi="Times New Roman"/>
                <w:sz w:val="24"/>
              </w:rPr>
              <w:t>January 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5" w:type="dxa"/>
            <w:tcBorders/>
            <w:shd w:fill="CCEEFF" w:val="clear"/>
            <w:tcMar>
              <w:bottom w:w="0" w:type="dxa"/>
            </w:tcMar>
            <w:vAlign w:val="bottom"/>
          </w:tcPr>
          <w:p>
            <w:pPr>
              <w:pStyle w:val="TableContents"/>
              <w:bidi w:val="0"/>
              <w:spacing w:before="0" w:after="283"/>
              <w:jc w:val="left"/>
              <w:rPr/>
            </w:pPr>
            <w:r>
              <w:rPr/>
              <w:t> </w:t>
            </w:r>
          </w:p>
        </w:tc>
        <w:tc>
          <w:tcPr>
            <w:tcW w:w="1054"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1" w:type="dxa"/>
            <w:tcBorders/>
            <w:shd w:fill="CCEEFF" w:val="clear"/>
            <w:tcMar>
              <w:bottom w:w="0" w:type="dxa"/>
            </w:tcMar>
            <w:vAlign w:val="bottom"/>
          </w:tcPr>
          <w:p>
            <w:pPr>
              <w:pStyle w:val="TableContents"/>
              <w:bidi w:val="0"/>
              <w:spacing w:before="0" w:after="283"/>
              <w:jc w:val="left"/>
              <w:rPr/>
            </w:pPr>
            <w:r>
              <w:rPr/>
              <w:t> </w:t>
            </w:r>
          </w:p>
        </w:tc>
        <w:tc>
          <w:tcPr>
            <w:tcW w:w="1138"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6" w:type="dxa"/>
            <w:tcBorders/>
            <w:shd w:fill="CCEEFF" w:val="clear"/>
            <w:tcMar>
              <w:bottom w:w="0" w:type="dxa"/>
            </w:tcMar>
            <w:vAlign w:val="bottom"/>
          </w:tcPr>
          <w:p>
            <w:pPr>
              <w:pStyle w:val="TableContents"/>
              <w:bidi w:val="0"/>
              <w:spacing w:before="0" w:after="283"/>
              <w:jc w:val="left"/>
              <w:rPr/>
            </w:pPr>
            <w:r>
              <w:rPr/>
              <w:t> </w:t>
            </w:r>
          </w:p>
        </w:tc>
        <w:tc>
          <w:tcPr>
            <w:tcW w:w="484"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165</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1910" w:type="dxa"/>
            <w:tcBorders/>
            <w:shd w:fill="FFFFFF" w:val="clear"/>
            <w:tcMar>
              <w:bottom w:w="0" w:type="dxa"/>
            </w:tcMar>
            <w:vAlign w:val="bottom"/>
          </w:tcPr>
          <w:p>
            <w:pPr>
              <w:pStyle w:val="TableContents"/>
              <w:bidi w:val="0"/>
              <w:spacing w:before="0" w:after="0"/>
              <w:jc w:val="center"/>
              <w:rPr>
                <w:rFonts w:ascii="Times New Roman" w:hAnsi="Times New Roman"/>
                <w:sz w:val="24"/>
              </w:rPr>
            </w:pPr>
            <w:r>
              <w:rPr>
                <w:rFonts w:ascii="Times New Roman" w:hAnsi="Times New Roman"/>
                <w:sz w:val="24"/>
              </w:rPr>
              <w:t>January 1, 2025</w:t>
            </w:r>
          </w:p>
        </w:tc>
        <w:tc>
          <w:tcPr>
            <w:tcW w:w="60" w:type="dxa"/>
            <w:tcBorders/>
            <w:shd w:fill="FFFFFF" w:val="clear"/>
            <w:tcMar>
              <w:bottom w:w="0" w:type="dxa"/>
            </w:tcMar>
            <w:vAlign w:val="bottom"/>
          </w:tcPr>
          <w:p>
            <w:pPr>
              <w:pStyle w:val="TableContents"/>
              <w:bidi w:val="0"/>
              <w:spacing w:before="0" w:after="283"/>
              <w:jc w:val="left"/>
              <w:rPr/>
            </w:pPr>
            <w:r>
              <w:rPr/>
              <w:t> </w:t>
            </w:r>
          </w:p>
        </w:tc>
        <w:tc>
          <w:tcPr>
            <w:tcW w:w="165" w:type="dxa"/>
            <w:tcBorders/>
            <w:shd w:fill="FFFFFF" w:val="clear"/>
            <w:tcMar>
              <w:bottom w:w="0" w:type="dxa"/>
            </w:tcMar>
            <w:vAlign w:val="bottom"/>
          </w:tcPr>
          <w:p>
            <w:pPr>
              <w:pStyle w:val="TableContents"/>
              <w:bidi w:val="0"/>
              <w:spacing w:before="0" w:after="283"/>
              <w:jc w:val="left"/>
              <w:rPr/>
            </w:pPr>
            <w:r>
              <w:rPr/>
              <w:t> </w:t>
            </w:r>
          </w:p>
        </w:tc>
        <w:tc>
          <w:tcPr>
            <w:tcW w:w="1054" w:type="dxa"/>
            <w:tcBorders/>
            <w:shd w:fill="FFFF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168</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261" w:type="dxa"/>
            <w:tcBorders/>
            <w:shd w:fill="FFFFFF" w:val="clear"/>
            <w:tcMar>
              <w:bottom w:w="0" w:type="dxa"/>
            </w:tcMar>
            <w:vAlign w:val="bottom"/>
          </w:tcPr>
          <w:p>
            <w:pPr>
              <w:pStyle w:val="TableContents"/>
              <w:bidi w:val="0"/>
              <w:spacing w:before="0" w:after="283"/>
              <w:jc w:val="left"/>
              <w:rPr/>
            </w:pPr>
            <w:r>
              <w:rPr/>
              <w:t> </w:t>
            </w:r>
          </w:p>
        </w:tc>
        <w:tc>
          <w:tcPr>
            <w:tcW w:w="1138" w:type="dxa"/>
            <w:tcBorders/>
            <w:shd w:fill="FFFF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76" w:type="dxa"/>
            <w:tcBorders/>
            <w:shd w:fill="FFFFFF" w:val="clear"/>
            <w:tcMar>
              <w:bottom w:w="0" w:type="dxa"/>
            </w:tcMar>
            <w:vAlign w:val="bottom"/>
          </w:tcPr>
          <w:p>
            <w:pPr>
              <w:pStyle w:val="TableContents"/>
              <w:bidi w:val="0"/>
              <w:spacing w:before="0" w:after="283"/>
              <w:jc w:val="left"/>
              <w:rPr/>
            </w:pPr>
            <w:r>
              <w:rPr/>
              <w:t> </w:t>
            </w:r>
          </w:p>
        </w:tc>
        <w:tc>
          <w:tcPr>
            <w:tcW w:w="484" w:type="dxa"/>
            <w:tcBorders/>
            <w:shd w:fill="FFFF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168</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1910" w:type="dxa"/>
            <w:tcBorders/>
            <w:shd w:fill="CCEEFF" w:val="clear"/>
            <w:tcMar>
              <w:bottom w:w="0" w:type="dxa"/>
            </w:tcMar>
            <w:vAlign w:val="bottom"/>
          </w:tcPr>
          <w:p>
            <w:pPr>
              <w:pStyle w:val="TableContents"/>
              <w:bidi w:val="0"/>
              <w:spacing w:before="0" w:after="0"/>
              <w:jc w:val="center"/>
              <w:rPr>
                <w:rFonts w:ascii="Times New Roman" w:hAnsi="Times New Roman"/>
                <w:sz w:val="24"/>
              </w:rPr>
            </w:pPr>
            <w:r>
              <w:rPr>
                <w:rFonts w:ascii="Times New Roman" w:hAnsi="Times New Roman"/>
                <w:sz w:val="24"/>
              </w:rPr>
              <w:t>January 1, 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5" w:type="dxa"/>
            <w:tcBorders/>
            <w:shd w:fill="CCEEFF" w:val="clear"/>
            <w:tcMar>
              <w:bottom w:w="0" w:type="dxa"/>
            </w:tcMar>
            <w:vAlign w:val="bottom"/>
          </w:tcPr>
          <w:p>
            <w:pPr>
              <w:pStyle w:val="TableContents"/>
              <w:bidi w:val="0"/>
              <w:spacing w:before="0" w:after="283"/>
              <w:jc w:val="left"/>
              <w:rPr/>
            </w:pPr>
            <w:r>
              <w:rPr/>
              <w:t> </w:t>
            </w:r>
          </w:p>
        </w:tc>
        <w:tc>
          <w:tcPr>
            <w:tcW w:w="1054"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1" w:type="dxa"/>
            <w:tcBorders/>
            <w:shd w:fill="CCEEFF" w:val="clear"/>
            <w:tcMar>
              <w:bottom w:w="0" w:type="dxa"/>
            </w:tcMar>
            <w:vAlign w:val="bottom"/>
          </w:tcPr>
          <w:p>
            <w:pPr>
              <w:pStyle w:val="TableContents"/>
              <w:bidi w:val="0"/>
              <w:spacing w:before="0" w:after="283"/>
              <w:jc w:val="left"/>
              <w:rPr/>
            </w:pPr>
            <w:r>
              <w:rPr/>
              <w:t> </w:t>
            </w:r>
          </w:p>
        </w:tc>
        <w:tc>
          <w:tcPr>
            <w:tcW w:w="1138"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6" w:type="dxa"/>
            <w:tcBorders/>
            <w:shd w:fill="CCEEFF" w:val="clear"/>
            <w:tcMar>
              <w:bottom w:w="0" w:type="dxa"/>
            </w:tcMar>
            <w:vAlign w:val="bottom"/>
          </w:tcPr>
          <w:p>
            <w:pPr>
              <w:pStyle w:val="TableContents"/>
              <w:bidi w:val="0"/>
              <w:spacing w:before="0" w:after="283"/>
              <w:jc w:val="left"/>
              <w:rPr/>
            </w:pPr>
            <w:r>
              <w:rPr/>
              <w:t> </w:t>
            </w:r>
          </w:p>
        </w:tc>
        <w:tc>
          <w:tcPr>
            <w:tcW w:w="484" w:type="dxa"/>
            <w:tcBorders/>
            <w:shd w:fill="CCEEFF" w:val="clear"/>
            <w:tcMar>
              <w:bottom w:w="0"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172</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The performance vesting criteria for the performance-based RSUs with a vesting date of January 1, 2024 were achieved.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In the event of (i) any termination (other than for cause) after attaining retirement age (as defined in the respective executive's employment arrangement), the executive's outstanding RSUs shall immediately vest and the outstanding performance-based RSUs shall vest on their normal vesting date to the extent applicable performance criteria are realized; (ii) a change of control of Vishay in which the executive's RSUs and performance-based RSUs are not assumed or continued, all of such executive’s outstanding RSUs and performance-based RSUs shall immediately vest; (iii) a change of control of Vishay in which the executive's RSUs and performance-based RSUs are assumed or continued, upon termination without cause or good reason the executive's outstanding RSUs and performance-based RSUs.  In the event of voluntary termination by the executive prior to attaining retirement age or termination for cause, the executive’s outstanding RSUs and performance-based RSUs will be forfeited.  </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F-39</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12 – Stock-Based Compensation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Phantom Stock Units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Each phantom stock unit entitles the recipient to receive a share of common stock at the individual's termination of employment or any other future date specified in the applicable employment agreement.  Phantom stock units participate in dividend distribution on the same basis as the Company's common stock and Class B common stock.  Dividend equivalents are issued in the form of additional units of phantom stock.  The phantom stock units are fully vested at all times.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summarizes the Company’s phantom stock units activity </w:t>
      </w:r>
      <w:r>
        <w:rPr>
          <w:rFonts w:ascii="Times New Roman" w:hAnsi="Times New Roman"/>
          <w:i/>
          <w:color w:val="000000"/>
          <w:sz w:val="24"/>
          <w:shd w:fill="FFFFFF" w:val="clear"/>
        </w:rPr>
        <w:t>(number of phantom stock units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312"/>
        <w:gridCol w:w="115"/>
        <w:gridCol w:w="115"/>
        <w:gridCol w:w="875"/>
        <w:gridCol w:w="95"/>
        <w:gridCol w:w="108"/>
        <w:gridCol w:w="254"/>
        <w:gridCol w:w="1025"/>
        <w:gridCol w:w="60"/>
        <w:gridCol w:w="132"/>
        <w:gridCol w:w="132"/>
        <w:gridCol w:w="840"/>
        <w:gridCol w:w="60"/>
        <w:gridCol w:w="108"/>
        <w:gridCol w:w="254"/>
        <w:gridCol w:w="1025"/>
        <w:gridCol w:w="60"/>
        <w:gridCol w:w="132"/>
        <w:gridCol w:w="132"/>
        <w:gridCol w:w="840"/>
        <w:gridCol w:w="60"/>
        <w:gridCol w:w="108"/>
        <w:gridCol w:w="254"/>
        <w:gridCol w:w="1025"/>
        <w:gridCol w:w="84"/>
      </w:tblGrid>
      <w:tr>
        <w:trPr/>
        <w:tc>
          <w:tcPr>
            <w:tcW w:w="2312" w:type="dxa"/>
            <w:tcBorders/>
            <w:vAlign w:val="bottom"/>
          </w:tcPr>
          <w:p>
            <w:pPr>
              <w:pStyle w:val="TableContents"/>
              <w:bidi w:val="0"/>
              <w:spacing w:before="0" w:after="283"/>
              <w:jc w:val="left"/>
              <w:rPr/>
            </w:pPr>
            <w:r>
              <w:rPr/>
              <w:t> </w:t>
            </w:r>
          </w:p>
        </w:tc>
        <w:tc>
          <w:tcPr>
            <w:tcW w:w="7809" w:type="dxa"/>
            <w:gridSpan w:val="23"/>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84"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0"/>
              <w:jc w:val="left"/>
              <w:rPr/>
            </w:pPr>
            <w:r>
              <w:rPr/>
              <w:t> </w:t>
            </w:r>
          </w:p>
        </w:tc>
        <w:tc>
          <w:tcPr>
            <w:tcW w:w="2587"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2551"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2551"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84"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pPr>
            <w:r>
              <w:rPr/>
              <w:t> </w:t>
            </w:r>
          </w:p>
        </w:tc>
        <w:tc>
          <w:tcPr>
            <w:tcW w:w="110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Phantom</w:t>
            </w:r>
          </w:p>
          <w:p>
            <w:pPr>
              <w:pStyle w:val="TableContents"/>
              <w:bidi w:val="0"/>
              <w:spacing w:before="0" w:after="0"/>
              <w:jc w:val="center"/>
              <w:rPr>
                <w:rFonts w:ascii="Times New Roman" w:hAnsi="Times New Roman"/>
                <w:b/>
                <w:sz w:val="24"/>
              </w:rPr>
            </w:pPr>
            <w:r>
              <w:rPr>
                <w:rFonts w:ascii="Times New Roman" w:hAnsi="Times New Roman"/>
                <w:b/>
                <w:sz w:val="24"/>
              </w:rPr>
              <w:t>Stock Units</w:t>
            </w:r>
          </w:p>
        </w:tc>
        <w:tc>
          <w:tcPr>
            <w:tcW w:w="95" w:type="dxa"/>
            <w:tcBorders/>
            <w:vAlign w:val="bottom"/>
          </w:tcPr>
          <w:p>
            <w:pPr>
              <w:pStyle w:val="TableContents"/>
              <w:bidi w:val="0"/>
              <w:spacing w:before="0" w:after="283"/>
              <w:jc w:val="left"/>
              <w:rPr/>
            </w:pPr>
            <w:r>
              <w:rPr/>
              <w:t> </w:t>
            </w:r>
          </w:p>
        </w:tc>
        <w:tc>
          <w:tcPr>
            <w:tcW w:w="1387"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 per</w:t>
            </w:r>
          </w:p>
          <w:p>
            <w:pPr>
              <w:pStyle w:val="TableContents"/>
              <w:bidi w:val="0"/>
              <w:spacing w:before="0" w:after="0"/>
              <w:jc w:val="center"/>
              <w:rPr>
                <w:rFonts w:ascii="Times New Roman" w:hAnsi="Times New Roman"/>
                <w:b/>
                <w:sz w:val="24"/>
              </w:rPr>
            </w:pPr>
            <w:r>
              <w:rPr>
                <w:rFonts w:ascii="Times New Roman" w:hAnsi="Times New Roman"/>
                <w:b/>
                <w:sz w:val="24"/>
              </w:rPr>
              <w:t>Unit</w:t>
            </w:r>
          </w:p>
        </w:tc>
        <w:tc>
          <w:tcPr>
            <w:tcW w:w="60" w:type="dxa"/>
            <w:tcBorders/>
            <w:vAlign w:val="bottom"/>
          </w:tcPr>
          <w:p>
            <w:pPr>
              <w:pStyle w:val="TableContents"/>
              <w:bidi w:val="0"/>
              <w:spacing w:before="0" w:after="283"/>
              <w:jc w:val="left"/>
              <w:rPr/>
            </w:pPr>
            <w:r>
              <w:rPr/>
              <w:t> </w:t>
            </w:r>
          </w:p>
        </w:tc>
        <w:tc>
          <w:tcPr>
            <w:tcW w:w="110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Phantom</w:t>
            </w:r>
          </w:p>
          <w:p>
            <w:pPr>
              <w:pStyle w:val="TableContents"/>
              <w:bidi w:val="0"/>
              <w:spacing w:before="0" w:after="0"/>
              <w:jc w:val="center"/>
              <w:rPr>
                <w:rFonts w:ascii="Times New Roman" w:hAnsi="Times New Roman"/>
                <w:b/>
                <w:sz w:val="24"/>
              </w:rPr>
            </w:pPr>
            <w:r>
              <w:rPr>
                <w:rFonts w:ascii="Times New Roman" w:hAnsi="Times New Roman"/>
                <w:b/>
                <w:sz w:val="24"/>
              </w:rPr>
              <w:t>Stock Units</w:t>
            </w:r>
          </w:p>
        </w:tc>
        <w:tc>
          <w:tcPr>
            <w:tcW w:w="60" w:type="dxa"/>
            <w:tcBorders/>
            <w:vAlign w:val="bottom"/>
          </w:tcPr>
          <w:p>
            <w:pPr>
              <w:pStyle w:val="TableContents"/>
              <w:bidi w:val="0"/>
              <w:spacing w:before="0" w:after="283"/>
              <w:jc w:val="left"/>
              <w:rPr/>
            </w:pPr>
            <w:r>
              <w:rPr/>
              <w:t> </w:t>
            </w:r>
          </w:p>
        </w:tc>
        <w:tc>
          <w:tcPr>
            <w:tcW w:w="1387"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 per</w:t>
            </w:r>
          </w:p>
          <w:p>
            <w:pPr>
              <w:pStyle w:val="TableContents"/>
              <w:bidi w:val="0"/>
              <w:spacing w:before="0" w:after="0"/>
              <w:jc w:val="center"/>
              <w:rPr>
                <w:rFonts w:ascii="Times New Roman" w:hAnsi="Times New Roman"/>
                <w:b/>
                <w:sz w:val="24"/>
              </w:rPr>
            </w:pPr>
            <w:r>
              <w:rPr>
                <w:rFonts w:ascii="Times New Roman" w:hAnsi="Times New Roman"/>
                <w:b/>
                <w:sz w:val="24"/>
              </w:rPr>
              <w:t>Unit</w:t>
            </w:r>
          </w:p>
        </w:tc>
        <w:tc>
          <w:tcPr>
            <w:tcW w:w="60" w:type="dxa"/>
            <w:tcBorders/>
            <w:vAlign w:val="bottom"/>
          </w:tcPr>
          <w:p>
            <w:pPr>
              <w:pStyle w:val="TableContents"/>
              <w:bidi w:val="0"/>
              <w:spacing w:before="0" w:after="283"/>
              <w:jc w:val="left"/>
              <w:rPr/>
            </w:pPr>
            <w:r>
              <w:rPr/>
              <w:t> </w:t>
            </w:r>
          </w:p>
        </w:tc>
        <w:tc>
          <w:tcPr>
            <w:tcW w:w="110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Number of</w:t>
            </w:r>
          </w:p>
          <w:p>
            <w:pPr>
              <w:pStyle w:val="TableContents"/>
              <w:bidi w:val="0"/>
              <w:spacing w:before="0" w:after="0"/>
              <w:jc w:val="center"/>
              <w:rPr>
                <w:rFonts w:ascii="Times New Roman" w:hAnsi="Times New Roman"/>
                <w:b/>
                <w:sz w:val="24"/>
              </w:rPr>
            </w:pPr>
            <w:r>
              <w:rPr>
                <w:rFonts w:ascii="Times New Roman" w:hAnsi="Times New Roman"/>
                <w:b/>
                <w:sz w:val="24"/>
              </w:rPr>
              <w:t>Phantom</w:t>
            </w:r>
          </w:p>
          <w:p>
            <w:pPr>
              <w:pStyle w:val="TableContents"/>
              <w:bidi w:val="0"/>
              <w:spacing w:before="0" w:after="0"/>
              <w:jc w:val="center"/>
              <w:rPr>
                <w:rFonts w:ascii="Times New Roman" w:hAnsi="Times New Roman"/>
                <w:b/>
                <w:sz w:val="24"/>
              </w:rPr>
            </w:pPr>
            <w:r>
              <w:rPr>
                <w:rFonts w:ascii="Times New Roman" w:hAnsi="Times New Roman"/>
                <w:b/>
                <w:sz w:val="24"/>
              </w:rPr>
              <w:t>Stock Units</w:t>
            </w:r>
          </w:p>
        </w:tc>
        <w:tc>
          <w:tcPr>
            <w:tcW w:w="60" w:type="dxa"/>
            <w:tcBorders/>
            <w:vAlign w:val="bottom"/>
          </w:tcPr>
          <w:p>
            <w:pPr>
              <w:pStyle w:val="TableContents"/>
              <w:bidi w:val="0"/>
              <w:spacing w:before="0" w:after="283"/>
              <w:jc w:val="left"/>
              <w:rPr/>
            </w:pPr>
            <w:r>
              <w:rPr/>
              <w:t> </w:t>
            </w:r>
          </w:p>
        </w:tc>
        <w:tc>
          <w:tcPr>
            <w:tcW w:w="1387"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Grant-date</w:t>
            </w:r>
          </w:p>
          <w:p>
            <w:pPr>
              <w:pStyle w:val="TableContents"/>
              <w:bidi w:val="0"/>
              <w:spacing w:before="0" w:after="0"/>
              <w:jc w:val="center"/>
              <w:rPr>
                <w:rFonts w:ascii="Times New Roman" w:hAnsi="Times New Roman"/>
                <w:b/>
                <w:sz w:val="24"/>
              </w:rPr>
            </w:pPr>
            <w:r>
              <w:rPr>
                <w:rFonts w:ascii="Times New Roman" w:hAnsi="Times New Roman"/>
                <w:b/>
                <w:sz w:val="24"/>
              </w:rPr>
              <w:t>Fair Value per</w:t>
            </w:r>
          </w:p>
          <w:p>
            <w:pPr>
              <w:pStyle w:val="TableContents"/>
              <w:bidi w:val="0"/>
              <w:spacing w:before="0" w:after="0"/>
              <w:jc w:val="center"/>
              <w:rPr>
                <w:rFonts w:ascii="Times New Roman" w:hAnsi="Times New Roman"/>
                <w:b/>
                <w:sz w:val="24"/>
              </w:rPr>
            </w:pPr>
            <w:r>
              <w:rPr>
                <w:rFonts w:ascii="Times New Roman" w:hAnsi="Times New Roman"/>
                <w:b/>
                <w:sz w:val="24"/>
              </w:rPr>
              <w:t>Unit</w:t>
            </w:r>
          </w:p>
        </w:tc>
        <w:tc>
          <w:tcPr>
            <w:tcW w:w="84"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pPr>
            <w:r>
              <w:rPr/>
              <w:t> </w:t>
            </w:r>
          </w:p>
        </w:tc>
        <w:tc>
          <w:tcPr>
            <w:tcW w:w="110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Outstanding:</w:t>
            </w:r>
          </w:p>
        </w:tc>
        <w:tc>
          <w:tcPr>
            <w:tcW w:w="1105"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Beginning of year</w:t>
            </w:r>
          </w:p>
        </w:tc>
        <w:tc>
          <w:tcPr>
            <w:tcW w:w="115"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226</w:t>
            </w:r>
          </w:p>
        </w:tc>
        <w:tc>
          <w:tcPr>
            <w:tcW w:w="95"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212</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198</w:t>
            </w:r>
          </w:p>
        </w:tc>
        <w:tc>
          <w:tcPr>
            <w:tcW w:w="60" w:type="dxa"/>
            <w:tcBorders/>
            <w:vAlign w:val="bottom"/>
          </w:tcPr>
          <w:p>
            <w:pPr>
              <w:pStyle w:val="TableContents"/>
              <w:bidi w:val="0"/>
              <w:spacing w:before="0" w:after="283"/>
              <w:jc w:val="left"/>
              <w:rPr/>
            </w:pPr>
            <w:r>
              <w:rPr/>
              <w:t> </w:t>
            </w:r>
          </w:p>
        </w:tc>
        <w:tc>
          <w:tcPr>
            <w:tcW w:w="1387" w:type="dxa"/>
            <w:gridSpan w:val="3"/>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312"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Granted</w:t>
            </w:r>
          </w:p>
        </w:tc>
        <w:tc>
          <w:tcPr>
            <w:tcW w:w="115"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w:t>
            </w:r>
          </w:p>
        </w:tc>
        <w:tc>
          <w:tcPr>
            <w:tcW w:w="9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02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21.48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0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22.20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sz w:val="24"/>
              </w:rPr>
            </w:pPr>
            <w:r>
              <w:rPr>
                <w:sz w:val="24"/>
              </w:rPr>
              <w:t>$</w:t>
            </w:r>
          </w:p>
        </w:tc>
        <w:tc>
          <w:tcPr>
            <w:tcW w:w="1025" w:type="dxa"/>
            <w:tcBorders/>
            <w:shd w:fill="CCEEFF" w:val="clear"/>
            <w:vAlign w:val="bottom"/>
          </w:tcPr>
          <w:p>
            <w:pPr>
              <w:pStyle w:val="TableContents"/>
              <w:bidi w:val="0"/>
              <w:spacing w:before="0" w:after="283"/>
              <w:jc w:val="right"/>
              <w:rPr>
                <w:sz w:val="24"/>
              </w:rPr>
            </w:pPr>
            <w:r>
              <w:rPr>
                <w:sz w:val="24"/>
              </w:rPr>
              <w:t>20.89</w:t>
            </w:r>
          </w:p>
        </w:tc>
        <w:tc>
          <w:tcPr>
            <w:tcW w:w="84" w:type="dxa"/>
            <w:tcBorders/>
            <w:shd w:fill="CCEEFF" w:val="clear"/>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Dividend equivalents issued</w:t>
            </w:r>
          </w:p>
        </w:tc>
        <w:tc>
          <w:tcPr>
            <w:tcW w:w="115"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w:t>
            </w:r>
          </w:p>
        </w:tc>
        <w:tc>
          <w:tcPr>
            <w:tcW w:w="9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312" w:type="dxa"/>
            <w:tcBorders/>
            <w:shd w:fill="CCEEFF" w:val="clear"/>
            <w:vAlign w:val="bottom"/>
          </w:tcPr>
          <w:p>
            <w:pPr>
              <w:pStyle w:val="TableContents"/>
              <w:bidi w:val="0"/>
              <w:spacing w:before="0" w:after="283"/>
              <w:jc w:val="left"/>
              <w:rPr>
                <w:sz w:val="24"/>
              </w:rPr>
            </w:pPr>
            <w:r>
              <w:rPr>
                <w:sz w:val="24"/>
              </w:rPr>
              <w:t>Redeemed for common stock*</w:t>
            </w:r>
          </w:p>
        </w:tc>
        <w:tc>
          <w:tcPr>
            <w:tcW w:w="115"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b/>
                <w:sz w:val="24"/>
              </w:rPr>
            </w:pPr>
            <w:r>
              <w:rPr>
                <w:b/>
                <w:sz w:val="24"/>
              </w:rPr>
              <w:t>(113</w:t>
            </w:r>
          </w:p>
        </w:tc>
        <w:tc>
          <w:tcPr>
            <w:tcW w:w="95" w:type="dxa"/>
            <w:tcBorders/>
            <w:shd w:fill="CCEEFF" w:val="clear"/>
            <w:vAlign w:val="bottom"/>
          </w:tcPr>
          <w:p>
            <w:pPr>
              <w:pStyle w:val="TableContents"/>
              <w:bidi w:val="0"/>
              <w:spacing w:before="0" w:after="283"/>
              <w:jc w:val="left"/>
              <w:rPr>
                <w:b/>
                <w:sz w:val="24"/>
              </w:rPr>
            </w:pPr>
            <w:r>
              <w:rPr>
                <w:b/>
                <w:sz w:val="24"/>
              </w:rPr>
              <w:t>)</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283"/>
              <w:jc w:val="right"/>
              <w:rPr>
                <w:sz w:val="24"/>
              </w:rPr>
            </w:pPr>
            <w:r>
              <w:rPr>
                <w:sz w:val="24"/>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283"/>
              <w:jc w:val="right"/>
              <w:rPr>
                <w:sz w:val="24"/>
              </w:rPr>
            </w:pPr>
            <w:r>
              <w:rPr>
                <w:sz w:val="24"/>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End of year</w:t>
            </w:r>
          </w:p>
        </w:tc>
        <w:tc>
          <w:tcPr>
            <w:tcW w:w="115" w:type="dxa"/>
            <w:tcBorders/>
            <w:vAlign w:val="bottom"/>
          </w:tcPr>
          <w:p>
            <w:pPr>
              <w:pStyle w:val="TableContents"/>
              <w:bidi w:val="0"/>
              <w:spacing w:before="0" w:after="283"/>
              <w:jc w:val="right"/>
              <w:rPr/>
            </w:pPr>
            <w:r>
              <w:rPr/>
              <w:t> </w:t>
            </w:r>
          </w:p>
        </w:tc>
        <w:tc>
          <w:tcPr>
            <w:tcW w:w="115" w:type="dxa"/>
            <w:tcBorders>
              <w:bottom w:val="double" w:sz="8" w:space="0" w:color="000000"/>
            </w:tcBorders>
            <w:tcMar>
              <w:bottom w:w="28" w:type="dxa"/>
            </w:tcMar>
            <w:vAlign w:val="bottom"/>
          </w:tcPr>
          <w:p>
            <w:pPr>
              <w:pStyle w:val="TableContents"/>
              <w:bidi w:val="0"/>
              <w:spacing w:before="0" w:after="283"/>
              <w:jc w:val="left"/>
              <w:rPr/>
            </w:pPr>
            <w:r>
              <w:rPr/>
              <w:t> </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120</w:t>
            </w:r>
          </w:p>
        </w:tc>
        <w:tc>
          <w:tcPr>
            <w:tcW w:w="9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283"/>
              <w:jc w:val="left"/>
              <w:rPr/>
            </w:pPr>
            <w:r>
              <w:rPr/>
              <w:t> </w:t>
            </w:r>
          </w:p>
        </w:tc>
        <w:tc>
          <w:tcPr>
            <w:tcW w:w="8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226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283"/>
              <w:jc w:val="left"/>
              <w:rPr/>
            </w:pPr>
            <w:r>
              <w:rPr/>
              <w:t> </w:t>
            </w:r>
          </w:p>
        </w:tc>
        <w:tc>
          <w:tcPr>
            <w:tcW w:w="8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The number of phantom stock units redeemed for common stock includes shares that the Company withheld on behalf of employees to satisfy the statutory tax withholding requirements.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F-40</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13 – 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Environmental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of December 31, 2023, the Company has accrued environmental liabilities of $12,430, of which $2,936 is included in other accrued liabilities on the accompanying consolidated balance sheet, and $9,494 is included in other noncurrent liabilities on the accompanying consolidated balance sheet.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While the ultimate outcome of these matters cannot be determined, management does not believe that the final disposition of these matters will have a material adverse effect on the Company’s consolidated financial position, results of operations, or cash flows.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Litigation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is a party to various claims and lawsuits arising in the normal course of business. The Company is of the opinion that these litigations or claims will not have a material negative effect on its consolidated financial position, results of operations, or cash flows.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Long-Term Purchase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The Company maintains long-term purchase agreements with subcontractors, suppliers, and other business partners to ensure access to external capacity and supply.  The Company has minimum purchase commitments pursuant to certain of its long-term arrangements with its subcontractors and other suppliers and business partners of $57,824 and $29,109 for the years 2024 through 2025, respectively.  Certain minimum purchase commitments are based on an 18-month rolling forecast and, accordingly, the 2025 minimum purchase commitments will likely increase.  The Company has the option to purchase amounts in addition to the minimum commitment and, accordingly, actual purchases may be different than the amounts disclosed above.  The Company exceeded its minimum purchase commitments in 2023.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Product Quality Claims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is a party to various product quality claims in the normal course of business.  See Note 1 for further information on the Company's warranty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Executive Employment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employment agreements with certain of its senior executives.  These employment agreements provide incremental compensation in the event of termination.  The Company does not provide any severance or other benefits specifically upon a change in control.</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F-41</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14 – Current Vulnerability Due to Certain Concentrations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Market Concentrations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No customer represented greater than 10% of consolidated net revenue in 2023 or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 material portion of the Company's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the Company's products, which could have an adverse effect on the Company's results of operations and financial position.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Certain subsidiaries and product lines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the Company's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Credit Risk Concentrations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Financial instruments with potential credit risk consist principally of cash and cash equivalents, short-term investments, accounts receivable, and notes receivable. Concentrations of credit risk with respect to receivables are generally limited due to the Company’s large number of customers and their dispersion across many countries and industries.  As of December 31, 2023, one customer comprised 12.4% of the Company's accounts receivable balance.  As of December 31, 2022, one customer comprised 10.2% of the Company's accounts receivable balance.  The Company continually monitors the credit risks associated with its accounts receivable and adjusts the allowance for uncollectible accounts accordingly.  The credit risk exposure associated with the accounts receivable is limited by the allowance and is not considered material to the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maintains cash and cash equivalents and short-term investments with various major financial institutions. The Company is exposed to credit risk related to the potential inability to access liquidity in financial institutions where its cash and cash equivalents and short-term investments are concentrated. As of December 31, 2023, the following financial institutions held over 10% of the Company’s combined cash and cash equivalents and short-term investments balance:</w:t>
      </w:r>
    </w:p>
    <w:p>
      <w:pPr>
        <w:pStyle w:val="TextBody"/>
        <w:bidi w:val="0"/>
        <w:spacing w:before="0" w:after="0"/>
        <w:jc w:val="left"/>
        <w:rPr>
          <w:rFonts w:ascii="Times New Roman" w:hAnsi="Times New Roman"/>
          <w:sz w:val="20"/>
        </w:rPr>
      </w:pPr>
      <w:r>
        <w:rPr>
          <w:rFonts w:ascii="Times New Roman" w:hAnsi="Times New Roman"/>
          <w:sz w:val="20"/>
        </w:rPr>
      </w:r>
    </w:p>
    <w:tbl>
      <w:tblPr>
        <w:tblW w:w="2670" w:type="dxa"/>
        <w:jc w:val="left"/>
        <w:tblInd w:w="0" w:type="dxa"/>
        <w:tblLayout w:type="fixed"/>
        <w:tblCellMar>
          <w:top w:w="0" w:type="dxa"/>
          <w:left w:w="0" w:type="dxa"/>
          <w:bottom w:w="0" w:type="dxa"/>
          <w:right w:w="0" w:type="dxa"/>
        </w:tblCellMar>
      </w:tblPr>
      <w:tblGrid>
        <w:gridCol w:w="1880"/>
        <w:gridCol w:w="60"/>
        <w:gridCol w:w="60"/>
        <w:gridCol w:w="440"/>
        <w:gridCol w:w="230"/>
      </w:tblGrid>
      <w:tr>
        <w:trPr/>
        <w:tc>
          <w:tcPr>
            <w:tcW w:w="18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JPMorgan*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16.2</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1880" w:type="dxa"/>
            <w:tcBorders/>
            <w:vAlign w:val="bottom"/>
          </w:tcPr>
          <w:p>
            <w:pPr>
              <w:pStyle w:val="TableContents"/>
              <w:bidi w:val="0"/>
              <w:spacing w:before="0" w:after="283"/>
              <w:jc w:val="left"/>
              <w:rPr>
                <w:sz w:val="24"/>
              </w:rPr>
            </w:pPr>
            <w:r>
              <w:rPr>
                <w:sz w:val="24"/>
              </w:rPr>
              <w:t>Santander*</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4"/>
              </w:rPr>
            </w:pPr>
            <w:r>
              <w:rPr>
                <w:sz w:val="24"/>
              </w:rPr>
              <w:t>16.2</w:t>
            </w:r>
          </w:p>
        </w:tc>
        <w:tc>
          <w:tcPr>
            <w:tcW w:w="230" w:type="dxa"/>
            <w:tcBorders/>
            <w:vAlign w:val="bottom"/>
          </w:tcPr>
          <w:p>
            <w:pPr>
              <w:pStyle w:val="TableContents"/>
              <w:bidi w:val="0"/>
              <w:spacing w:before="0" w:after="283"/>
              <w:jc w:val="left"/>
              <w:rPr>
                <w:sz w:val="24"/>
              </w:rPr>
            </w:pPr>
            <w:r>
              <w:rPr>
                <w:sz w:val="24"/>
              </w:rPr>
              <w:t>%</w:t>
            </w:r>
          </w:p>
        </w:tc>
      </w:tr>
      <w:tr>
        <w:trPr/>
        <w:tc>
          <w:tcPr>
            <w:tcW w:w="1880" w:type="dxa"/>
            <w:tcBorders/>
            <w:shd w:fill="CCEEFF" w:val="clear"/>
            <w:vAlign w:val="bottom"/>
          </w:tcPr>
          <w:p>
            <w:pPr>
              <w:pStyle w:val="TableContents"/>
              <w:bidi w:val="0"/>
              <w:spacing w:before="0" w:after="283"/>
              <w:jc w:val="left"/>
              <w:rPr>
                <w:sz w:val="24"/>
              </w:rPr>
            </w:pPr>
            <w:r>
              <w:rPr>
                <w:sz w:val="24"/>
              </w:rPr>
              <w:t>TD Bank*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4"/>
              </w:rPr>
            </w:pPr>
            <w:r>
              <w:rPr>
                <w:sz w:val="24"/>
              </w:rPr>
              <w:t>15.0</w:t>
            </w:r>
          </w:p>
        </w:tc>
        <w:tc>
          <w:tcPr>
            <w:tcW w:w="230" w:type="dxa"/>
            <w:tcBorders/>
            <w:shd w:fill="CCEEFF" w:val="clear"/>
            <w:vAlign w:val="bottom"/>
          </w:tcPr>
          <w:p>
            <w:pPr>
              <w:pStyle w:val="TableContents"/>
              <w:bidi w:val="0"/>
              <w:spacing w:before="0" w:after="283"/>
              <w:jc w:val="left"/>
              <w:rPr>
                <w:sz w:val="24"/>
              </w:rPr>
            </w:pPr>
            <w:r>
              <w:rPr>
                <w:sz w:val="24"/>
              </w:rPr>
              <w:t>%</w:t>
            </w:r>
          </w:p>
        </w:tc>
      </w:tr>
      <w:tr>
        <w:trPr/>
        <w:tc>
          <w:tcPr>
            <w:tcW w:w="1880" w:type="dxa"/>
            <w:tcBorders/>
            <w:vAlign w:val="bottom"/>
          </w:tcPr>
          <w:p>
            <w:pPr>
              <w:pStyle w:val="TableContents"/>
              <w:bidi w:val="0"/>
              <w:spacing w:before="0" w:after="283"/>
              <w:jc w:val="left"/>
              <w:rPr>
                <w:sz w:val="24"/>
              </w:rPr>
            </w:pPr>
            <w:r>
              <w:rPr>
                <w:sz w:val="24"/>
              </w:rPr>
              <w:t>MUFG Bank Ltd.*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4"/>
              </w:rPr>
            </w:pPr>
            <w:r>
              <w:rPr>
                <w:sz w:val="24"/>
              </w:rPr>
              <w:t>10.8</w:t>
            </w:r>
          </w:p>
        </w:tc>
        <w:tc>
          <w:tcPr>
            <w:tcW w:w="230" w:type="dxa"/>
            <w:tcBorders/>
            <w:vAlign w:val="bottom"/>
          </w:tcPr>
          <w:p>
            <w:pPr>
              <w:pStyle w:val="TableContents"/>
              <w:bidi w:val="0"/>
              <w:spacing w:before="0" w:after="283"/>
              <w:jc w:val="left"/>
              <w:rPr>
                <w:sz w:val="24"/>
              </w:rPr>
            </w:pPr>
            <w:r>
              <w:rPr>
                <w:sz w:val="24"/>
              </w:rPr>
              <w:t>%</w:t>
            </w:r>
          </w:p>
        </w:tc>
      </w:tr>
      <w:tr>
        <w:trPr/>
        <w:tc>
          <w:tcPr>
            <w:tcW w:w="1880" w:type="dxa"/>
            <w:tcBorders/>
            <w:shd w:fill="CCEEFF" w:val="clear"/>
            <w:vAlign w:val="bottom"/>
          </w:tcPr>
          <w:p>
            <w:pPr>
              <w:pStyle w:val="TableContents"/>
              <w:bidi w:val="0"/>
              <w:spacing w:before="0" w:after="283"/>
              <w:jc w:val="left"/>
              <w:rPr>
                <w:sz w:val="24"/>
              </w:rPr>
            </w:pPr>
            <w:r>
              <w:rPr>
                <w:sz w:val="24"/>
              </w:rPr>
              <w:t>Bank of America*</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4"/>
              </w:rPr>
            </w:pPr>
            <w:r>
              <w:rPr>
                <w:sz w:val="24"/>
              </w:rPr>
              <w:t>10.1</w:t>
            </w:r>
          </w:p>
        </w:tc>
        <w:tc>
          <w:tcPr>
            <w:tcW w:w="230" w:type="dxa"/>
            <w:tcBorders/>
            <w:shd w:fill="CCEEFF" w:val="clear"/>
            <w:vAlign w:val="bottom"/>
          </w:tcPr>
          <w:p>
            <w:pPr>
              <w:pStyle w:val="TableContents"/>
              <w:bidi w:val="0"/>
              <w:spacing w:before="0" w:after="283"/>
              <w:jc w:val="left"/>
              <w:rPr>
                <w:sz w:val="24"/>
              </w:rPr>
            </w:pPr>
            <w:r>
              <w:rPr>
                <w:sz w:val="24"/>
              </w:rPr>
              <w:t>%</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*Participant in Credit Facility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Sources of Supplies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production and sale of the Company’s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 experienced in recent years has, at times, negatively impacted the Company’s ability to manufacture products and to deliver them to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Although most materials incorporated into the Company's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the Company to temporarily cease or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Many of the metals used in the manufacture of the Company’s products, including gold, copper, and palladium, are traded on active markets and can be subject to significant price volatility.  To ensure adequate supply and to provide cost certainty, the Company’s policy is to enter into short-term commitments to purchase defined portions of annual consumption of the raw materials utilized if market prices decline below budget.  If after entering into these commitments, the market prices for these raw materials decline, losses are recognized on these adverse purchase commitments.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F-42</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14 – Current Vulnerability Due to Certain Concentrations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production can be disrupted by the unavailability of resources, such as water, energy, and gases.  The unavailability or reduced availability of these resources could require the Company to reduce production or incur additional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uses third-party foundries and subcontractors for certain of its manufacturing activities, primarily wafer fabrication and the assembly and testing of finished goods.  Establishing third-party contract manufacturer relationships can be time consuming and costly, and the number of qualified providers is limited.  The Company's agreements with these manufacturers typically require it to commit to purchase services based on forecasted product needs, which may be inaccurate, and, in some cases, require the recognition of losses on these adverse purchase commitments.  The Company's agreements may limit its ability to increase production, particularly during periods of growing demand for our products.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4"/>
          <w:shd w:fill="FFFFFF" w:val="clear"/>
        </w:rPr>
      </w:pPr>
      <w:r>
        <w:rPr>
          <w:rFonts w:ascii="Times New Roman" w:hAnsi="Times New Roman"/>
          <w:b/>
          <w:i/>
          <w:color w:val="000000"/>
          <w:sz w:val="24"/>
          <w:shd w:fill="FFFFFF" w:val="clear"/>
        </w:rPr>
        <w:t>Geographic Concentration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operations outside the United States, and approximately 74% of revenues earned during 2023 were derived from sales to customers outside the United States.  Additionally, as of December 31, 2023, $660,258 of the Company’s cash and cash equivalents and short-term investments were held by subsidiaries outside of the United States.  Some of the Company’s products are produced and cash and cash equivalents and short-term investments are held in countries which are subject to risks of political, economic, and military instability.  This instability could result in wars, riots, nationalization of industry, currency fluctuations, and labor unrest.  These conditions could have an adverse impact on the Company’s ability to operate in these regions and, depending on the extent and severity of these conditions, could materially and adversely affect the Company’s overall financial condition, operating results, and ability to access its liquidity when needed.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As of December 31, 2023 the Company’s cash and cash equivalents and short-term investments were concentrated in the following countries:</w:t>
      </w:r>
    </w:p>
    <w:p>
      <w:pPr>
        <w:pStyle w:val="TextBody"/>
        <w:bidi w:val="0"/>
        <w:spacing w:before="0" w:after="0"/>
        <w:jc w:val="left"/>
        <w:rPr>
          <w:rFonts w:ascii="Times New Roman" w:hAnsi="Times New Roman"/>
          <w:sz w:val="20"/>
        </w:rPr>
      </w:pPr>
      <w:r>
        <w:rPr>
          <w:rFonts w:ascii="Times New Roman" w:hAnsi="Times New Roman"/>
          <w:sz w:val="20"/>
        </w:rPr>
      </w:r>
    </w:p>
    <w:tbl>
      <w:tblPr>
        <w:tblW w:w="3930" w:type="dxa"/>
        <w:jc w:val="left"/>
        <w:tblInd w:w="0" w:type="dxa"/>
        <w:tblLayout w:type="fixed"/>
        <w:tblCellMar>
          <w:top w:w="0" w:type="dxa"/>
          <w:left w:w="0" w:type="dxa"/>
          <w:bottom w:w="0" w:type="dxa"/>
          <w:right w:w="0" w:type="dxa"/>
        </w:tblCellMar>
      </w:tblPr>
      <w:tblGrid>
        <w:gridCol w:w="3140"/>
        <w:gridCol w:w="60"/>
        <w:gridCol w:w="60"/>
        <w:gridCol w:w="440"/>
        <w:gridCol w:w="230"/>
      </w:tblGrid>
      <w:tr>
        <w:trPr/>
        <w:tc>
          <w:tcPr>
            <w:tcW w:w="3140" w:type="dxa"/>
            <w:tcBorders/>
            <w:shd w:fill="CCEEFF" w:val="clear"/>
            <w:vAlign w:val="bottom"/>
          </w:tcPr>
          <w:p>
            <w:pPr>
              <w:pStyle w:val="TableContents"/>
              <w:bidi w:val="0"/>
              <w:spacing w:before="0" w:after="283"/>
              <w:jc w:val="left"/>
              <w:rPr>
                <w:sz w:val="24"/>
              </w:rPr>
            </w:pPr>
            <w:r>
              <w:rPr>
                <w:sz w:val="24"/>
              </w:rPr>
              <w:t>United States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4"/>
              </w:rPr>
            </w:pPr>
            <w:r>
              <w:rPr>
                <w:sz w:val="24"/>
              </w:rPr>
              <w:t>50.2</w:t>
            </w:r>
          </w:p>
        </w:tc>
        <w:tc>
          <w:tcPr>
            <w:tcW w:w="230" w:type="dxa"/>
            <w:tcBorders/>
            <w:shd w:fill="CCEEFF" w:val="clear"/>
            <w:vAlign w:val="bottom"/>
          </w:tcPr>
          <w:p>
            <w:pPr>
              <w:pStyle w:val="TableContents"/>
              <w:bidi w:val="0"/>
              <w:spacing w:before="0" w:after="283"/>
              <w:jc w:val="left"/>
              <w:rPr>
                <w:sz w:val="24"/>
              </w:rPr>
            </w:pPr>
            <w:r>
              <w:rPr>
                <w:sz w:val="24"/>
              </w:rPr>
              <w:t>%</w:t>
            </w:r>
          </w:p>
        </w:tc>
      </w:tr>
      <w:tr>
        <w:trPr/>
        <w:tc>
          <w:tcPr>
            <w:tcW w:w="3140" w:type="dxa"/>
            <w:tcBorders/>
            <w:vAlign w:val="bottom"/>
          </w:tcPr>
          <w:p>
            <w:pPr>
              <w:pStyle w:val="TableContents"/>
              <w:bidi w:val="0"/>
              <w:spacing w:before="0" w:after="283"/>
              <w:jc w:val="left"/>
              <w:rPr>
                <w:sz w:val="24"/>
              </w:rPr>
            </w:pPr>
            <w:r>
              <w:rPr>
                <w:sz w:val="24"/>
              </w:rPr>
              <w:t>People's Republic of China</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4"/>
              </w:rPr>
            </w:pPr>
            <w:r>
              <w:rPr>
                <w:sz w:val="24"/>
              </w:rPr>
              <w:t>10.7</w:t>
            </w:r>
          </w:p>
        </w:tc>
        <w:tc>
          <w:tcPr>
            <w:tcW w:w="230" w:type="dxa"/>
            <w:tcBorders/>
            <w:vAlign w:val="bottom"/>
          </w:tcPr>
          <w:p>
            <w:pPr>
              <w:pStyle w:val="TableContents"/>
              <w:bidi w:val="0"/>
              <w:spacing w:before="0" w:after="283"/>
              <w:jc w:val="left"/>
              <w:rPr>
                <w:sz w:val="24"/>
              </w:rPr>
            </w:pPr>
            <w:r>
              <w:rPr>
                <w:sz w:val="24"/>
              </w:rPr>
              <w:t>%</w:t>
            </w:r>
          </w:p>
        </w:tc>
      </w:tr>
      <w:tr>
        <w:trPr/>
        <w:tc>
          <w:tcPr>
            <w:tcW w:w="3140" w:type="dxa"/>
            <w:tcBorders/>
            <w:shd w:fill="CCEEFF" w:val="clear"/>
            <w:vAlign w:val="bottom"/>
          </w:tcPr>
          <w:p>
            <w:pPr>
              <w:pStyle w:val="TableContents"/>
              <w:bidi w:val="0"/>
              <w:spacing w:before="0" w:after="283"/>
              <w:jc w:val="left"/>
              <w:rPr>
                <w:sz w:val="24"/>
              </w:rPr>
            </w:pPr>
            <w:r>
              <w:rPr>
                <w:sz w:val="24"/>
              </w:rPr>
              <w:t>Israel</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10.6</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283"/>
              <w:jc w:val="left"/>
              <w:rPr>
                <w:sz w:val="24"/>
              </w:rPr>
            </w:pPr>
            <w:r>
              <w:rPr>
                <w:sz w:val="24"/>
              </w:rPr>
              <w:t>The Republic of China (Taiwan)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4"/>
              </w:rPr>
            </w:pPr>
            <w:r>
              <w:rPr>
                <w:sz w:val="24"/>
              </w:rPr>
              <w:t>9.2</w:t>
            </w:r>
          </w:p>
        </w:tc>
        <w:tc>
          <w:tcPr>
            <w:tcW w:w="230" w:type="dxa"/>
            <w:tcBorders/>
            <w:vAlign w:val="bottom"/>
          </w:tcPr>
          <w:p>
            <w:pPr>
              <w:pStyle w:val="TableContents"/>
              <w:bidi w:val="0"/>
              <w:spacing w:before="0" w:after="283"/>
              <w:jc w:val="left"/>
              <w:rPr>
                <w:sz w:val="24"/>
              </w:rPr>
            </w:pPr>
            <w:r>
              <w:rPr>
                <w:sz w:val="24"/>
              </w:rPr>
              <w:t>%</w:t>
            </w:r>
          </w:p>
        </w:tc>
      </w:tr>
      <w:tr>
        <w:trPr/>
        <w:tc>
          <w:tcPr>
            <w:tcW w:w="3140" w:type="dxa"/>
            <w:tcBorders/>
            <w:shd w:fill="CCEEFF" w:val="clear"/>
            <w:vAlign w:val="bottom"/>
          </w:tcPr>
          <w:p>
            <w:pPr>
              <w:pStyle w:val="TableContents"/>
              <w:bidi w:val="0"/>
              <w:spacing w:before="0" w:after="283"/>
              <w:jc w:val="left"/>
              <w:rPr>
                <w:sz w:val="24"/>
              </w:rPr>
            </w:pPr>
            <w:r>
              <w:rPr>
                <w:sz w:val="24"/>
              </w:rPr>
              <w:t>Germany</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4"/>
              </w:rPr>
            </w:pPr>
            <w:r>
              <w:rPr>
                <w:sz w:val="24"/>
              </w:rPr>
              <w:t>6.8</w:t>
            </w:r>
          </w:p>
        </w:tc>
        <w:tc>
          <w:tcPr>
            <w:tcW w:w="230" w:type="dxa"/>
            <w:tcBorders/>
            <w:shd w:fill="CCEEFF" w:val="clear"/>
            <w:vAlign w:val="bottom"/>
          </w:tcPr>
          <w:p>
            <w:pPr>
              <w:pStyle w:val="TableContents"/>
              <w:bidi w:val="0"/>
              <w:spacing w:before="0" w:after="283"/>
              <w:jc w:val="left"/>
              <w:rPr>
                <w:sz w:val="24"/>
              </w:rPr>
            </w:pPr>
            <w:r>
              <w:rPr>
                <w:sz w:val="24"/>
              </w:rPr>
              <w:t>%</w:t>
            </w:r>
          </w:p>
        </w:tc>
      </w:tr>
      <w:tr>
        <w:trPr/>
        <w:tc>
          <w:tcPr>
            <w:tcW w:w="3140" w:type="dxa"/>
            <w:tcBorders/>
            <w:vAlign w:val="bottom"/>
          </w:tcPr>
          <w:p>
            <w:pPr>
              <w:pStyle w:val="TableContents"/>
              <w:bidi w:val="0"/>
              <w:spacing w:before="0" w:after="283"/>
              <w:jc w:val="left"/>
              <w:rPr>
                <w:sz w:val="24"/>
              </w:rPr>
            </w:pPr>
            <w:r>
              <w:rPr>
                <w:sz w:val="24"/>
              </w:rPr>
              <w:t>Singapore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6.3</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Asia</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3.8</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Europe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w:t>
            </w:r>
          </w:p>
        </w:tc>
        <w:tc>
          <w:tcPr>
            <w:tcW w:w="23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31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w:t>
            </w:r>
          </w:p>
        </w:tc>
        <w:tc>
          <w:tcPr>
            <w:tcW w:w="23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Certain of the Company's non-U.S. subsidiaries have cash and cash equivalents and short-term investments deposited in U.S. financial institutions.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Vishay has been in operation in Israel for 53 years. The Company has never experienced any material interruption in its operations attributable to these factors, in spite of several Middle East crises, including wars. </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F-43</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15 – Segment and Geographic Data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is a global manufacturer and supplier of electronic components.  Vishay operates, and its chief operating decision maker makes strategic and operating decisions with regards to assessing performance and allocating resources based on, six reporting segments: MOSFETs, Diodes, Optoelectronic Components, Resistors, Inductors, and Capacitors.  These segments represent groupings of product lines based on their functionality:</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shd w:fill="CCEEFF" w:val="clear"/>
            <w:vAlign w:val="center"/>
          </w:tcPr>
          <w:p>
            <w:pPr>
              <w:pStyle w:val="TableContents"/>
              <w:bidi w:val="0"/>
              <w:spacing w:before="0" w:after="0"/>
              <w:jc w:val="both"/>
              <w:rPr/>
            </w:pPr>
            <w:r>
              <w:rPr/>
              <w:t>●</w:t>
            </w:r>
          </w:p>
        </w:tc>
        <w:tc>
          <w:tcPr>
            <w:tcW w:w="60" w:type="dxa"/>
            <w:tcBorders/>
            <w:shd w:fill="CCEEFF" w:val="clear"/>
            <w:vAlign w:val="center"/>
          </w:tcPr>
          <w:p>
            <w:pPr>
              <w:pStyle w:val="TableContents"/>
              <w:bidi w:val="0"/>
              <w:spacing w:before="0" w:after="283"/>
              <w:jc w:val="left"/>
              <w:rPr/>
            </w:pPr>
            <w:r>
              <w:rPr/>
              <w:t> </w:t>
            </w:r>
          </w:p>
        </w:tc>
        <w:tc>
          <w:tcPr>
            <w:tcW w:w="9960"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Metal oxide semiconductor field effect transistors ("MOSFETs") function as solid state switches to control power.</w:t>
            </w:r>
          </w:p>
        </w:tc>
      </w:tr>
      <w:tr>
        <w:trPr/>
        <w:tc>
          <w:tcPr>
            <w:tcW w:w="185" w:type="dxa"/>
            <w:tcBorders/>
            <w:shd w:fill="FFFFFF" w:val="clear"/>
            <w:vAlign w:val="center"/>
          </w:tcPr>
          <w:p>
            <w:pPr>
              <w:pStyle w:val="TableContents"/>
              <w:bidi w:val="0"/>
              <w:spacing w:before="0" w:after="0"/>
              <w:jc w:val="both"/>
              <w:rPr/>
            </w:pPr>
            <w:r>
              <w:rPr/>
              <w:t>●</w:t>
            </w:r>
          </w:p>
        </w:tc>
        <w:tc>
          <w:tcPr>
            <w:tcW w:w="60" w:type="dxa"/>
            <w:tcBorders/>
            <w:shd w:fill="FFFFFF" w:val="clear"/>
            <w:vAlign w:val="center"/>
          </w:tcPr>
          <w:p>
            <w:pPr>
              <w:pStyle w:val="TableContents"/>
              <w:bidi w:val="0"/>
              <w:spacing w:before="0" w:after="0"/>
              <w:jc w:val="left"/>
              <w:rPr/>
            </w:pPr>
            <w:r>
              <w:rPr/>
              <w:t> </w:t>
            </w:r>
          </w:p>
        </w:tc>
        <w:tc>
          <w:tcPr>
            <w:tcW w:w="9960" w:type="dxa"/>
            <w:tcBorders/>
            <w:shd w:fill="FFFFFF" w:val="clear"/>
            <w:vAlign w:val="center"/>
          </w:tcPr>
          <w:p>
            <w:pPr>
              <w:pStyle w:val="TableContents"/>
              <w:bidi w:val="0"/>
              <w:spacing w:before="0" w:after="0"/>
              <w:jc w:val="both"/>
              <w:rPr>
                <w:rFonts w:ascii="Times New Roman" w:hAnsi="Times New Roman"/>
                <w:sz w:val="24"/>
              </w:rPr>
            </w:pPr>
            <w:r>
              <w:rPr>
                <w:rFonts w:ascii="Times New Roman" w:hAnsi="Times New Roman"/>
                <w:sz w:val="24"/>
              </w:rPr>
              <w:t>Diodes route, regulate, and block radio frequency, analog, and power signals; protect systems from surges or electrostatic discharge damage; or provide electromagnetic interference filtering.</w:t>
            </w:r>
          </w:p>
        </w:tc>
      </w:tr>
      <w:tr>
        <w:trPr/>
        <w:tc>
          <w:tcPr>
            <w:tcW w:w="185" w:type="dxa"/>
            <w:tcBorders/>
            <w:shd w:fill="CCEEFF" w:val="clear"/>
            <w:vAlign w:val="center"/>
          </w:tcPr>
          <w:p>
            <w:pPr>
              <w:pStyle w:val="TableContents"/>
              <w:bidi w:val="0"/>
              <w:spacing w:before="0" w:after="0"/>
              <w:jc w:val="both"/>
              <w:rPr/>
            </w:pPr>
            <w:r>
              <w:rPr/>
              <w:t>●</w:t>
            </w:r>
          </w:p>
        </w:tc>
        <w:tc>
          <w:tcPr>
            <w:tcW w:w="60" w:type="dxa"/>
            <w:tcBorders/>
            <w:shd w:fill="CCEEFF" w:val="clear"/>
            <w:vAlign w:val="center"/>
          </w:tcPr>
          <w:p>
            <w:pPr>
              <w:pStyle w:val="TableContents"/>
              <w:bidi w:val="0"/>
              <w:spacing w:before="0" w:after="283"/>
              <w:jc w:val="left"/>
              <w:rPr/>
            </w:pPr>
            <w:r>
              <w:rPr/>
              <w:t> </w:t>
            </w:r>
          </w:p>
        </w:tc>
        <w:tc>
          <w:tcPr>
            <w:tcW w:w="9960"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Optoelectronic components emit light, detect light, or do both.</w:t>
            </w:r>
          </w:p>
        </w:tc>
      </w:tr>
      <w:tr>
        <w:trPr/>
        <w:tc>
          <w:tcPr>
            <w:tcW w:w="185" w:type="dxa"/>
            <w:tcBorders/>
            <w:shd w:fill="FFFFFF" w:val="clear"/>
            <w:vAlign w:val="center"/>
          </w:tcPr>
          <w:p>
            <w:pPr>
              <w:pStyle w:val="TableContents"/>
              <w:bidi w:val="0"/>
              <w:spacing w:before="0" w:after="0"/>
              <w:jc w:val="both"/>
              <w:rPr/>
            </w:pPr>
            <w:r>
              <w:rPr/>
              <w:t>●</w:t>
            </w:r>
          </w:p>
        </w:tc>
        <w:tc>
          <w:tcPr>
            <w:tcW w:w="60" w:type="dxa"/>
            <w:tcBorders/>
            <w:shd w:fill="FFFFFF" w:val="clear"/>
            <w:vAlign w:val="center"/>
          </w:tcPr>
          <w:p>
            <w:pPr>
              <w:pStyle w:val="TableContents"/>
              <w:bidi w:val="0"/>
              <w:spacing w:before="0" w:after="0"/>
              <w:jc w:val="left"/>
              <w:rPr/>
            </w:pPr>
            <w:r>
              <w:rPr/>
              <w:t> </w:t>
            </w:r>
          </w:p>
        </w:tc>
        <w:tc>
          <w:tcPr>
            <w:tcW w:w="9960" w:type="dxa"/>
            <w:tcBorders/>
            <w:shd w:fill="FFFFFF" w:val="clear"/>
            <w:vAlign w:val="center"/>
          </w:tcPr>
          <w:p>
            <w:pPr>
              <w:pStyle w:val="TableContents"/>
              <w:bidi w:val="0"/>
              <w:spacing w:before="0" w:after="0"/>
              <w:jc w:val="both"/>
              <w:rPr>
                <w:rFonts w:ascii="Times New Roman" w:hAnsi="Times New Roman"/>
                <w:sz w:val="24"/>
              </w:rPr>
            </w:pPr>
            <w:r>
              <w:rPr>
                <w:rFonts w:ascii="Times New Roman" w:hAnsi="Times New Roman"/>
                <w:sz w:val="24"/>
              </w:rPr>
              <w:t>Resistors are basic components used in all forms of electronic circuitry to adjust and regulate levels of voltage and current. </w:t>
            </w:r>
          </w:p>
        </w:tc>
      </w:tr>
      <w:tr>
        <w:trPr/>
        <w:tc>
          <w:tcPr>
            <w:tcW w:w="185" w:type="dxa"/>
            <w:tcBorders/>
            <w:shd w:fill="CCEEFF" w:val="clear"/>
            <w:vAlign w:val="center"/>
          </w:tcPr>
          <w:p>
            <w:pPr>
              <w:pStyle w:val="TableContents"/>
              <w:bidi w:val="0"/>
              <w:spacing w:before="0" w:after="0"/>
              <w:jc w:val="both"/>
              <w:rPr/>
            </w:pPr>
            <w:r>
              <w:rPr/>
              <w:t>●</w:t>
            </w:r>
          </w:p>
        </w:tc>
        <w:tc>
          <w:tcPr>
            <w:tcW w:w="60" w:type="dxa"/>
            <w:tcBorders/>
            <w:shd w:fill="CCEEFF" w:val="clear"/>
            <w:vAlign w:val="center"/>
          </w:tcPr>
          <w:p>
            <w:pPr>
              <w:pStyle w:val="TableContents"/>
              <w:bidi w:val="0"/>
              <w:spacing w:before="0" w:after="283"/>
              <w:jc w:val="left"/>
              <w:rPr/>
            </w:pPr>
            <w:r>
              <w:rPr/>
              <w:t> </w:t>
            </w:r>
          </w:p>
        </w:tc>
        <w:tc>
          <w:tcPr>
            <w:tcW w:w="9960"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Inductors use an internal magnetic field to change alternating current phase and resist alternating current.</w:t>
            </w:r>
          </w:p>
        </w:tc>
      </w:tr>
      <w:tr>
        <w:trPr/>
        <w:tc>
          <w:tcPr>
            <w:tcW w:w="185" w:type="dxa"/>
            <w:tcBorders/>
            <w:shd w:fill="FFFFFF" w:val="clear"/>
            <w:vAlign w:val="center"/>
          </w:tcPr>
          <w:p>
            <w:pPr>
              <w:pStyle w:val="TableContents"/>
              <w:bidi w:val="0"/>
              <w:spacing w:before="0" w:after="0"/>
              <w:jc w:val="both"/>
              <w:rPr/>
            </w:pPr>
            <w:r>
              <w:rPr/>
              <w:t>●</w:t>
            </w:r>
          </w:p>
        </w:tc>
        <w:tc>
          <w:tcPr>
            <w:tcW w:w="6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0"/>
              <w:jc w:val="both"/>
              <w:rPr>
                <w:rFonts w:ascii="Times New Roman" w:hAnsi="Times New Roman"/>
                <w:sz w:val="24"/>
              </w:rPr>
            </w:pPr>
            <w:r>
              <w:rPr>
                <w:rFonts w:ascii="Times New Roman" w:hAnsi="Times New Roman"/>
                <w:sz w:val="24"/>
              </w:rPr>
              <w:t>Capacitors store energy and discharge it when needed.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Vishay's reporting segments generate substantially all of their revenue from product sales to the industrial, automotive, telecommunications, computing, consumer products, power supplies, military and aerospace, and medical end markets.  An immaterial portion of revenues are from royalties.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The Company’s chief operating decision maker uses operating income, exclusive of certain items ("segment operating income") to make decisions, allocate resources, and assess performance, and the Company thus considers segment operating income to be its measure of segment profit or loss.  Only dedicated, direct selling, general, and administrative expenses of the segments are included in the calculation of segment operating income.  The Company's calculation of segment operating income excludes selling, general, and administrative costs of its global operations, sales and marketing, information systems, finance, and administration groups, as well as restructuring and severance costs, the direct impact of the COVID-19 pandemic, and other items affecting comparability.  Management believes that evaluating segment performance excluding such items is meaningful because it provides insight with respect to intrinsic operating results of the Company.  These items represent reconciling items between segment operating income and consolidated operating income.  Business segment assets are the owned or allocated assets used by each business. </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F-44</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15 – Segment and Geographic Data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tables set forth business segment information:</w:t>
      </w:r>
    </w:p>
    <w:p>
      <w:pPr>
        <w:pStyle w:val="TextBody"/>
        <w:bidi w:val="0"/>
        <w:spacing w:before="0" w:after="0"/>
        <w:jc w:val="left"/>
        <w:rPr>
          <w:rFonts w:ascii="Times New Roman" w:hAnsi="Times New Roman"/>
          <w:sz w:val="20"/>
        </w:rPr>
      </w:pPr>
      <w:r>
        <w:rPr>
          <w:rFonts w:ascii="Times New Roman" w:hAnsi="Times New Roman"/>
          <w:sz w:val="20"/>
        </w:rPr>
      </w:r>
    </w:p>
    <w:tbl>
      <w:tblPr>
        <w:tblW w:w="10910" w:type="dxa"/>
        <w:jc w:val="left"/>
        <w:tblInd w:w="0" w:type="dxa"/>
        <w:tblLayout w:type="fixed"/>
        <w:tblCellMar>
          <w:top w:w="0" w:type="dxa"/>
          <w:left w:w="0" w:type="dxa"/>
          <w:bottom w:w="0" w:type="dxa"/>
          <w:right w:w="0" w:type="dxa"/>
        </w:tblCellMar>
      </w:tblPr>
      <w:tblGrid>
        <w:gridCol w:w="1055"/>
        <w:gridCol w:w="60"/>
        <w:gridCol w:w="168"/>
        <w:gridCol w:w="962"/>
        <w:gridCol w:w="60"/>
        <w:gridCol w:w="60"/>
        <w:gridCol w:w="140"/>
        <w:gridCol w:w="800"/>
        <w:gridCol w:w="60"/>
        <w:gridCol w:w="60"/>
        <w:gridCol w:w="224"/>
        <w:gridCol w:w="1281"/>
        <w:gridCol w:w="60"/>
        <w:gridCol w:w="60"/>
        <w:gridCol w:w="140"/>
        <w:gridCol w:w="800"/>
        <w:gridCol w:w="60"/>
        <w:gridCol w:w="60"/>
        <w:gridCol w:w="150"/>
        <w:gridCol w:w="860"/>
        <w:gridCol w:w="60"/>
        <w:gridCol w:w="60"/>
        <w:gridCol w:w="168"/>
        <w:gridCol w:w="962"/>
        <w:gridCol w:w="60"/>
        <w:gridCol w:w="60"/>
        <w:gridCol w:w="161"/>
        <w:gridCol w:w="924"/>
        <w:gridCol w:w="95"/>
        <w:gridCol w:w="60"/>
        <w:gridCol w:w="140"/>
        <w:gridCol w:w="980"/>
        <w:gridCol w:w="60"/>
      </w:tblGrid>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MOSFETs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Diodes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Optoelectronic</w:t>
            </w:r>
          </w:p>
          <w:p>
            <w:pPr>
              <w:pStyle w:val="TableContents"/>
              <w:bidi w:val="0"/>
              <w:spacing w:before="0" w:after="0"/>
              <w:jc w:val="center"/>
              <w:rPr>
                <w:rFonts w:ascii="Times New Roman" w:hAnsi="Times New Roman"/>
                <w:b/>
                <w:sz w:val="24"/>
              </w:rPr>
            </w:pPr>
            <w:r>
              <w:rPr>
                <w:rFonts w:ascii="Times New Roman" w:hAnsi="Times New Roman"/>
                <w:b/>
                <w:sz w:val="24"/>
              </w:rPr>
              <w:t>Components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Resistors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Inductors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Capacitors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Corporate /</w:t>
            </w:r>
          </w:p>
          <w:p>
            <w:pPr>
              <w:pStyle w:val="TableContents"/>
              <w:bidi w:val="0"/>
              <w:spacing w:before="0" w:after="0"/>
              <w:jc w:val="center"/>
              <w:rPr>
                <w:rFonts w:ascii="Times New Roman" w:hAnsi="Times New Roman"/>
                <w:b/>
                <w:sz w:val="24"/>
              </w:rPr>
            </w:pPr>
            <w:r>
              <w:rPr>
                <w:rFonts w:ascii="Times New Roman" w:hAnsi="Times New Roman"/>
                <w:b/>
                <w:sz w:val="24"/>
              </w:rPr>
              <w:t>Other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Total</w:t>
            </w:r>
          </w:p>
        </w:tc>
        <w:tc>
          <w:tcPr>
            <w:tcW w:w="6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u w:val="single"/>
              </w:rPr>
            </w:pPr>
            <w:r>
              <w:rPr>
                <w:rFonts w:ascii="Times New Roman" w:hAnsi="Times New Roman"/>
                <w:sz w:val="24"/>
                <w:u w:val="single"/>
              </w:rPr>
              <w:t>Year ended December 31, 2023:</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6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778,754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690,540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8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243,146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843,472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347,392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6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498,741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2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Segment Operating Income</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195,793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153,462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42,963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209,425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99,684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104,985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806,312</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Depreciation expense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35,965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44,904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39,781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8,079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174,457</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Capital expenditures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132,543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62,185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67,085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10,767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21,914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11,688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329,410</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0"/>
              <w:jc w:val="left"/>
              <w:rPr>
                <w:rFonts w:ascii="Times New Roman" w:hAnsi="Times New Roman"/>
                <w:sz w:val="24"/>
              </w:rPr>
            </w:pPr>
            <w:r>
              <w:rPr>
                <w:rFonts w:ascii="Times New Roman" w:hAnsi="Times New Roman"/>
                <w:sz w:val="24"/>
              </w:rPr>
              <w:t>Total Assets as of December 31, 2023:</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702,299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852,703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281"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352,984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946,585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6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365,111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6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459,653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24"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560,588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4,239,923</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u w:val="single"/>
              </w:rPr>
            </w:pPr>
            <w:r>
              <w:rPr>
                <w:rFonts w:ascii="Times New Roman" w:hAnsi="Times New Roman"/>
                <w:sz w:val="24"/>
                <w:u w:val="single"/>
              </w:rPr>
              <w:t>Year ended December 31, 2022:</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762,260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765,220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8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296,384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832,806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331,086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509,645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2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Segment Operating Income</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228,692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176,422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85,456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235,259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93,453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104,810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(6,661</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917,431</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Depreciation expense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40,014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7,118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155,864</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Capital expenditures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90,297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69,126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27,776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76,702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35,102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15,214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11,091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325,308</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0"/>
              <w:jc w:val="left"/>
              <w:rPr>
                <w:rFonts w:ascii="Times New Roman" w:hAnsi="Times New Roman"/>
                <w:sz w:val="24"/>
              </w:rPr>
            </w:pPr>
            <w:r>
              <w:rPr>
                <w:rFonts w:ascii="Times New Roman" w:hAnsi="Times New Roman"/>
                <w:sz w:val="24"/>
              </w:rPr>
              <w:t>Total Assets as of December 31, 2022:</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672,048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814,017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385,388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861,870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322,893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496,924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312,513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3,865,653</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u w:val="single"/>
              </w:rPr>
            </w:pPr>
            <w:r>
              <w:rPr>
                <w:rFonts w:ascii="Times New Roman" w:hAnsi="Times New Roman"/>
                <w:sz w:val="24"/>
                <w:u w:val="single"/>
              </w:rPr>
              <w:t>Year ended December 31, 2021:</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Net revenues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667,998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709,416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8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302,714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752,554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335,638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472,167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2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Segment Operating Income</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148,652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145,814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82,378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190,953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97,482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85,342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750,621</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Depreciation expense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30,257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40,406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34,344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17,129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8,078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159,247</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Capital expenditures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44,227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45,772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57,729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24,377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13,099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8,100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218,372</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80" w:right="0" w:hanging="0"/>
              <w:jc w:val="left"/>
              <w:rPr>
                <w:rFonts w:ascii="Times New Roman" w:hAnsi="Times New Roman"/>
                <w:sz w:val="24"/>
              </w:rPr>
            </w:pPr>
            <w:r>
              <w:rPr>
                <w:rFonts w:ascii="Times New Roman" w:hAnsi="Times New Roman"/>
                <w:sz w:val="24"/>
              </w:rPr>
              <w:t>Total Assets as of December 31, 2021:</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503,937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815,751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281"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377,815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783,390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6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355,353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6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496,129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2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210,882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3,543,257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________________</w:t>
      </w:r>
    </w:p>
    <w:p>
      <w:pPr>
        <w:pStyle w:val="TextBody"/>
        <w:bidi w:val="0"/>
        <w:spacing w:before="0" w:after="0"/>
        <w:jc w:val="left"/>
        <w:rPr>
          <w:rFonts w:ascii="Times New Roman" w:hAnsi="Times New Roman"/>
          <w:sz w:val="24"/>
        </w:rPr>
      </w:pPr>
      <w:r>
        <w:rPr>
          <w:rFonts w:ascii="Times New Roman" w:hAnsi="Times New Roman"/>
          <w:sz w:val="24"/>
        </w:rPr>
      </w:r>
    </w:p>
    <w:tbl>
      <w:tblPr>
        <w:tblW w:w="10205" w:type="dxa"/>
        <w:jc w:val="left"/>
        <w:tblInd w:w="0" w:type="dxa"/>
        <w:tblLayout w:type="fixed"/>
        <w:tblCellMar>
          <w:top w:w="0" w:type="dxa"/>
          <w:left w:w="0" w:type="dxa"/>
          <w:bottom w:w="0" w:type="dxa"/>
          <w:right w:w="0" w:type="dxa"/>
        </w:tblCellMar>
      </w:tblPr>
      <w:tblGrid>
        <w:gridCol w:w="6680"/>
        <w:gridCol w:w="60"/>
        <w:gridCol w:w="140"/>
        <w:gridCol w:w="875"/>
        <w:gridCol w:w="95"/>
        <w:gridCol w:w="60"/>
        <w:gridCol w:w="140"/>
        <w:gridCol w:w="875"/>
        <w:gridCol w:w="95"/>
        <w:gridCol w:w="60"/>
        <w:gridCol w:w="140"/>
        <w:gridCol w:w="875"/>
        <w:gridCol w:w="110"/>
      </w:tblGrid>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5"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Reconciliation:</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Segment Operating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806,312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917,431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750,621</w:t>
            </w:r>
          </w:p>
        </w:tc>
        <w:tc>
          <w:tcPr>
            <w:tcW w:w="11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Impact of COVID-19 Pandemic on Selling, General, and Administrative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(546</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Unallocated Selling,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(320,168</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(301,399</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(282,819</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Consolidated Operating Income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486,144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615,486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467,802</w:t>
            </w:r>
          </w:p>
        </w:tc>
        <w:tc>
          <w:tcPr>
            <w:tcW w:w="11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Unallocated Other Income (Expense)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(18,742</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(21,981</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(33,192</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68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Consolidated Income Before Taxes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467,402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593,505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434,610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has a broad line of products that it sells to OEMs, EMS companies, and independent distributors.  The distribution of sales by customer type is shown below:</w:t>
      </w:r>
    </w:p>
    <w:p>
      <w:pPr>
        <w:pStyle w:val="TextBody"/>
        <w:bidi w:val="0"/>
        <w:spacing w:before="0" w:after="0"/>
        <w:jc w:val="left"/>
        <w:rPr>
          <w:rFonts w:ascii="Times New Roman" w:hAnsi="Times New Roman"/>
          <w:sz w:val="20"/>
        </w:rPr>
      </w:pPr>
      <w:r>
        <w:rPr>
          <w:rFonts w:ascii="Times New Roman" w:hAnsi="Times New Roman"/>
          <w:sz w:val="20"/>
        </w:rPr>
      </w:r>
    </w:p>
    <w:tbl>
      <w:tblPr>
        <w:tblW w:w="5330" w:type="dxa"/>
        <w:jc w:val="left"/>
        <w:tblInd w:w="0" w:type="dxa"/>
        <w:tblLayout w:type="fixed"/>
        <w:tblCellMar>
          <w:top w:w="0" w:type="dxa"/>
          <w:left w:w="0" w:type="dxa"/>
          <w:bottom w:w="0" w:type="dxa"/>
          <w:right w:w="0" w:type="dxa"/>
        </w:tblCellMar>
      </w:tblPr>
      <w:tblGrid>
        <w:gridCol w:w="1595"/>
        <w:gridCol w:w="60"/>
        <w:gridCol w:w="140"/>
        <w:gridCol w:w="980"/>
        <w:gridCol w:w="60"/>
        <w:gridCol w:w="60"/>
        <w:gridCol w:w="140"/>
        <w:gridCol w:w="980"/>
        <w:gridCol w:w="60"/>
        <w:gridCol w:w="60"/>
        <w:gridCol w:w="140"/>
        <w:gridCol w:w="980"/>
        <w:gridCol w:w="75"/>
      </w:tblGrid>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Distributors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1,798,291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2,019,842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1,902,499</w:t>
            </w:r>
          </w:p>
        </w:tc>
        <w:tc>
          <w:tcPr>
            <w:tcW w:w="75"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OEMs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1,378,065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1,229,114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1,138,569</w:t>
            </w:r>
          </w:p>
        </w:tc>
        <w:tc>
          <w:tcPr>
            <w:tcW w:w="75"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EMS companies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225,689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248,445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199,419</w:t>
            </w:r>
          </w:p>
        </w:tc>
        <w:tc>
          <w:tcPr>
            <w:tcW w:w="75"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75"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F-45</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15 – Segment and Geographic Data (continued)</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Net revenues were attributable to customers in the following regions:</w:t>
      </w:r>
    </w:p>
    <w:p>
      <w:pPr>
        <w:pStyle w:val="TextBody"/>
        <w:bidi w:val="0"/>
        <w:spacing w:before="0" w:after="0"/>
        <w:jc w:val="left"/>
        <w:rPr>
          <w:rFonts w:ascii="Times New Roman" w:hAnsi="Times New Roman"/>
          <w:sz w:val="20"/>
        </w:rPr>
      </w:pPr>
      <w:r>
        <w:rPr>
          <w:rFonts w:ascii="Times New Roman" w:hAnsi="Times New Roman"/>
          <w:sz w:val="20"/>
        </w:rPr>
      </w:r>
    </w:p>
    <w:tbl>
      <w:tblPr>
        <w:tblW w:w="4670" w:type="dxa"/>
        <w:jc w:val="left"/>
        <w:tblInd w:w="0" w:type="dxa"/>
        <w:tblLayout w:type="fixed"/>
        <w:tblCellMar>
          <w:top w:w="0" w:type="dxa"/>
          <w:left w:w="0" w:type="dxa"/>
          <w:bottom w:w="0" w:type="dxa"/>
          <w:right w:w="0" w:type="dxa"/>
        </w:tblCellMar>
      </w:tblPr>
      <w:tblGrid>
        <w:gridCol w:w="935"/>
        <w:gridCol w:w="60"/>
        <w:gridCol w:w="140"/>
        <w:gridCol w:w="980"/>
        <w:gridCol w:w="60"/>
        <w:gridCol w:w="60"/>
        <w:gridCol w:w="140"/>
        <w:gridCol w:w="980"/>
        <w:gridCol w:w="60"/>
        <w:gridCol w:w="60"/>
        <w:gridCol w:w="140"/>
        <w:gridCol w:w="980"/>
        <w:gridCol w:w="75"/>
      </w:tblGrid>
      <w:tr>
        <w:trPr/>
        <w:tc>
          <w:tcPr>
            <w:tcW w:w="9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Asia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1,255,563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1,347,893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1,392,267</w:t>
            </w:r>
          </w:p>
        </w:tc>
        <w:tc>
          <w:tcPr>
            <w:tcW w:w="75"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Europe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1,255,652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1,146,898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1,072,025</w:t>
            </w:r>
          </w:p>
        </w:tc>
        <w:tc>
          <w:tcPr>
            <w:tcW w:w="75"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Americas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890,830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1,002,610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776,195</w:t>
            </w:r>
          </w:p>
        </w:tc>
        <w:tc>
          <w:tcPr>
            <w:tcW w:w="75"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generates substantially all of its revenue from product sales to end customers in the industrial, automotive, military and aerospace, medical, power supplies, telecommunications, consumer products, and computing end markets.  Sales by end market are presented below:</w:t>
      </w:r>
    </w:p>
    <w:p>
      <w:pPr>
        <w:pStyle w:val="TextBody"/>
        <w:bidi w:val="0"/>
        <w:spacing w:before="0" w:after="0"/>
        <w:jc w:val="left"/>
        <w:rPr>
          <w:rFonts w:ascii="Times New Roman" w:hAnsi="Times New Roman"/>
          <w:sz w:val="20"/>
        </w:rPr>
      </w:pPr>
      <w:r>
        <w:rPr>
          <w:rFonts w:ascii="Times New Roman" w:hAnsi="Times New Roman"/>
          <w:sz w:val="20"/>
        </w:rPr>
      </w:r>
    </w:p>
    <w:tbl>
      <w:tblPr>
        <w:tblW w:w="5990" w:type="dxa"/>
        <w:jc w:val="left"/>
        <w:tblInd w:w="0" w:type="dxa"/>
        <w:tblLayout w:type="fixed"/>
        <w:tblCellMar>
          <w:top w:w="0" w:type="dxa"/>
          <w:left w:w="0" w:type="dxa"/>
          <w:bottom w:w="0" w:type="dxa"/>
          <w:right w:w="0" w:type="dxa"/>
        </w:tblCellMar>
      </w:tblPr>
      <w:tblGrid>
        <w:gridCol w:w="2255"/>
        <w:gridCol w:w="60"/>
        <w:gridCol w:w="140"/>
        <w:gridCol w:w="980"/>
        <w:gridCol w:w="60"/>
        <w:gridCol w:w="60"/>
        <w:gridCol w:w="140"/>
        <w:gridCol w:w="980"/>
        <w:gridCol w:w="60"/>
        <w:gridCol w:w="60"/>
        <w:gridCol w:w="140"/>
        <w:gridCol w:w="980"/>
        <w:gridCol w:w="75"/>
      </w:tblGrid>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Industrial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1,216,078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1,377,043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1,269,150</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Automotive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1,202,923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1,067,499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994,039</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sz w:val="24"/>
              </w:rPr>
            </w:pPr>
            <w:r>
              <w:rPr>
                <w:sz w:val="24"/>
              </w:rPr>
              <w:t>Military and Aerospace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sz w:val="24"/>
              </w:rPr>
            </w:pPr>
            <w:r>
              <w:rPr>
                <w:b/>
                <w:sz w:val="24"/>
              </w:rPr>
              <w:t>271,871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sz w:val="24"/>
              </w:rPr>
            </w:pPr>
            <w:r>
              <w:rPr>
                <w:sz w:val="24"/>
              </w:rPr>
              <w:t>215,078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sz w:val="24"/>
              </w:rPr>
            </w:pPr>
            <w:r>
              <w:rPr>
                <w:sz w:val="24"/>
              </w:rPr>
              <w:t>170,484</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Medical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152,611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133,808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130,126</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sz w:val="24"/>
              </w:rPr>
            </w:pPr>
            <w:r>
              <w:rPr>
                <w:sz w:val="24"/>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b/>
                <w:sz w:val="24"/>
              </w:rPr>
            </w:pPr>
            <w:r>
              <w:rPr>
                <w:b/>
                <w:sz w:val="24"/>
              </w:rPr>
              <w:t>558,562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sz w:val="24"/>
              </w:rPr>
            </w:pPr>
            <w:r>
              <w:rPr>
                <w:sz w:val="24"/>
              </w:rPr>
              <w:t>703,973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sz w:val="24"/>
              </w:rPr>
            </w:pPr>
            <w:r>
              <w:rPr>
                <w:sz w:val="24"/>
              </w:rPr>
              <w:t>676,688</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*Power supplies, telecommunications, consumer products, and computing</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summarizes net revenues based on revenues generated by subsidiaries located within the identified geographic area:</w:t>
      </w:r>
    </w:p>
    <w:p>
      <w:pPr>
        <w:pStyle w:val="TextBody"/>
        <w:bidi w:val="0"/>
        <w:spacing w:before="0" w:after="0"/>
        <w:jc w:val="left"/>
        <w:rPr>
          <w:rFonts w:ascii="Times New Roman" w:hAnsi="Times New Roman"/>
          <w:sz w:val="20"/>
        </w:rPr>
      </w:pPr>
      <w:r>
        <w:rPr>
          <w:rFonts w:ascii="Times New Roman" w:hAnsi="Times New Roman"/>
          <w:sz w:val="20"/>
        </w:rPr>
      </w:r>
    </w:p>
    <w:tbl>
      <w:tblPr>
        <w:tblW w:w="5060" w:type="dxa"/>
        <w:jc w:val="left"/>
        <w:tblInd w:w="0" w:type="dxa"/>
        <w:tblLayout w:type="fixed"/>
        <w:tblCellMar>
          <w:top w:w="0" w:type="dxa"/>
          <w:left w:w="0" w:type="dxa"/>
          <w:bottom w:w="0" w:type="dxa"/>
          <w:right w:w="0" w:type="dxa"/>
        </w:tblCellMar>
      </w:tblPr>
      <w:tblGrid>
        <w:gridCol w:w="1325"/>
        <w:gridCol w:w="60"/>
        <w:gridCol w:w="140"/>
        <w:gridCol w:w="980"/>
        <w:gridCol w:w="60"/>
        <w:gridCol w:w="60"/>
        <w:gridCol w:w="140"/>
        <w:gridCol w:w="980"/>
        <w:gridCol w:w="60"/>
        <w:gridCol w:w="60"/>
        <w:gridCol w:w="140"/>
        <w:gridCol w:w="980"/>
        <w:gridCol w:w="75"/>
      </w:tblGrid>
      <w:tr>
        <w:trPr/>
        <w:tc>
          <w:tcPr>
            <w:tcW w:w="13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3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United States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879,734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974,503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750,862</w:t>
            </w:r>
          </w:p>
        </w:tc>
        <w:tc>
          <w:tcPr>
            <w:tcW w:w="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Germany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1,076,812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1,005,796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976,907</w:t>
            </w:r>
          </w:p>
        </w:tc>
        <w:tc>
          <w:tcPr>
            <w:tcW w:w="75" w:type="dxa"/>
            <w:tcBorders/>
            <w:vAlign w:val="bottom"/>
          </w:tcPr>
          <w:p>
            <w:pPr>
              <w:pStyle w:val="TableContents"/>
              <w:bidi w:val="0"/>
              <w:spacing w:before="0" w:after="283"/>
              <w:jc w:val="left"/>
              <w:rPr/>
            </w:pPr>
            <w:r>
              <w:rPr/>
              <w:t> </w:t>
            </w:r>
          </w:p>
        </w:tc>
      </w:tr>
      <w:tr>
        <w:trPr/>
        <w:tc>
          <w:tcPr>
            <w:tcW w:w="13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Europe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151,160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142,454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134,773</w:t>
            </w:r>
          </w:p>
        </w:tc>
        <w:tc>
          <w:tcPr>
            <w:tcW w:w="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Israel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29,560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25,844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20,362</w:t>
            </w:r>
          </w:p>
        </w:tc>
        <w:tc>
          <w:tcPr>
            <w:tcW w:w="75" w:type="dxa"/>
            <w:tcBorders/>
            <w:vAlign w:val="bottom"/>
          </w:tcPr>
          <w:p>
            <w:pPr>
              <w:pStyle w:val="TableContents"/>
              <w:bidi w:val="0"/>
              <w:spacing w:before="0" w:after="283"/>
              <w:jc w:val="left"/>
              <w:rPr/>
            </w:pPr>
            <w:r>
              <w:rPr/>
              <w:t> </w:t>
            </w:r>
          </w:p>
        </w:tc>
      </w:tr>
      <w:tr>
        <w:trPr/>
        <w:tc>
          <w:tcPr>
            <w:tcW w:w="132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Asia</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1,264,779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1,348,804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1,357,583</w:t>
            </w:r>
          </w:p>
        </w:tc>
        <w:tc>
          <w:tcPr>
            <w:tcW w:w="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3,402,045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3,497,401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3,240,487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summarizes property and equipment based on physical location:</w:t>
      </w:r>
    </w:p>
    <w:p>
      <w:pPr>
        <w:pStyle w:val="TextBody"/>
        <w:bidi w:val="0"/>
        <w:spacing w:before="0" w:after="0"/>
        <w:jc w:val="left"/>
        <w:rPr>
          <w:rFonts w:ascii="Times New Roman" w:hAnsi="Times New Roman"/>
          <w:sz w:val="20"/>
        </w:rPr>
      </w:pPr>
      <w:r>
        <w:rPr>
          <w:rFonts w:ascii="Times New Roman" w:hAnsi="Times New Roman"/>
          <w:sz w:val="20"/>
        </w:rPr>
      </w:r>
    </w:p>
    <w:tbl>
      <w:tblPr>
        <w:tblW w:w="5200" w:type="dxa"/>
        <w:jc w:val="left"/>
        <w:tblInd w:w="0" w:type="dxa"/>
        <w:tblLayout w:type="fixed"/>
        <w:tblCellMar>
          <w:top w:w="0" w:type="dxa"/>
          <w:left w:w="0" w:type="dxa"/>
          <w:bottom w:w="0" w:type="dxa"/>
          <w:right w:w="0" w:type="dxa"/>
        </w:tblCellMar>
      </w:tblPr>
      <w:tblGrid>
        <w:gridCol w:w="2705"/>
        <w:gridCol w:w="60"/>
        <w:gridCol w:w="140"/>
        <w:gridCol w:w="980"/>
        <w:gridCol w:w="60"/>
        <w:gridCol w:w="60"/>
        <w:gridCol w:w="140"/>
        <w:gridCol w:w="980"/>
        <w:gridCol w:w="75"/>
      </w:tblGrid>
      <w:tr>
        <w:trPr/>
        <w:tc>
          <w:tcPr>
            <w:tcW w:w="2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December 31,</w:t>
            </w:r>
          </w:p>
        </w:tc>
        <w:tc>
          <w:tcPr>
            <w:tcW w:w="75"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75"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7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United States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162,428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144,112</w:t>
            </w:r>
          </w:p>
        </w:tc>
        <w:tc>
          <w:tcPr>
            <w:tcW w:w="75"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Germany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305,504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229,449</w:t>
            </w:r>
          </w:p>
        </w:tc>
        <w:tc>
          <w:tcPr>
            <w:tcW w:w="75" w:type="dxa"/>
            <w:tcBorders/>
            <w:vAlign w:val="bottom"/>
          </w:tcPr>
          <w:p>
            <w:pPr>
              <w:pStyle w:val="TableContents"/>
              <w:bidi w:val="0"/>
              <w:spacing w:before="0" w:after="283"/>
              <w:jc w:val="left"/>
              <w:rPr/>
            </w:pPr>
            <w:r>
              <w:rPr/>
              <w:t> </w:t>
            </w:r>
          </w:p>
        </w:tc>
      </w:tr>
      <w:tr>
        <w:trPr/>
        <w:tc>
          <w:tcPr>
            <w:tcW w:w="27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Europe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148,646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118,672</w:t>
            </w:r>
          </w:p>
        </w:tc>
        <w:tc>
          <w:tcPr>
            <w:tcW w:w="75"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Israel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98,800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87,174</w:t>
            </w:r>
          </w:p>
        </w:tc>
        <w:tc>
          <w:tcPr>
            <w:tcW w:w="75" w:type="dxa"/>
            <w:tcBorders/>
            <w:vAlign w:val="bottom"/>
          </w:tcPr>
          <w:p>
            <w:pPr>
              <w:pStyle w:val="TableContents"/>
              <w:bidi w:val="0"/>
              <w:spacing w:before="0" w:after="283"/>
              <w:jc w:val="left"/>
              <w:rPr/>
            </w:pPr>
            <w:r>
              <w:rPr/>
              <w:t> </w:t>
            </w:r>
          </w:p>
        </w:tc>
      </w:tr>
      <w:tr>
        <w:trPr/>
        <w:tc>
          <w:tcPr>
            <w:tcW w:w="27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People's Republic of China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250,209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250,669</w:t>
            </w:r>
          </w:p>
        </w:tc>
        <w:tc>
          <w:tcPr>
            <w:tcW w:w="75"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Republic of China (Taiwan)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207,515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192,456</w:t>
            </w:r>
          </w:p>
        </w:tc>
        <w:tc>
          <w:tcPr>
            <w:tcW w:w="75" w:type="dxa"/>
            <w:tcBorders/>
            <w:vAlign w:val="bottom"/>
          </w:tcPr>
          <w:p>
            <w:pPr>
              <w:pStyle w:val="TableContents"/>
              <w:bidi w:val="0"/>
              <w:spacing w:before="0" w:after="283"/>
              <w:jc w:val="left"/>
              <w:rPr/>
            </w:pPr>
            <w:r>
              <w:rPr/>
              <w:t> </w:t>
            </w:r>
          </w:p>
        </w:tc>
      </w:tr>
      <w:tr>
        <w:trPr/>
        <w:tc>
          <w:tcPr>
            <w:tcW w:w="27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Asia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108,055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98,332</w:t>
            </w:r>
          </w:p>
        </w:tc>
        <w:tc>
          <w:tcPr>
            <w:tcW w:w="75"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13,489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9,595</w:t>
            </w:r>
          </w:p>
        </w:tc>
        <w:tc>
          <w:tcPr>
            <w:tcW w:w="75" w:type="dxa"/>
            <w:tcBorders/>
            <w:vAlign w:val="bottom"/>
          </w:tcPr>
          <w:p>
            <w:pPr>
              <w:pStyle w:val="TableContents"/>
              <w:bidi w:val="0"/>
              <w:spacing w:before="0" w:after="283"/>
              <w:jc w:val="left"/>
              <w:rPr/>
            </w:pPr>
            <w:r>
              <w:rPr/>
              <w:t> </w:t>
            </w:r>
          </w:p>
        </w:tc>
      </w:tr>
      <w:tr>
        <w:trPr/>
        <w:tc>
          <w:tcPr>
            <w:tcW w:w="27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1,294,646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1,130,459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F-46</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16 – Earnings Per Share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restricted stock units (see Note 12), convertible debt instruments (see Note 6), and other potentially dilutive securities.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4"/>
          <w:shd w:fill="FFFFFF" w:val="clear"/>
        </w:rPr>
        <w:t xml:space="preserve">The following table sets forth the computation of basic and diluted earnings per share attributable to Vishay stockholders </w:t>
      </w:r>
      <w:r>
        <w:rPr>
          <w:rFonts w:ascii="Times New Roman" w:hAnsi="Times New Roman"/>
          <w:i/>
          <w:color w:val="000000"/>
          <w:sz w:val="24"/>
          <w:shd w:fill="FFFFFF" w:val="clear"/>
        </w:rPr>
        <w:t>(shares 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9035" w:type="dxa"/>
        <w:jc w:val="left"/>
        <w:tblInd w:w="0" w:type="dxa"/>
        <w:tblLayout w:type="fixed"/>
        <w:tblCellMar>
          <w:top w:w="0" w:type="dxa"/>
          <w:left w:w="0" w:type="dxa"/>
          <w:bottom w:w="0" w:type="dxa"/>
          <w:right w:w="0" w:type="dxa"/>
        </w:tblCellMar>
      </w:tblPr>
      <w:tblGrid>
        <w:gridCol w:w="5840"/>
        <w:gridCol w:w="60"/>
        <w:gridCol w:w="140"/>
        <w:gridCol w:w="800"/>
        <w:gridCol w:w="60"/>
        <w:gridCol w:w="60"/>
        <w:gridCol w:w="140"/>
        <w:gridCol w:w="800"/>
        <w:gridCol w:w="60"/>
        <w:gridCol w:w="60"/>
        <w:gridCol w:w="140"/>
        <w:gridCol w:w="800"/>
        <w:gridCol w:w="75"/>
      </w:tblGrid>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0"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Numerator:</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Net earnings attributable to Vishay stockholders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323,820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428,810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297,970</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144"/>
              <w:jc w:val="left"/>
              <w:rPr>
                <w:rFonts w:ascii="Times New Roman" w:hAnsi="Times New Roman"/>
                <w:b/>
                <w:sz w:val="24"/>
              </w:rPr>
            </w:pPr>
            <w:r>
              <w:rPr>
                <w:rFonts w:ascii="Times New Roman" w:hAnsi="Times New Roman"/>
                <w:b/>
                <w:sz w:val="24"/>
              </w:rPr>
              <w:t>Denominator: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Denominator for basic earnings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Weighted average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139,318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143,176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144,796</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pPr>
            <w:r>
              <w:rPr/>
              <w:t>   </w:t>
            </w:r>
            <w:r>
              <w:rPr>
                <w:rFonts w:ascii="Times New Roman" w:hAnsi="Times New Roman"/>
                <w:sz w:val="24"/>
              </w:rPr>
              <w:t>Outstanding phantom stock units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209</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144"/>
              <w:jc w:val="left"/>
              <w:rPr/>
            </w:pPr>
            <w:r>
              <w:rPr/>
              <w:t>   </w:t>
            </w:r>
            <w:r>
              <w:rPr>
                <w:rFonts w:ascii="Times New Roman" w:hAnsi="Times New Roman"/>
                <w:sz w:val="24"/>
              </w:rPr>
              <w:t>Adjusted weighted average shares - basic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139,447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143,399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145,005</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Effect of dilutive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Restricted stock units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488</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Convertible debt instruments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2</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Dilutive potential common shares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490</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Denominator for diluted earnings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Adjusted weighted average shares - diluted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140,246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143,915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145,495</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Basic earnings per share attributable to Vishay stockholders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2.05</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Diluted earnings per share attributable to Vishay stockholders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00"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0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2.05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 xml:space="preserve">Diluted earnings per share for the years presented do not reflect the following weighted average potential common shares, as the effect would be antidilutive </w:t>
      </w:r>
      <w:r>
        <w:rPr>
          <w:rFonts w:ascii="Times New Roman" w:hAnsi="Times New Roman"/>
          <w:i/>
          <w:color w:val="000000"/>
          <w:sz w:val="24"/>
          <w:shd w:fill="FFFFFF" w:val="clear"/>
        </w:rPr>
        <w:t>(in thousands)</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4924" w:type="dxa"/>
        <w:jc w:val="left"/>
        <w:tblInd w:w="0" w:type="dxa"/>
        <w:tblLayout w:type="fixed"/>
        <w:tblCellMar>
          <w:top w:w="0" w:type="dxa"/>
          <w:left w:w="0" w:type="dxa"/>
          <w:bottom w:w="0" w:type="dxa"/>
          <w:right w:w="0" w:type="dxa"/>
        </w:tblCellMar>
      </w:tblPr>
      <w:tblGrid>
        <w:gridCol w:w="2045"/>
        <w:gridCol w:w="60"/>
        <w:gridCol w:w="114"/>
        <w:gridCol w:w="496"/>
        <w:gridCol w:w="114"/>
        <w:gridCol w:w="114"/>
        <w:gridCol w:w="114"/>
        <w:gridCol w:w="725"/>
        <w:gridCol w:w="114"/>
        <w:gridCol w:w="114"/>
        <w:gridCol w:w="114"/>
        <w:gridCol w:w="725"/>
        <w:gridCol w:w="75"/>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44"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9"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Restricted stock units</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82</w:t>
            </w:r>
          </w:p>
        </w:tc>
        <w:tc>
          <w:tcPr>
            <w:tcW w:w="11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251</w:t>
            </w:r>
          </w:p>
        </w:tc>
        <w:tc>
          <w:tcPr>
            <w:tcW w:w="11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279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If the average market price of Vishay common stock is less than the effective conversion prices of the convertible senior notes due 2025 and due 2030, respectively, no shares are included in the diluted earnings per share computation for the convertible senior notes due 2025 and due 2030.  Upon Vishay exercising its existing right to legally amend the indenture governing the convertible senior notes due 2025, Vishay will satisfy its conversion obligations by paying $1 cash per $1 principal amount of converted notes and settle any additional amounts due in common stock.  Pursuant to the indenture governing the convertible senior notes due 2030, Vishay will satisfy its conversion obligations by paying $1 cash per $1 principal amount of converted notes and settle any additional amounts due in cash and/or common stock.  Accordingly, the convertible senior notes due 2025 and due 2030 are not anti-dilutive when the average market price of Vishay common stock is less than the respective effective conversion prices of the convertible senior notes due 2025 and due 2030.</w:t>
      </w:r>
    </w:p>
    <w:p>
      <w:pPr>
        <w:pStyle w:val="TextBody"/>
        <w:bidi w:val="0"/>
        <w:spacing w:before="0" w:after="0"/>
        <w:jc w:val="both"/>
        <w:rPr/>
      </w:pPr>
      <w:r>
        <w:rPr/>
      </w:r>
    </w:p>
    <w:p>
      <w:pPr>
        <w:pStyle w:val="TextBody"/>
        <w:bidi w:val="0"/>
        <w:spacing w:before="0" w:after="16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In connection with the issuance of the convertible senior notes due 2030, the Company entered into capped call transactions (see Note 6), which were not included in the calculation of diluted earnings per share as their effect would have been anti-dilutive.  The capped calls are intended to reduce the potential dilution to the Company's common stock in the event that at the time of conversion of the convertible senior notes due 2030 the Company's common stock price exceeds the conversion price of the convertible senior notes due 2030. </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F-47</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17 – Additional Cash Flow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Changes in operating assets and liabilities, net of effects of businesses acquired, consist of the following</w:t>
      </w:r>
      <w:r>
        <w:rPr>
          <w:rFonts w:ascii="Times New Roman" w:hAnsi="Times New Roman"/>
          <w:i/>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7730" w:type="dxa"/>
        <w:jc w:val="left"/>
        <w:tblInd w:w="0" w:type="dxa"/>
        <w:tblLayout w:type="fixed"/>
        <w:tblCellMar>
          <w:top w:w="0" w:type="dxa"/>
          <w:left w:w="0" w:type="dxa"/>
          <w:bottom w:w="0" w:type="dxa"/>
          <w:right w:w="0" w:type="dxa"/>
        </w:tblCellMar>
      </w:tblPr>
      <w:tblGrid>
        <w:gridCol w:w="4205"/>
        <w:gridCol w:w="60"/>
        <w:gridCol w:w="140"/>
        <w:gridCol w:w="875"/>
        <w:gridCol w:w="95"/>
        <w:gridCol w:w="60"/>
        <w:gridCol w:w="140"/>
        <w:gridCol w:w="875"/>
        <w:gridCol w:w="95"/>
        <w:gridCol w:w="60"/>
        <w:gridCol w:w="140"/>
        <w:gridCol w:w="875"/>
        <w:gridCol w:w="110"/>
      </w:tblGrid>
      <w:tr>
        <w:trPr/>
        <w:tc>
          <w:tcPr>
            <w:tcW w:w="4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5" w:type="dxa"/>
            <w:gridSpan w:val="10"/>
            <w:tcBorders/>
            <w:vAlign w:val="bottom"/>
          </w:tcPr>
          <w:p>
            <w:pPr>
              <w:pStyle w:val="TableContents"/>
              <w:bidi w:val="0"/>
              <w:spacing w:before="0" w:after="0"/>
              <w:jc w:val="center"/>
              <w:rPr>
                <w:rFonts w:ascii="Times New Roman" w:hAnsi="Times New Roman"/>
                <w:b/>
                <w:sz w:val="24"/>
              </w:rPr>
            </w:pPr>
            <w:r>
              <w:rPr>
                <w:rFonts w:ascii="Times New Roman" w:hAnsi="Times New Roman"/>
                <w:b/>
                <w:sz w:val="24"/>
              </w:rPr>
              <w:t>Years ended December 31,</w:t>
            </w:r>
          </w:p>
        </w:tc>
        <w:tc>
          <w:tcPr>
            <w:tcW w:w="110"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2021</w:t>
            </w:r>
          </w:p>
        </w:tc>
        <w:tc>
          <w:tcPr>
            <w:tcW w:w="110"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Accounts receivable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(3,717</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(26,696</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(67,707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Inventories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(58,758</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(119,595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(121,492</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(42,005</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(11,380</w:t>
            </w:r>
          </w:p>
        </w:tc>
        <w:tc>
          <w:tcPr>
            <w:tcW w:w="95"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(35,377</w:t>
            </w:r>
          </w:p>
        </w:tc>
        <w:tc>
          <w:tcPr>
            <w:tcW w:w="11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42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Accounts payable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743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(61,665</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61,481</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Other current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(58,120</w:t>
            </w:r>
          </w:p>
        </w:tc>
        <w:tc>
          <w:tcPr>
            <w:tcW w:w="95"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77,223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79,683</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Net change in operating assets and liabilities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(161,857</w:t>
            </w:r>
          </w:p>
        </w:tc>
        <w:tc>
          <w:tcPr>
            <w:tcW w:w="95"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(142,113</w:t>
            </w:r>
          </w:p>
        </w:tc>
        <w:tc>
          <w:tcPr>
            <w:tcW w:w="9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(83,412</w:t>
            </w:r>
          </w:p>
        </w:tc>
        <w:tc>
          <w:tcPr>
            <w:tcW w:w="11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F-48</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18 – Fair Value Measurements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following table provides the financial assets and liabilities carried at fair value measured on a recurring basis:</w:t>
      </w:r>
    </w:p>
    <w:p>
      <w:pPr>
        <w:pStyle w:val="TextBody"/>
        <w:bidi w:val="0"/>
        <w:spacing w:before="0" w:after="0"/>
        <w:jc w:val="left"/>
        <w:rPr>
          <w:rFonts w:ascii="Times New Roman" w:hAnsi="Times New Roman"/>
          <w:sz w:val="20"/>
        </w:rPr>
      </w:pPr>
      <w:r>
        <w:rPr>
          <w:rFonts w:ascii="Times New Roman" w:hAnsi="Times New Roman"/>
          <w:sz w:val="20"/>
        </w:rPr>
      </w:r>
    </w:p>
    <w:tbl>
      <w:tblPr>
        <w:tblW w:w="9290" w:type="dxa"/>
        <w:jc w:val="left"/>
        <w:tblInd w:w="0" w:type="dxa"/>
        <w:tblLayout w:type="fixed"/>
        <w:tblCellMar>
          <w:top w:w="0" w:type="dxa"/>
          <w:left w:w="0" w:type="dxa"/>
          <w:bottom w:w="0" w:type="dxa"/>
          <w:right w:w="0" w:type="dxa"/>
        </w:tblCellMar>
      </w:tblPr>
      <w:tblGrid>
        <w:gridCol w:w="4685"/>
        <w:gridCol w:w="60"/>
        <w:gridCol w:w="343"/>
        <w:gridCol w:w="1372"/>
        <w:gridCol w:w="60"/>
        <w:gridCol w:w="60"/>
        <w:gridCol w:w="140"/>
        <w:gridCol w:w="680"/>
        <w:gridCol w:w="60"/>
        <w:gridCol w:w="60"/>
        <w:gridCol w:w="140"/>
        <w:gridCol w:w="680"/>
        <w:gridCol w:w="60"/>
        <w:gridCol w:w="60"/>
        <w:gridCol w:w="151"/>
        <w:gridCol w:w="604"/>
        <w:gridCol w:w="75"/>
      </w:tblGrid>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Total Fair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4"/>
              </w:rPr>
            </w:pPr>
            <w:r>
              <w:rPr>
                <w:rFonts w:ascii="Times New Roman" w:hAnsi="Times New Roman"/>
                <w:b/>
                <w:sz w:val="24"/>
              </w:rPr>
              <w:t>Level 3</w:t>
            </w:r>
          </w:p>
        </w:tc>
        <w:tc>
          <w:tcPr>
            <w:tcW w:w="75"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0"/>
              <w:jc w:val="left"/>
              <w:rPr>
                <w:rFonts w:ascii="Times New Roman" w:hAnsi="Times New Roman"/>
                <w:b/>
                <w:sz w:val="24"/>
                <w:u w:val="single"/>
              </w:rPr>
            </w:pPr>
            <w:r>
              <w:rPr>
                <w:rFonts w:ascii="Times New Roman" w:hAnsi="Times New Roman"/>
                <w:b/>
                <w:sz w:val="24"/>
                <w:u w:val="single"/>
              </w:rPr>
              <w:t xml:space="preserve">December 31, 2023 </w:t>
            </w:r>
          </w:p>
        </w:tc>
        <w:tc>
          <w:tcPr>
            <w:tcW w:w="60"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Assets:</w:t>
            </w:r>
          </w:p>
        </w:tc>
        <w:tc>
          <w:tcPr>
            <w:tcW w:w="60"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Assets held in rabbi trusts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50,378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24,343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Available for sale securities</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4,115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4,115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 - U.S. Defined Benefit Pension Plan Assets: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Equity securities</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vAlign w:val="bottom"/>
          </w:tcPr>
          <w:p>
            <w:pPr>
              <w:pStyle w:val="TableContents"/>
              <w:bidi w:val="0"/>
              <w:spacing w:before="0" w:after="0"/>
              <w:jc w:val="right"/>
              <w:rPr>
                <w:rFonts w:ascii="Times New Roman" w:hAnsi="Times New Roman"/>
                <w:b/>
                <w:sz w:val="24"/>
              </w:rPr>
            </w:pPr>
            <w:r>
              <w:rPr>
                <w:rFonts w:ascii="Times New Roman" w:hAnsi="Times New Roman"/>
                <w:b/>
                <w:sz w:val="24"/>
              </w:rPr>
              <w:t>3,925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3,925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Fixed income securities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21,232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21,232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Cash</w:t>
            </w:r>
          </w:p>
        </w:tc>
        <w:tc>
          <w:tcPr>
            <w:tcW w:w="60" w:type="dxa"/>
            <w:tcBorders/>
            <w:vAlign w:val="bottom"/>
          </w:tcPr>
          <w:p>
            <w:pPr>
              <w:pStyle w:val="TableContents"/>
              <w:bidi w:val="0"/>
              <w:spacing w:before="0" w:after="283"/>
              <w:jc w:val="right"/>
              <w:rPr/>
            </w:pPr>
            <w:r>
              <w:rPr/>
              <w:t> </w:t>
            </w:r>
          </w:p>
        </w:tc>
        <w:tc>
          <w:tcPr>
            <w:tcW w:w="34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4"/>
              </w:rPr>
            </w:pPr>
            <w:r>
              <w:rPr>
                <w:rFonts w:ascii="Times New Roman" w:hAnsi="Times New Roman"/>
                <w:b/>
                <w:sz w:val="24"/>
              </w:rPr>
              <w:t>38,130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38,130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6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1372"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117,780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91,745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26,035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b/>
                <w:sz w:val="24"/>
              </w:rPr>
            </w:pPr>
            <w:r>
              <w:rPr>
                <w:rFonts w:ascii="Times New Roman" w:hAnsi="Times New Roman"/>
                <w:b/>
                <w:sz w:val="24"/>
              </w:rPr>
              <w:t>$</w:t>
            </w:r>
          </w:p>
        </w:tc>
        <w:tc>
          <w:tcPr>
            <w:tcW w:w="604" w:type="dxa"/>
            <w:tcBorders/>
            <w:shd w:fill="CCEEFF" w:val="clear"/>
            <w:vAlign w:val="bottom"/>
          </w:tcPr>
          <w:p>
            <w:pPr>
              <w:pStyle w:val="TableContents"/>
              <w:bidi w:val="0"/>
              <w:spacing w:before="0" w:after="0"/>
              <w:jc w:val="right"/>
              <w:rPr>
                <w:rFonts w:ascii="Times New Roman" w:hAnsi="Times New Roman"/>
                <w:b/>
                <w:sz w:val="24"/>
              </w:rPr>
            </w:pPr>
            <w:r>
              <w:rPr>
                <w:rFonts w:ascii="Times New Roman" w:hAnsi="Times New Roman"/>
                <w:b/>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sz w:val="24"/>
                <w:u w:val="single"/>
              </w:rPr>
            </w:pPr>
            <w:r>
              <w:rPr>
                <w:sz w:val="24"/>
                <w:u w:val="single"/>
              </w:rPr>
              <w:t>Liability:</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24"/>
              </w:rPr>
            </w:pPr>
            <w:r>
              <w:rPr>
                <w:sz w:val="24"/>
              </w:rPr>
              <w:t>MaxPower acquisition contingent consideration</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b/>
                <w:sz w:val="24"/>
              </w:rPr>
            </w:pPr>
            <w:r>
              <w:rPr>
                <w:b/>
                <w:sz w:val="24"/>
              </w:rPr>
              <w:t>$</w:t>
            </w:r>
          </w:p>
        </w:tc>
        <w:tc>
          <w:tcPr>
            <w:tcW w:w="1372" w:type="dxa"/>
            <w:tcBorders/>
            <w:vAlign w:val="bottom"/>
          </w:tcPr>
          <w:p>
            <w:pPr>
              <w:pStyle w:val="TableContents"/>
              <w:bidi w:val="0"/>
              <w:spacing w:before="0" w:after="283"/>
              <w:jc w:val="right"/>
              <w:rPr>
                <w:b/>
                <w:sz w:val="24"/>
              </w:rPr>
            </w:pPr>
            <w:r>
              <w:rPr>
                <w:b/>
                <w:sz w:val="24"/>
              </w:rPr>
              <w:t>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sz w:val="24"/>
              </w:rPr>
            </w:pPr>
            <w:r>
              <w:rPr>
                <w:sz w:val="24"/>
              </w:rPr>
              <w:t>938</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0"/>
              <w:jc w:val="left"/>
              <w:rPr>
                <w:rFonts w:ascii="Times New Roman" w:hAnsi="Times New Roman"/>
                <w:b/>
                <w:sz w:val="24"/>
                <w:u w:val="single"/>
              </w:rPr>
            </w:pPr>
            <w:r>
              <w:rPr>
                <w:rFonts w:ascii="Times New Roman" w:hAnsi="Times New Roman"/>
                <w:b/>
                <w:sz w:val="24"/>
                <w:u w:val="single"/>
              </w:rPr>
              <w:t xml:space="preserve">December 31, 2022 </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rFonts w:ascii="Times New Roman" w:hAnsi="Times New Roman"/>
                <w:sz w:val="24"/>
                <w:u w:val="single"/>
              </w:rPr>
            </w:pPr>
            <w:r>
              <w:rPr>
                <w:rFonts w:ascii="Times New Roman" w:hAnsi="Times New Roman"/>
                <w:sz w:val="24"/>
                <w:u w:val="single"/>
              </w:rPr>
              <w:t>Assets: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Assets held in rabbi trusts</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372"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50,173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27,168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23,005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4" w:type="dxa"/>
            <w:tcBorders/>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Available for sale securities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3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3,677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24"/>
              </w:rPr>
            </w:pPr>
            <w:r>
              <w:rPr>
                <w:sz w:val="24"/>
              </w:rPr>
              <w:t>Precious metals</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sz w:val="24"/>
              </w:rPr>
            </w:pPr>
            <w:r>
              <w:rPr>
                <w:sz w:val="24"/>
              </w:rPr>
              <w:t xml:space="preserve">$ </w:t>
            </w:r>
          </w:p>
        </w:tc>
        <w:tc>
          <w:tcPr>
            <w:tcW w:w="1372" w:type="dxa"/>
            <w:tcBorders/>
            <w:vAlign w:val="bottom"/>
          </w:tcPr>
          <w:p>
            <w:pPr>
              <w:pStyle w:val="TableContents"/>
              <w:bidi w:val="0"/>
              <w:spacing w:before="0" w:after="283"/>
              <w:jc w:val="right"/>
              <w:rPr>
                <w:sz w:val="24"/>
              </w:rPr>
            </w:pPr>
            <w:r>
              <w:rPr>
                <w:sz w:val="24"/>
              </w:rPr>
              <w:t>1,252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1,252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sz w:val="24"/>
              </w:rPr>
            </w:pPr>
            <w:r>
              <w:rPr>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rFonts w:ascii="Times New Roman" w:hAnsi="Times New Roman"/>
                <w:sz w:val="24"/>
              </w:rPr>
            </w:pPr>
            <w:r>
              <w:rPr>
                <w:rFonts w:ascii="Times New Roman" w:hAnsi="Times New Roman"/>
                <w:sz w:val="24"/>
              </w:rPr>
              <w:t>Non - U.S. Defined Benefit Pension Plan Assets: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Equity securities</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sz w:val="24"/>
              </w:rPr>
            </w:pPr>
            <w:r>
              <w:rPr>
                <w:sz w:val="24"/>
              </w:rPr>
              <w:t xml:space="preserve">$ </w:t>
            </w:r>
          </w:p>
        </w:tc>
        <w:tc>
          <w:tcPr>
            <w:tcW w:w="1372" w:type="dxa"/>
            <w:tcBorders/>
            <w:vAlign w:val="bottom"/>
          </w:tcPr>
          <w:p>
            <w:pPr>
              <w:pStyle w:val="TableContents"/>
              <w:bidi w:val="0"/>
              <w:spacing w:before="0" w:after="283"/>
              <w:jc w:val="right"/>
              <w:rPr>
                <w:sz w:val="24"/>
              </w:rPr>
            </w:pPr>
            <w:r>
              <w:rPr>
                <w:sz w:val="24"/>
              </w:rPr>
              <w:t>5,876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5,876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sz w:val="24"/>
              </w:rPr>
            </w:pPr>
            <w:r>
              <w:rPr>
                <w:sz w:val="24"/>
              </w:rPr>
              <w:t>$</w:t>
            </w:r>
          </w:p>
        </w:tc>
        <w:tc>
          <w:tcPr>
            <w:tcW w:w="604" w:type="dxa"/>
            <w:tcBorders/>
            <w:vAlign w:val="bottom"/>
          </w:tcPr>
          <w:p>
            <w:pPr>
              <w:pStyle w:val="TableContents"/>
              <w:bidi w:val="0"/>
              <w:spacing w:before="0" w:after="283"/>
              <w:jc w:val="right"/>
              <w:rPr>
                <w:sz w:val="24"/>
              </w:rPr>
            </w:pPr>
            <w:r>
              <w:rPr>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Fixed income securities</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3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18,406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288" w:right="0" w:hanging="144"/>
              <w:jc w:val="left"/>
              <w:rPr>
                <w:rFonts w:ascii="Times New Roman" w:hAnsi="Times New Roman"/>
                <w:sz w:val="24"/>
              </w:rPr>
            </w:pPr>
            <w:r>
              <w:rPr>
                <w:rFonts w:ascii="Times New Roman" w:hAnsi="Times New Roman"/>
                <w:sz w:val="24"/>
              </w:rPr>
              <w:t>Cash</w:t>
            </w:r>
          </w:p>
        </w:tc>
        <w:tc>
          <w:tcPr>
            <w:tcW w:w="60" w:type="dxa"/>
            <w:tcBorders/>
            <w:vAlign w:val="bottom"/>
          </w:tcPr>
          <w:p>
            <w:pPr>
              <w:pStyle w:val="TableContents"/>
              <w:bidi w:val="0"/>
              <w:spacing w:before="0" w:after="283"/>
              <w:jc w:val="right"/>
              <w:rPr/>
            </w:pPr>
            <w:r>
              <w:rPr/>
              <w:t> </w:t>
            </w:r>
          </w:p>
        </w:tc>
        <w:tc>
          <w:tcPr>
            <w:tcW w:w="34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3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41,338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41,338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6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1372"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120,722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97,717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80"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23,005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4"/>
              </w:rPr>
            </w:pPr>
            <w:r>
              <w:rPr>
                <w:rFonts w:ascii="Times New Roman" w:hAnsi="Times New Roman"/>
                <w:sz w:val="24"/>
              </w:rPr>
              <w:t>$</w:t>
            </w:r>
          </w:p>
        </w:tc>
        <w:tc>
          <w:tcPr>
            <w:tcW w:w="604" w:type="dxa"/>
            <w:tcBorders/>
            <w:shd w:fill="CCEEFF" w:val="clear"/>
            <w:vAlign w:val="bottom"/>
          </w:tcPr>
          <w:p>
            <w:pPr>
              <w:pStyle w:val="TableContents"/>
              <w:bidi w:val="0"/>
              <w:spacing w:before="0" w:after="0"/>
              <w:jc w:val="right"/>
              <w:rPr>
                <w:rFonts w:ascii="Times New Roman" w:hAnsi="Times New Roman"/>
                <w:sz w:val="24"/>
              </w:rPr>
            </w:pPr>
            <w:r>
              <w:rPr>
                <w:rFonts w:ascii="Times New Roman" w:hAnsi="Times New Roman"/>
                <w:sz w:val="24"/>
              </w:rPr>
              <w:t>-</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 </w:t>
            </w:r>
            <w:r>
              <w:rPr>
                <w:sz w:val="24"/>
                <w:u w:val="single"/>
              </w:rPr>
              <w:t>Liability:</w:t>
            </w:r>
          </w:p>
        </w:tc>
        <w:tc>
          <w:tcPr>
            <w:tcW w:w="60" w:type="dxa"/>
            <w:tcBorders/>
            <w:shd w:fill="CCEEFF" w:val="clear"/>
            <w:vAlign w:val="bottom"/>
          </w:tcPr>
          <w:p>
            <w:pPr>
              <w:pStyle w:val="TableContents"/>
              <w:bidi w:val="0"/>
              <w:spacing w:before="0" w:after="283"/>
              <w:jc w:val="right"/>
              <w:rPr/>
            </w:pPr>
            <w:r>
              <w:rPr/>
              <w:t> </w:t>
            </w:r>
          </w:p>
        </w:tc>
        <w:tc>
          <w:tcPr>
            <w:tcW w:w="343"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pPr>
            <w:r>
              <w:rPr/>
              <w:t> </w:t>
            </w:r>
            <w:r>
              <w:rPr>
                <w:sz w:val="24"/>
              </w:rPr>
              <w:t>MaxPower acquisition contingent consideration</w:t>
            </w:r>
          </w:p>
        </w:tc>
        <w:tc>
          <w:tcPr>
            <w:tcW w:w="60" w:type="dxa"/>
            <w:tcBorders/>
            <w:vAlign w:val="bottom"/>
          </w:tcPr>
          <w:p>
            <w:pPr>
              <w:pStyle w:val="TableContents"/>
              <w:bidi w:val="0"/>
              <w:spacing w:before="0" w:after="283"/>
              <w:jc w:val="right"/>
              <w:rPr/>
            </w:pPr>
            <w:r>
              <w:rPr/>
              <w:t> </w:t>
            </w:r>
          </w:p>
        </w:tc>
        <w:tc>
          <w:tcPr>
            <w:tcW w:w="343" w:type="dxa"/>
            <w:tcBorders/>
            <w:vAlign w:val="bottom"/>
          </w:tcPr>
          <w:p>
            <w:pPr>
              <w:pStyle w:val="TableContents"/>
              <w:bidi w:val="0"/>
              <w:spacing w:before="0" w:after="283"/>
              <w:jc w:val="left"/>
              <w:rPr>
                <w:sz w:val="24"/>
              </w:rPr>
            </w:pPr>
            <w:r>
              <w:rPr>
                <w:sz w:val="24"/>
              </w:rPr>
              <w:t>$</w:t>
            </w:r>
          </w:p>
        </w:tc>
        <w:tc>
          <w:tcPr>
            <w:tcW w:w="1372" w:type="dxa"/>
            <w:tcBorders/>
            <w:vAlign w:val="bottom"/>
          </w:tcPr>
          <w:p>
            <w:pPr>
              <w:pStyle w:val="TableContents"/>
              <w:bidi w:val="0"/>
              <w:spacing w:before="0" w:after="283"/>
              <w:jc w:val="right"/>
              <w:rPr>
                <w:sz w:val="24"/>
              </w:rPr>
            </w:pPr>
            <w:r>
              <w:rPr>
                <w:sz w:val="24"/>
              </w:rPr>
              <w:t>6,870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sz w:val="24"/>
              </w:rPr>
            </w:pPr>
            <w:r>
              <w:rPr>
                <w:sz w:val="24"/>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sz w:val="24"/>
              </w:rPr>
            </w:pPr>
            <w:r>
              <w:rPr>
                <w:sz w:val="24"/>
              </w:rPr>
              <w:t>6,870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There have been no changes in the classification of any financial instruments within the fair value hierarchy in the periods presented.</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year.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maintains defined benefit retirement plans in certain of its non-U.S. subsidiaries. The assets of the plans are measured at fair value.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Equity securities held by the non-U.S. defined benefit retirement plans consist of equity securities that are valued based on quoted market prices on the last business day of the year.   The fair value measurement of the equity securities is considered a Level 1 measurement within the fair value hierarchy.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Fixed income securities held by the non-U.S. defined benefit retirement plans consist of government bonds in the Philippines and India and corporate notes that are valued based on quoted market prices on the last business day of the year. The fair value measurement of the fixed income securities is considered a Level 1 measurement within the fair value hierarchy.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Cash held by the non-U.S. defined benefit retirement plans consists of demand deposits on account in various financial institutions to fund current benefit payments. The carrying amount of the cash approximates its fair value.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 holds investments in debt securities that are intended to fund a portion of its pension and other postretirement benefit obligations outside of the U.S.  The investments are valued based on quoted market prices on the last business day of the year.  The fair value measurement of the investments is considered a Level 1 measurement within the fair value hierarchy.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F-49</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18 – Fair Value Measurements (continued)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From time to time, the Company purchases precious metals bullion in excess of its immediate manufacturing needs to mitigate the risk of supply shortages or volatile price fluctuations.  The metals are valued based on quoted market prices on the last business day of the period.  The fair value measurement of the metals are considered a Level 1 measurement within the fair value hierarchy.  The inventory of precious metals bullion in excess of its immediate manufacturing needs was not material at December 31, 2023.</w:t>
      </w:r>
    </w:p>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The Company may be required to make certain contingent consideration payments to non-employee equity holders of MaxPower pursuant to the acquisition agreement, which would be payable upon the achievement of certain technology milestones, upon favorable resolution of certain technology licensing matters with a third party, and upon the disposition of MaxPower's investment in an equity affiliate.  One of the contingencies was resolved in the fourth quarter of 2023, which resulted in no additional payments to the former employees and equity holders of MaxPower.  The fair value of these contingent payments is determined by estimating the net present value of the expected cash flows based on the probability of expected payments.  The fair value measurement of the contingent consideration payments is considered a Level 3 measurement within the fair value hierarchy.</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fair value of the long-term debt, excluding the deferred financing costs, at December 31, 2023 and 2022 is approximately $836,200 and $491,100, respectively, compared to its carrying value, excluding the deferred financing costs, of $845,102 and $507,344, respectively.  The Company estimates the fair value of its long-term debt using a combination of quoted market prices for similar financing arrangements and expected future payments discounted at risk-adjusted rates, which are considered level 2 inputs.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At 2023 and 2022,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At December 31, 2023 and 2022,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accompanying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The Company’s financial instruments also include accounts receivable and accounts payable.  The carrying amounts for these financial instruments reported in the accompanying consolidated balance sheets approximate their fair values.</w:t>
      </w:r>
    </w:p>
    <w:p>
      <w:pPr>
        <w:pStyle w:val="TextBody"/>
        <w:bidi w:val="0"/>
        <w:spacing w:before="200" w:after="20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F-50</w:t>
      </w:r>
    </w:p>
    <w:p>
      <w:pPr>
        <w:pStyle w:val="HorizontalLine"/>
        <w:bidi w:val="0"/>
        <w:spacing w:before="200" w:after="200"/>
        <w:jc w:val="left"/>
        <w:rPr/>
      </w:pPr>
      <w:r>
        <w:rPr/>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NOTES TO THE CONSOLIDATED FINANCIAL STATEMENTS</w:t>
      </w:r>
    </w:p>
    <w:p>
      <w:pPr>
        <w:pStyle w:val="TextBody"/>
        <w:bidi w:val="0"/>
        <w:spacing w:before="200" w:after="200"/>
        <w:jc w:val="center"/>
        <w:rPr>
          <w:rFonts w:ascii="Times New Roman" w:hAnsi="Times New Roman"/>
          <w:b w:val="false"/>
          <w:color w:val="000000"/>
          <w:sz w:val="24"/>
          <w:shd w:fill="FFFFFF" w:val="clear"/>
        </w:rPr>
      </w:pPr>
      <w:r>
        <w:rPr>
          <w:rFonts w:ascii="Times New Roman" w:hAnsi="Times New Roman"/>
          <w:b w:val="false"/>
          <w:color w:val="000000"/>
          <w:sz w:val="24"/>
          <w:shd w:fill="FFFFFF" w:val="clear"/>
        </w:rPr>
        <w:t>(dollars in thousands, except per share amounts)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b/>
          <w:color w:val="000000"/>
          <w:sz w:val="24"/>
          <w:u w:val="single"/>
          <w:shd w:fill="FFFFFF" w:val="clear"/>
        </w:rPr>
      </w:pPr>
      <w:r>
        <w:rPr>
          <w:rFonts w:ascii="Times New Roman" w:hAnsi="Times New Roman"/>
          <w:b/>
          <w:color w:val="000000"/>
          <w:sz w:val="24"/>
          <w:u w:val="single"/>
          <w:shd w:fill="FFFFFF" w:val="clear"/>
        </w:rPr>
        <w:t>Note 19 – Related Party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4"/>
          <w:shd w:fill="FFFFFF" w:val="clear"/>
        </w:rPr>
      </w:pPr>
      <w:r>
        <w:rPr>
          <w:rFonts w:ascii="Times New Roman" w:hAnsi="Times New Roman"/>
          <w:b/>
          <w:i/>
          <w:color w:val="000000"/>
          <w:sz w:val="24"/>
          <w:shd w:fill="FFFFFF" w:val="clear"/>
        </w:rPr>
        <w:t>Vishay Precision Group,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On July 6, 2010, Vishay completed the spin-off of its measurements and foil resistors businesses into an independent, publicly-traded company, Vishay Precision Group, Inc.  Vishay’s common stockholders received 1 share of VPG common stock for every 14 shares of Vishay common stock they held on the record date, June 25, 2010, and Vishay’s Class B common stockholders received 1 share of VPG Class B common stock for every 14 shares of Vishay Class B common stock they held on the record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Following the spin-off, VPG is an independent company and Vishay retains no ownership interest.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4"/>
          <w:u w:val="single"/>
          <w:shd w:fill="FFFFFF" w:val="clear"/>
        </w:rPr>
      </w:pPr>
      <w:r>
        <w:rPr>
          <w:rFonts w:ascii="Times New Roman" w:hAnsi="Times New Roman"/>
          <w:i/>
          <w:color w:val="000000"/>
          <w:sz w:val="24"/>
          <w:u w:val="single"/>
          <w:shd w:fill="FFFFFF" w:val="clear"/>
        </w:rPr>
        <w:t>Relationship with VPG after Spin-off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Following the spin-off, VPG and Vishay operate separately, each as independent public companies. Vishay has no ownership interest in VPG. However, Ruta Zandman solely or on a shared basis with Marc Zandman and Ziv Shoshani, all of whom are members of Vishay's Board of Directors, control a large portion of the voting power of both Vishay and VPG. Marc Zandman, Vishay’s Executive Chairman of the Board and an executive officer of Vishay, serves on the Board of Directors of VPG. Ziv Shoshani, CEO of VPG, serves as a director of Vishay.  Additionally, Timothy V. Talbert, a member of Vishay’s Board of Directors is also a member of the Board of Directors of VPG.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In connection with the completion of the spin-off, Vishay and its subsidiaries entered into several agreements with VPG and its subsidiaries that govern the relationship of the parties following the spin-off.  Among the agreements entered into with VPG and its subsidiaries were a transition services agreement, several lease agreements, and supply agreements. None of the agreements have had nor are expected to have a material impact on Vishay’s financial position, results of operations, or liquidity.  Some of these agreements have expired and have not been renewed.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4"/>
          <w:shd w:fill="FFFFFF" w:val="clear"/>
        </w:rPr>
      </w:pPr>
      <w:r>
        <w:rPr>
          <w:rFonts w:ascii="Times New Roman" w:hAnsi="Times New Roman"/>
          <w:color w:val="000000"/>
          <w:sz w:val="24"/>
          <w:shd w:fill="FFFFFF" w:val="clear"/>
        </w:rPr>
        <w:t>Vishay also entered into a trademark license agreement with VPG pursuant to which Vishay granted VPG the license to use certain trademarks, service marks, logos, trade names, entity names, and domain names which include the term “Vishay.” The license granted VPG the limited, exclusive, royalty-free right and license to use certain marks and names incorporating the term “Vishay” in connection with the design, development, manufacture, marketing, provision and performance of certain VPG products that do not compete with any products within Vishay’s product range as constituted immediately following the separation and certain services provided in connection with the products. The license cannot be terminated except as a result of willful misconduct or liquidation bankruptcy of VPG.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jc w:val="left"/>
        <w:rPr>
          <w:rFonts w:ascii="Times New Roman" w:hAnsi="Times New Roman"/>
          <w:sz w:val="24"/>
        </w:rPr>
      </w:pPr>
      <w:r>
        <w:rPr>
          <w:rFonts w:ascii="Times New Roman" w:hAnsi="Times New Roman"/>
          <w:sz w:val="24"/>
        </w:rPr>
      </w:r>
    </w:p>
    <w:p>
      <w:pPr>
        <w:pStyle w:val="TextBody"/>
        <w:widowControl/>
        <w:bidi w:val="0"/>
        <w:spacing w:before="0" w:after="0"/>
        <w:ind w:left="0" w:right="0" w:hanging="0"/>
        <w:jc w:val="right"/>
        <w:rPr>
          <w:rFonts w:ascii="Times New Roman;Times;serif" w:hAnsi="Times New Roman;Times;serif"/>
          <w:b/>
          <w:i w:val="false"/>
          <w:caps w:val="false"/>
          <w:smallCaps w:val="false"/>
          <w:color w:val="000000"/>
          <w:spacing w:val="0"/>
          <w:sz w:val="24"/>
        </w:rPr>
      </w:pPr>
      <w:bookmarkStart w:id="53" w:name="exhibit21.htm"/>
      <w:bookmarkStart w:id="54" w:name="ksexhibit21"/>
      <w:bookmarkEnd w:id="53"/>
      <w:bookmarkEnd w:id="54"/>
      <w:r>
        <w:rPr>
          <w:rFonts w:ascii="Times New Roman;Times;serif" w:hAnsi="Times New Roman;Times;serif"/>
          <w:b/>
          <w:i w:val="false"/>
          <w:caps w:val="false"/>
          <w:smallCaps w:val="false"/>
          <w:color w:val="000000"/>
          <w:spacing w:val="0"/>
          <w:sz w:val="24"/>
        </w:rPr>
        <w:t>Exhibit 21</w:t>
      </w:r>
      <w:r>
        <w:br w:type="page"/>
      </w:r>
    </w:p>
    <w:p>
      <w:pPr>
        <w:pStyle w:val="TextBody"/>
        <w:widowControl/>
        <w:bidi w:val="0"/>
        <w:spacing w:before="0" w:after="0"/>
        <w:jc w:val="left"/>
        <w:rPr>
          <w:sz w:val="24"/>
        </w:rPr>
      </w:pPr>
      <w:r>
        <w:rPr>
          <w:sz w:val="24"/>
        </w:rPr>
      </w:r>
    </w:p>
    <w:p>
      <w:pPr>
        <w:pStyle w:val="TextBody"/>
        <w:widowControl/>
        <w:bidi w:val="0"/>
        <w:spacing w:before="0" w:after="0"/>
        <w:jc w:val="center"/>
        <w:rPr>
          <w:rFonts w:ascii="Times New Roman;Times;serif" w:hAnsi="Times New Roman;Times;serif"/>
          <w:b/>
          <w:i w:val="false"/>
          <w:caps w:val="false"/>
          <w:smallCaps w:val="false"/>
          <w:color w:val="000000"/>
          <w:spacing w:val="0"/>
          <w:sz w:val="24"/>
        </w:rPr>
      </w:pPr>
      <w:r>
        <w:rPr>
          <w:rFonts w:ascii="Times New Roman;Times;serif" w:hAnsi="Times New Roman;Times;serif"/>
          <w:b/>
          <w:i w:val="false"/>
          <w:caps w:val="false"/>
          <w:smallCaps w:val="false"/>
          <w:color w:val="000000"/>
          <w:spacing w:val="0"/>
          <w:sz w:val="24"/>
        </w:rPr>
        <w:t>SUBSIDIARIES OF THE REGISTRANT</w:t>
      </w:r>
    </w:p>
    <w:p>
      <w:pPr>
        <w:pStyle w:val="TextBody"/>
        <w:widowControl/>
        <w:bidi w:val="0"/>
        <w:spacing w:before="0" w:after="0"/>
        <w:jc w:val="left"/>
        <w:rPr>
          <w:sz w:val="24"/>
        </w:rPr>
      </w:pPr>
      <w:r>
        <w:rPr>
          <w:sz w:val="24"/>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Note: Names of Subsidiaries are indented under name of Parent. Subsidiaries are wholly owned unless otherwise noted. (Directors' or other shares required by statute in foreign jurisdictions and totaling less than 1% of equity are omitted.)</w:t>
      </w:r>
    </w:p>
    <w:p>
      <w:pPr>
        <w:pStyle w:val="TextBody"/>
        <w:widowControl/>
        <w:bidi w:val="0"/>
        <w:spacing w:before="0" w:after="0"/>
        <w:jc w:val="both"/>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55" w:name="00edf65fc3304dc79d3e46a3e387c453"/>
      <w:bookmarkStart w:id="56" w:name="00edf65fc3304dc79d3e46a3e387c453"/>
      <w:bookmarkEnd w:id="56"/>
    </w:p>
    <w:tbl>
      <w:tblPr>
        <w:tblW w:w="8700" w:type="dxa"/>
        <w:jc w:val="left"/>
        <w:tblInd w:w="0" w:type="dxa"/>
        <w:tblLayout w:type="fixed"/>
        <w:tblCellMar>
          <w:top w:w="0" w:type="dxa"/>
          <w:left w:w="0" w:type="dxa"/>
          <w:bottom w:w="0" w:type="dxa"/>
          <w:right w:w="0" w:type="dxa"/>
        </w:tblCellMar>
      </w:tblPr>
      <w:tblGrid>
        <w:gridCol w:w="5285"/>
        <w:gridCol w:w="3125"/>
        <w:gridCol w:w="290"/>
      </w:tblGrid>
      <w:tr>
        <w:trPr/>
        <w:tc>
          <w:tcPr>
            <w:tcW w:w="5285" w:type="dxa"/>
            <w:tcBorders/>
            <w:shd w:fill="CCEEFF" w:val="clear"/>
            <w:vAlign w:val="center"/>
          </w:tcPr>
          <w:p>
            <w:pPr>
              <w:pStyle w:val="TableContents"/>
              <w:bidi w:val="0"/>
              <w:spacing w:before="0" w:after="0"/>
              <w:ind w:left="144" w:right="0" w:hanging="144"/>
              <w:jc w:val="left"/>
              <w:rPr>
                <w:color w:val="000000"/>
                <w:sz w:val="24"/>
              </w:rPr>
            </w:pPr>
            <w:r>
              <w:rPr>
                <w:color w:val="000000"/>
                <w:sz w:val="24"/>
              </w:rPr>
              <w:t>Vishay Americas, Inc.</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Vishay Americas do Brasil, LTDA</w:t>
            </w:r>
          </w:p>
        </w:tc>
        <w:tc>
          <w:tcPr>
            <w:tcW w:w="3125" w:type="dxa"/>
            <w:tcBorders/>
            <w:vAlign w:val="center"/>
          </w:tcPr>
          <w:p>
            <w:pPr>
              <w:pStyle w:val="TableContents"/>
              <w:bidi w:val="0"/>
              <w:spacing w:before="0" w:after="0"/>
              <w:jc w:val="left"/>
              <w:rPr>
                <w:color w:val="000000"/>
                <w:sz w:val="24"/>
              </w:rPr>
            </w:pPr>
            <w:r>
              <w:rPr>
                <w:color w:val="000000"/>
                <w:sz w:val="24"/>
              </w:rPr>
              <w:t>Brazil</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144" w:right="0" w:hanging="144"/>
              <w:jc w:val="left"/>
              <w:rPr>
                <w:color w:val="000000"/>
                <w:sz w:val="24"/>
              </w:rPr>
            </w:pPr>
            <w:r>
              <w:rPr>
                <w:color w:val="000000"/>
                <w:sz w:val="24"/>
              </w:rPr>
              <w:t>Vishay Insurance, DAC</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Ireland</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144" w:right="0" w:hanging="144"/>
              <w:jc w:val="left"/>
              <w:rPr>
                <w:color w:val="000000"/>
                <w:sz w:val="24"/>
              </w:rPr>
            </w:pPr>
            <w:r>
              <w:rPr>
                <w:color w:val="000000"/>
                <w:sz w:val="24"/>
              </w:rPr>
              <w:t>Vishay France Holdings SAS</w:t>
            </w:r>
          </w:p>
        </w:tc>
        <w:tc>
          <w:tcPr>
            <w:tcW w:w="3125" w:type="dxa"/>
            <w:tcBorders/>
            <w:vAlign w:val="center"/>
          </w:tcPr>
          <w:p>
            <w:pPr>
              <w:pStyle w:val="TableContents"/>
              <w:bidi w:val="0"/>
              <w:spacing w:before="0" w:after="0"/>
              <w:jc w:val="left"/>
              <w:rPr>
                <w:color w:val="000000"/>
                <w:sz w:val="24"/>
              </w:rPr>
            </w:pPr>
            <w:r>
              <w:rPr>
                <w:color w:val="000000"/>
                <w:sz w:val="24"/>
              </w:rPr>
              <w:t>France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Vishay MCB Industrie S.A.S.</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France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144" w:right="0" w:hanging="144"/>
              <w:jc w:val="left"/>
              <w:rPr>
                <w:color w:val="000000"/>
                <w:sz w:val="24"/>
              </w:rPr>
            </w:pPr>
            <w:r>
              <w:rPr>
                <w:color w:val="000000"/>
                <w:sz w:val="24"/>
              </w:rPr>
              <w:t>Vishay Dale Electronics, LLC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Electronica Dale de Mexico S.A. de C.V.</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Mexico</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Vishay HiRel Systems LLC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504" w:right="0" w:hanging="144"/>
              <w:jc w:val="left"/>
              <w:rPr>
                <w:color w:val="000000"/>
                <w:sz w:val="24"/>
              </w:rPr>
            </w:pPr>
            <w:r>
              <w:rPr>
                <w:color w:val="000000"/>
                <w:sz w:val="24"/>
              </w:rPr>
              <w:t>Vishay HiRel Systems International, LLC</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144" w:right="0" w:hanging="144"/>
              <w:jc w:val="left"/>
              <w:rPr>
                <w:color w:val="000000"/>
                <w:sz w:val="24"/>
              </w:rPr>
            </w:pPr>
            <w:r>
              <w:rPr>
                <w:color w:val="000000"/>
                <w:sz w:val="24"/>
              </w:rPr>
              <w:t>Vishay Sprague, Inc.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144" w:right="0" w:hanging="144"/>
              <w:jc w:val="left"/>
              <w:rPr>
                <w:color w:val="000000"/>
                <w:sz w:val="24"/>
              </w:rPr>
            </w:pPr>
            <w:r>
              <w:rPr>
                <w:color w:val="000000"/>
                <w:sz w:val="24"/>
              </w:rPr>
              <w:t>Sprague Electric of Canada Limited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Canada</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144" w:right="0" w:hanging="144"/>
              <w:jc w:val="left"/>
              <w:rPr>
                <w:color w:val="000000"/>
                <w:sz w:val="24"/>
              </w:rPr>
            </w:pPr>
            <w:r>
              <w:rPr>
                <w:color w:val="000000"/>
                <w:sz w:val="24"/>
              </w:rPr>
              <w:t>Siliconix incorporated</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Vishay Siliconix, LLC</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Siliconix Semiconductor, LLC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283"/>
              <w:jc w:val="left"/>
              <w:rPr/>
            </w:pPr>
            <w:r>
              <w:rPr/>
              <w:t xml:space="preserve">     </w:t>
            </w:r>
            <w:r>
              <w:rPr>
                <w:sz w:val="24"/>
              </w:rPr>
              <w:t>Siliconix Electronic Co. Ltd.</w:t>
            </w:r>
          </w:p>
        </w:tc>
        <w:tc>
          <w:tcPr>
            <w:tcW w:w="3125" w:type="dxa"/>
            <w:tcBorders/>
            <w:shd w:fill="CCEEFF" w:val="clear"/>
            <w:vAlign w:val="center"/>
          </w:tcPr>
          <w:p>
            <w:pPr>
              <w:pStyle w:val="TableContents"/>
              <w:bidi w:val="0"/>
              <w:spacing w:before="0" w:after="283"/>
              <w:jc w:val="left"/>
              <w:rPr>
                <w:sz w:val="24"/>
              </w:rPr>
            </w:pPr>
            <w:r>
              <w:rPr>
                <w:sz w:val="24"/>
              </w:rPr>
              <w:t>The Republic of China (Taiwan)</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xml:space="preserve">  </w:t>
            </w:r>
            <w:r>
              <w:rPr>
                <w:sz w:val="24"/>
              </w:rPr>
              <w:t>Vishay Siliconix Ireland Ltd.</w:t>
            </w:r>
          </w:p>
        </w:tc>
        <w:tc>
          <w:tcPr>
            <w:tcW w:w="3125" w:type="dxa"/>
            <w:tcBorders/>
            <w:vAlign w:val="center"/>
          </w:tcPr>
          <w:p>
            <w:pPr>
              <w:pStyle w:val="TableContents"/>
              <w:bidi w:val="0"/>
              <w:spacing w:before="0" w:after="283"/>
              <w:jc w:val="left"/>
              <w:rPr>
                <w:sz w:val="24"/>
              </w:rPr>
            </w:pPr>
            <w:r>
              <w:rPr>
                <w:sz w:val="24"/>
              </w:rPr>
              <w:t>Ireland</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xml:space="preserve">  </w:t>
            </w:r>
            <w:r>
              <w:rPr>
                <w:sz w:val="24"/>
              </w:rPr>
              <w:t>Shanghai Simconix Electronic Company Ltd.</w:t>
            </w:r>
          </w:p>
        </w:tc>
        <w:tc>
          <w:tcPr>
            <w:tcW w:w="3125" w:type="dxa"/>
            <w:tcBorders/>
            <w:shd w:fill="CCEEFF" w:val="clear"/>
            <w:vAlign w:val="center"/>
          </w:tcPr>
          <w:p>
            <w:pPr>
              <w:pStyle w:val="TableContents"/>
              <w:bidi w:val="0"/>
              <w:spacing w:before="0" w:after="283"/>
              <w:jc w:val="left"/>
              <w:rPr>
                <w:sz w:val="24"/>
              </w:rPr>
            </w:pPr>
            <w:r>
              <w:rPr>
                <w:sz w:val="24"/>
              </w:rPr>
              <w:t>China</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Siliconix Technology C.V.</w:t>
            </w:r>
          </w:p>
        </w:tc>
        <w:tc>
          <w:tcPr>
            <w:tcW w:w="3125" w:type="dxa"/>
            <w:tcBorders/>
            <w:vAlign w:val="center"/>
          </w:tcPr>
          <w:p>
            <w:pPr>
              <w:pStyle w:val="TableContents"/>
              <w:bidi w:val="0"/>
              <w:spacing w:before="0" w:after="0"/>
              <w:jc w:val="left"/>
              <w:rPr>
                <w:color w:val="000000"/>
                <w:sz w:val="24"/>
              </w:rPr>
            </w:pPr>
            <w:r>
              <w:rPr>
                <w:color w:val="000000"/>
                <w:sz w:val="24"/>
              </w:rPr>
              <w:t>Netherlands</w:t>
            </w:r>
          </w:p>
        </w:tc>
        <w:tc>
          <w:tcPr>
            <w:tcW w:w="290" w:type="dxa"/>
            <w:tcBorders/>
            <w:vAlign w:val="center"/>
          </w:tcPr>
          <w:p>
            <w:pPr>
              <w:pStyle w:val="TableContents"/>
              <w:bidi w:val="0"/>
              <w:spacing w:before="0" w:after="0"/>
              <w:jc w:val="left"/>
              <w:rPr>
                <w:color w:val="000000"/>
                <w:sz w:val="24"/>
              </w:rPr>
            </w:pPr>
            <w:r>
              <w:rPr>
                <w:color w:val="000000"/>
                <w:sz w:val="24"/>
              </w:rPr>
              <w:t>(a)</w:t>
            </w:r>
          </w:p>
        </w:tc>
      </w:tr>
      <w:tr>
        <w:trPr/>
        <w:tc>
          <w:tcPr>
            <w:tcW w:w="5285" w:type="dxa"/>
            <w:tcBorders/>
            <w:shd w:fill="CCEEFF" w:val="clear"/>
            <w:vAlign w:val="center"/>
          </w:tcPr>
          <w:p>
            <w:pPr>
              <w:pStyle w:val="TableContents"/>
              <w:bidi w:val="0"/>
              <w:spacing w:before="0" w:after="0"/>
              <w:ind w:left="504" w:right="0" w:hanging="144"/>
              <w:jc w:val="left"/>
              <w:rPr>
                <w:color w:val="000000"/>
                <w:sz w:val="24"/>
              </w:rPr>
            </w:pPr>
            <w:r>
              <w:rPr>
                <w:color w:val="000000"/>
                <w:sz w:val="24"/>
              </w:rPr>
              <w:t>Vishay Semiconductor Italiana S.p.A.</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Italy</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504" w:right="0" w:hanging="144"/>
              <w:jc w:val="left"/>
              <w:rPr>
                <w:color w:val="000000"/>
                <w:sz w:val="24"/>
              </w:rPr>
            </w:pPr>
            <w:r>
              <w:rPr>
                <w:color w:val="000000"/>
                <w:sz w:val="24"/>
              </w:rPr>
              <w:t>Vishay Siliconix Singapore Pte. Ltd.</w:t>
            </w:r>
          </w:p>
        </w:tc>
        <w:tc>
          <w:tcPr>
            <w:tcW w:w="3125" w:type="dxa"/>
            <w:tcBorders/>
            <w:vAlign w:val="center"/>
          </w:tcPr>
          <w:p>
            <w:pPr>
              <w:pStyle w:val="TableContents"/>
              <w:bidi w:val="0"/>
              <w:spacing w:before="0" w:after="0"/>
              <w:jc w:val="left"/>
              <w:rPr>
                <w:color w:val="000000"/>
                <w:sz w:val="24"/>
              </w:rPr>
            </w:pPr>
            <w:r>
              <w:rPr>
                <w:color w:val="000000"/>
                <w:sz w:val="24"/>
              </w:rPr>
              <w:t>Singapore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677" w:right="0" w:hanging="144"/>
              <w:jc w:val="left"/>
              <w:rPr>
                <w:color w:val="000000"/>
                <w:sz w:val="24"/>
              </w:rPr>
            </w:pPr>
            <w:r>
              <w:rPr>
                <w:color w:val="000000"/>
                <w:sz w:val="24"/>
              </w:rPr>
              <w:t>Vishay Semiconductor India Pvt.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India</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504" w:right="0" w:hanging="144"/>
              <w:jc w:val="left"/>
              <w:rPr>
                <w:color w:val="000000"/>
                <w:sz w:val="24"/>
              </w:rPr>
            </w:pPr>
            <w:r>
              <w:rPr>
                <w:color w:val="000000"/>
                <w:sz w:val="24"/>
              </w:rPr>
              <w:t>Siliconix Singapore Pte Ltd</w:t>
            </w:r>
          </w:p>
        </w:tc>
        <w:tc>
          <w:tcPr>
            <w:tcW w:w="3125" w:type="dxa"/>
            <w:tcBorders/>
            <w:vAlign w:val="center"/>
          </w:tcPr>
          <w:p>
            <w:pPr>
              <w:pStyle w:val="TableContents"/>
              <w:bidi w:val="0"/>
              <w:spacing w:before="0" w:after="0"/>
              <w:jc w:val="left"/>
              <w:rPr>
                <w:color w:val="000000"/>
                <w:sz w:val="24"/>
              </w:rPr>
            </w:pPr>
            <w:r>
              <w:rPr>
                <w:color w:val="000000"/>
                <w:sz w:val="24"/>
              </w:rPr>
              <w:t>Singapore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283"/>
              <w:jc w:val="left"/>
              <w:rPr/>
            </w:pPr>
            <w:r>
              <w:rPr/>
              <w:t xml:space="preserve">  </w:t>
            </w:r>
            <w:r>
              <w:rPr>
                <w:sz w:val="24"/>
              </w:rPr>
              <w:t>MaxPower Semiconductor, Inc.</w:t>
            </w:r>
          </w:p>
        </w:tc>
        <w:tc>
          <w:tcPr>
            <w:tcW w:w="3125" w:type="dxa"/>
            <w:tcBorders/>
            <w:shd w:fill="CCEEFF" w:val="clear"/>
            <w:vAlign w:val="center"/>
          </w:tcPr>
          <w:p>
            <w:pPr>
              <w:pStyle w:val="TableContents"/>
              <w:bidi w:val="0"/>
              <w:spacing w:before="0" w:after="283"/>
              <w:jc w:val="left"/>
              <w:rPr>
                <w:sz w:val="24"/>
              </w:rPr>
            </w:pPr>
            <w:r>
              <w:rPr>
                <w:sz w:val="24"/>
              </w:rPr>
              <w:t>Delaware</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xml:space="preserve">      </w:t>
            </w:r>
            <w:r>
              <w:rPr>
                <w:sz w:val="24"/>
              </w:rPr>
              <w:t>MaxPower Semiconductor U.K., Ltd.</w:t>
            </w:r>
          </w:p>
        </w:tc>
        <w:tc>
          <w:tcPr>
            <w:tcW w:w="3125" w:type="dxa"/>
            <w:tcBorders/>
            <w:vAlign w:val="center"/>
          </w:tcPr>
          <w:p>
            <w:pPr>
              <w:pStyle w:val="TableContents"/>
              <w:bidi w:val="0"/>
              <w:spacing w:before="0" w:after="283"/>
              <w:jc w:val="left"/>
              <w:rPr>
                <w:sz w:val="24"/>
              </w:rPr>
            </w:pPr>
            <w:r>
              <w:rPr>
                <w:sz w:val="24"/>
              </w:rPr>
              <w:t xml:space="preserve">United Kingdom </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44" w:right="0" w:hanging="144"/>
              <w:jc w:val="left"/>
              <w:rPr>
                <w:color w:val="000000"/>
                <w:sz w:val="24"/>
              </w:rPr>
            </w:pPr>
            <w:r>
              <w:rPr>
                <w:color w:val="000000"/>
                <w:sz w:val="24"/>
              </w:rPr>
              <w:t>Vishay GSI, Inc.</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Vishay GSI Holdings, LLC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Vishay General Semiconductor, L.P.</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Cayman Islands</w:t>
            </w:r>
          </w:p>
        </w:tc>
        <w:tc>
          <w:tcPr>
            <w:tcW w:w="290" w:type="dxa"/>
            <w:tcBorders/>
            <w:shd w:fill="CCEEFF" w:val="clear"/>
            <w:vAlign w:val="center"/>
          </w:tcPr>
          <w:p>
            <w:pPr>
              <w:pStyle w:val="TableContents"/>
              <w:bidi w:val="0"/>
              <w:spacing w:before="0" w:after="0"/>
              <w:jc w:val="left"/>
              <w:rPr>
                <w:color w:val="000000"/>
                <w:sz w:val="24"/>
              </w:rPr>
            </w:pPr>
            <w:r>
              <w:rPr>
                <w:color w:val="000000"/>
                <w:sz w:val="24"/>
              </w:rPr>
              <w:t>(b)</w:t>
            </w:r>
          </w:p>
        </w:tc>
      </w:tr>
      <w:tr>
        <w:trPr/>
        <w:tc>
          <w:tcPr>
            <w:tcW w:w="5285" w:type="dxa"/>
            <w:tcBorders/>
            <w:vAlign w:val="center"/>
          </w:tcPr>
          <w:p>
            <w:pPr>
              <w:pStyle w:val="TableContents"/>
              <w:bidi w:val="0"/>
              <w:spacing w:before="0" w:after="0"/>
              <w:ind w:left="504" w:right="0" w:hanging="144"/>
              <w:jc w:val="left"/>
              <w:rPr>
                <w:color w:val="000000"/>
                <w:sz w:val="24"/>
              </w:rPr>
            </w:pPr>
            <w:r>
              <w:rPr>
                <w:color w:val="000000"/>
                <w:sz w:val="24"/>
              </w:rPr>
              <w:t>Vishay General Semiconductor, LLC</w:t>
            </w:r>
          </w:p>
        </w:tc>
        <w:tc>
          <w:tcPr>
            <w:tcW w:w="3125" w:type="dxa"/>
            <w:tcBorders/>
            <w:vAlign w:val="center"/>
          </w:tcPr>
          <w:p>
            <w:pPr>
              <w:pStyle w:val="TableContents"/>
              <w:bidi w:val="0"/>
              <w:spacing w:before="0" w:after="0"/>
              <w:jc w:val="left"/>
              <w:rPr>
                <w:color w:val="000000"/>
                <w:sz w:val="24"/>
              </w:rPr>
            </w:pPr>
            <w:r>
              <w:rPr>
                <w:color w:val="000000"/>
                <w:sz w:val="24"/>
              </w:rPr>
              <w:t>Delaware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677" w:right="0" w:hanging="144"/>
              <w:jc w:val="left"/>
              <w:rPr>
                <w:color w:val="000000"/>
                <w:sz w:val="24"/>
              </w:rPr>
            </w:pPr>
            <w:r>
              <w:rPr>
                <w:color w:val="000000"/>
                <w:sz w:val="24"/>
              </w:rPr>
              <w:t>Vishay General Semiconductor of Taiwan,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The Republic of China (Taiwan)</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jc w:val="left"/>
              <w:rPr/>
            </w:pPr>
            <w:r>
              <w:rPr/>
              <w:t xml:space="preserve">            </w:t>
            </w:r>
            <w:r>
              <w:rPr>
                <w:sz w:val="24"/>
              </w:rPr>
              <w:t>Vishay Capella Microsystems (Taiwan) Limited</w:t>
            </w:r>
          </w:p>
        </w:tc>
        <w:tc>
          <w:tcPr>
            <w:tcW w:w="3125" w:type="dxa"/>
            <w:tcBorders/>
            <w:vAlign w:val="center"/>
          </w:tcPr>
          <w:p>
            <w:pPr>
              <w:pStyle w:val="TableContents"/>
              <w:bidi w:val="0"/>
              <w:spacing w:before="0" w:after="283"/>
              <w:jc w:val="left"/>
              <w:rPr>
                <w:sz w:val="24"/>
              </w:rPr>
            </w:pPr>
            <w:r>
              <w:rPr>
                <w:sz w:val="24"/>
              </w:rPr>
              <w:t>The Republic of China (Taiwan)</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677" w:right="0" w:hanging="144"/>
              <w:jc w:val="left"/>
              <w:rPr>
                <w:color w:val="000000"/>
                <w:sz w:val="24"/>
              </w:rPr>
            </w:pPr>
            <w:r>
              <w:rPr>
                <w:color w:val="000000"/>
                <w:sz w:val="24"/>
              </w:rPr>
              <w:t>Vishay Asia GS Investments Pte.,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Singapore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jc w:val="left"/>
              <w:rPr/>
            </w:pPr>
            <w:r>
              <w:rPr/>
              <w:t xml:space="preserve">   </w:t>
            </w:r>
            <w:r>
              <w:rPr>
                <w:sz w:val="24"/>
              </w:rPr>
              <w:t>ECOMAL Nederland BV</w:t>
            </w:r>
          </w:p>
        </w:tc>
        <w:tc>
          <w:tcPr>
            <w:tcW w:w="3125" w:type="dxa"/>
            <w:tcBorders/>
            <w:vAlign w:val="center"/>
          </w:tcPr>
          <w:p>
            <w:pPr>
              <w:pStyle w:val="TableContents"/>
              <w:bidi w:val="0"/>
              <w:spacing w:before="0" w:after="283"/>
              <w:jc w:val="left"/>
              <w:rPr>
                <w:sz w:val="24"/>
              </w:rPr>
            </w:pPr>
            <w:r>
              <w:rPr>
                <w:sz w:val="24"/>
              </w:rPr>
              <w:t xml:space="preserve">Netherlands </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44" w:right="0" w:hanging="144"/>
              <w:jc w:val="left"/>
              <w:rPr>
                <w:color w:val="000000"/>
                <w:sz w:val="24"/>
              </w:rPr>
            </w:pPr>
            <w:r>
              <w:rPr>
                <w:color w:val="000000"/>
                <w:sz w:val="24"/>
              </w:rPr>
              <w:t>Vishay BCcomponents Holdings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Vishay BCcomponents B.V.</w:t>
            </w:r>
          </w:p>
        </w:tc>
        <w:tc>
          <w:tcPr>
            <w:tcW w:w="3125" w:type="dxa"/>
            <w:tcBorders/>
            <w:vAlign w:val="center"/>
          </w:tcPr>
          <w:p>
            <w:pPr>
              <w:pStyle w:val="TableContents"/>
              <w:bidi w:val="0"/>
              <w:spacing w:before="0" w:after="0"/>
              <w:jc w:val="left"/>
              <w:rPr>
                <w:color w:val="000000"/>
                <w:sz w:val="24"/>
              </w:rPr>
            </w:pPr>
            <w:r>
              <w:rPr>
                <w:color w:val="000000"/>
                <w:sz w:val="24"/>
              </w:rPr>
              <w:t>Netherlands</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504" w:right="0" w:hanging="144"/>
              <w:jc w:val="left"/>
              <w:rPr>
                <w:color w:val="000000"/>
                <w:sz w:val="24"/>
              </w:rPr>
            </w:pPr>
            <w:r>
              <w:rPr>
                <w:color w:val="000000"/>
                <w:sz w:val="24"/>
              </w:rPr>
              <w:t>Vishay Capacitors Belgium NV</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Belgium</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504" w:right="0" w:hanging="144"/>
              <w:jc w:val="left"/>
              <w:rPr>
                <w:color w:val="000000"/>
                <w:sz w:val="24"/>
              </w:rPr>
            </w:pPr>
            <w:r>
              <w:rPr>
                <w:color w:val="000000"/>
                <w:sz w:val="24"/>
              </w:rPr>
              <w:t>Vishay Resistors Belgium BV</w:t>
            </w:r>
          </w:p>
        </w:tc>
        <w:tc>
          <w:tcPr>
            <w:tcW w:w="3125" w:type="dxa"/>
            <w:tcBorders/>
            <w:vAlign w:val="center"/>
          </w:tcPr>
          <w:p>
            <w:pPr>
              <w:pStyle w:val="TableContents"/>
              <w:bidi w:val="0"/>
              <w:spacing w:before="0" w:after="0"/>
              <w:jc w:val="left"/>
              <w:rPr>
                <w:color w:val="000000"/>
                <w:sz w:val="24"/>
              </w:rPr>
            </w:pPr>
            <w:r>
              <w:rPr>
                <w:color w:val="000000"/>
                <w:sz w:val="24"/>
              </w:rPr>
              <w:t>Belgium</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504" w:right="0" w:hanging="144"/>
              <w:jc w:val="left"/>
              <w:rPr>
                <w:color w:val="000000"/>
                <w:sz w:val="24"/>
              </w:rPr>
            </w:pPr>
            <w:r>
              <w:rPr>
                <w:color w:val="000000"/>
                <w:sz w:val="24"/>
              </w:rPr>
              <w:t>Vishay Components India Pvt.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India</w:t>
            </w:r>
          </w:p>
        </w:tc>
        <w:tc>
          <w:tcPr>
            <w:tcW w:w="290" w:type="dxa"/>
            <w:tcBorders/>
            <w:shd w:fill="CCEEFF" w:val="clear"/>
            <w:vAlign w:val="center"/>
          </w:tcPr>
          <w:p>
            <w:pPr>
              <w:pStyle w:val="TableContents"/>
              <w:bidi w:val="0"/>
              <w:spacing w:before="0" w:after="0"/>
              <w:jc w:val="left"/>
              <w:rPr>
                <w:color w:val="000000"/>
                <w:sz w:val="24"/>
              </w:rPr>
            </w:pPr>
            <w:r>
              <w:rPr>
                <w:color w:val="000000"/>
                <w:sz w:val="24"/>
              </w:rPr>
              <w:t>(c)</w:t>
            </w:r>
          </w:p>
        </w:tc>
      </w:tr>
      <w:tr>
        <w:trPr/>
        <w:tc>
          <w:tcPr>
            <w:tcW w:w="5285" w:type="dxa"/>
            <w:tcBorders/>
            <w:vAlign w:val="center"/>
          </w:tcPr>
          <w:p>
            <w:pPr>
              <w:pStyle w:val="TableContents"/>
              <w:bidi w:val="0"/>
              <w:spacing w:before="0" w:after="0"/>
              <w:ind w:left="504" w:right="0" w:hanging="144"/>
              <w:jc w:val="left"/>
              <w:rPr>
                <w:color w:val="000000"/>
                <w:sz w:val="24"/>
              </w:rPr>
            </w:pPr>
            <w:r>
              <w:rPr>
                <w:color w:val="000000"/>
                <w:sz w:val="24"/>
              </w:rPr>
              <w:t>Vishay BCcomponents Hong Kong Ltd.</w:t>
            </w:r>
          </w:p>
        </w:tc>
        <w:tc>
          <w:tcPr>
            <w:tcW w:w="3125" w:type="dxa"/>
            <w:tcBorders/>
            <w:vAlign w:val="center"/>
          </w:tcPr>
          <w:p>
            <w:pPr>
              <w:pStyle w:val="TableContents"/>
              <w:bidi w:val="0"/>
              <w:spacing w:before="0" w:after="0"/>
              <w:jc w:val="left"/>
              <w:rPr>
                <w:color w:val="000000"/>
                <w:sz w:val="24"/>
              </w:rPr>
            </w:pPr>
            <w:r>
              <w:rPr>
                <w:color w:val="000000"/>
                <w:sz w:val="24"/>
              </w:rPr>
              <w:t>Hong Kong</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677" w:right="0" w:hanging="144"/>
              <w:jc w:val="left"/>
              <w:rPr>
                <w:color w:val="000000"/>
                <w:sz w:val="24"/>
              </w:rPr>
            </w:pPr>
            <w:r>
              <w:rPr>
                <w:color w:val="000000"/>
                <w:sz w:val="24"/>
              </w:rPr>
              <w:t>Vishay Hong Kong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Hong Kong</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144" w:right="0" w:hanging="144"/>
              <w:jc w:val="left"/>
              <w:rPr>
                <w:color w:val="000000"/>
                <w:sz w:val="24"/>
              </w:rPr>
            </w:pPr>
            <w:r>
              <w:rPr>
                <w:color w:val="000000"/>
                <w:sz w:val="24"/>
              </w:rPr>
              <w:t>Vishay Intertechnology Asia Pte Ltd.</w:t>
            </w:r>
          </w:p>
        </w:tc>
        <w:tc>
          <w:tcPr>
            <w:tcW w:w="3125" w:type="dxa"/>
            <w:tcBorders/>
            <w:vAlign w:val="center"/>
          </w:tcPr>
          <w:p>
            <w:pPr>
              <w:pStyle w:val="TableContents"/>
              <w:bidi w:val="0"/>
              <w:spacing w:before="0" w:after="0"/>
              <w:jc w:val="left"/>
              <w:rPr>
                <w:color w:val="000000"/>
                <w:sz w:val="24"/>
              </w:rPr>
            </w:pPr>
            <w:r>
              <w:rPr>
                <w:color w:val="000000"/>
                <w:sz w:val="24"/>
              </w:rPr>
              <w:t>Singapore</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Vishay Japan Co.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Japan</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ind w:left="288" w:right="0" w:hanging="144"/>
              <w:jc w:val="left"/>
              <w:rPr>
                <w:color w:val="000000"/>
                <w:sz w:val="24"/>
              </w:rPr>
            </w:pPr>
            <w:r>
              <w:rPr>
                <w:color w:val="000000"/>
                <w:sz w:val="24"/>
              </w:rPr>
              <w:t>Vishay Korea Co. Ltd.</w:t>
            </w:r>
          </w:p>
        </w:tc>
        <w:tc>
          <w:tcPr>
            <w:tcW w:w="3125" w:type="dxa"/>
            <w:tcBorders/>
            <w:vAlign w:val="center"/>
          </w:tcPr>
          <w:p>
            <w:pPr>
              <w:pStyle w:val="TableContents"/>
              <w:bidi w:val="0"/>
              <w:spacing w:before="0" w:after="0"/>
              <w:jc w:val="left"/>
              <w:rPr>
                <w:color w:val="000000"/>
                <w:sz w:val="24"/>
              </w:rPr>
            </w:pPr>
            <w:r>
              <w:rPr>
                <w:color w:val="000000"/>
                <w:sz w:val="24"/>
              </w:rPr>
              <w:t>Korea</w:t>
            </w:r>
          </w:p>
        </w:tc>
        <w:tc>
          <w:tcPr>
            <w:tcW w:w="290" w:type="dxa"/>
            <w:tcBorders/>
            <w:vAlign w:val="center"/>
          </w:tcPr>
          <w:p>
            <w:pPr>
              <w:pStyle w:val="TableContents"/>
              <w:bidi w:val="0"/>
              <w:spacing w:before="0" w:after="0"/>
              <w:jc w:val="left"/>
              <w:rPr>
                <w:color w:val="000000"/>
              </w:rPr>
            </w:pPr>
            <w:r>
              <w:rPr>
                <w:color w:val="000000"/>
              </w:rPr>
              <w:t> </w:t>
            </w:r>
          </w:p>
        </w:tc>
      </w:tr>
      <w:tr>
        <w:trPr/>
        <w:tc>
          <w:tcPr>
            <w:tcW w:w="5285" w:type="dxa"/>
            <w:tcBorders/>
            <w:shd w:fill="CCEEFF" w:val="clear"/>
            <w:vAlign w:val="center"/>
          </w:tcPr>
          <w:p>
            <w:pPr>
              <w:pStyle w:val="TableContents"/>
              <w:bidi w:val="0"/>
              <w:spacing w:before="0" w:after="0"/>
              <w:ind w:left="288" w:right="0" w:hanging="144"/>
              <w:jc w:val="left"/>
              <w:rPr>
                <w:color w:val="000000"/>
                <w:sz w:val="24"/>
              </w:rPr>
            </w:pPr>
            <w:r>
              <w:rPr>
                <w:color w:val="000000"/>
                <w:sz w:val="24"/>
              </w:rPr>
              <w:t>Vishay (Taiwan) Ltd.</w:t>
            </w:r>
          </w:p>
        </w:tc>
        <w:tc>
          <w:tcPr>
            <w:tcW w:w="3125" w:type="dxa"/>
            <w:tcBorders/>
            <w:shd w:fill="CCEEFF" w:val="clear"/>
            <w:vAlign w:val="center"/>
          </w:tcPr>
          <w:p>
            <w:pPr>
              <w:pStyle w:val="TableContents"/>
              <w:bidi w:val="0"/>
              <w:spacing w:before="0" w:after="0"/>
              <w:jc w:val="left"/>
              <w:rPr>
                <w:color w:val="000000"/>
                <w:sz w:val="24"/>
              </w:rPr>
            </w:pPr>
            <w:r>
              <w:rPr>
                <w:color w:val="000000"/>
                <w:sz w:val="24"/>
              </w:rPr>
              <w:t>The Republic of China (Taiwan)</w:t>
            </w:r>
          </w:p>
        </w:tc>
        <w:tc>
          <w:tcPr>
            <w:tcW w:w="290" w:type="dxa"/>
            <w:tcBorders/>
            <w:shd w:fill="CCEEFF" w:val="clear"/>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jc w:val="left"/>
              <w:rPr/>
            </w:pPr>
            <w:r>
              <w:rPr/>
              <w:t xml:space="preserve">   </w:t>
            </w:r>
            <w:r>
              <w:rPr>
                <w:sz w:val="24"/>
              </w:rPr>
              <w:t>Vishay Malaysia Sdn. Bhd.</w:t>
            </w:r>
          </w:p>
        </w:tc>
        <w:tc>
          <w:tcPr>
            <w:tcW w:w="3125" w:type="dxa"/>
            <w:tcBorders/>
            <w:vAlign w:val="center"/>
          </w:tcPr>
          <w:p>
            <w:pPr>
              <w:pStyle w:val="TableContents"/>
              <w:bidi w:val="0"/>
              <w:spacing w:before="0" w:after="283"/>
              <w:jc w:val="left"/>
              <w:rPr>
                <w:sz w:val="24"/>
              </w:rPr>
            </w:pPr>
            <w:r>
              <w:rPr>
                <w:sz w:val="24"/>
              </w:rPr>
              <w:t>Malaysia</w:t>
            </w:r>
          </w:p>
        </w:tc>
        <w:tc>
          <w:tcPr>
            <w:tcW w:w="290" w:type="dxa"/>
            <w:tcBorders/>
            <w:vAlign w:val="center"/>
          </w:tcPr>
          <w:p>
            <w:pPr>
              <w:pStyle w:val="TableContents"/>
              <w:bidi w:val="0"/>
              <w:spacing w:before="0" w:after="283"/>
              <w:jc w:val="left"/>
              <w:rPr/>
            </w:pPr>
            <w:r>
              <w:rPr/>
            </w:r>
          </w:p>
        </w:tc>
      </w:tr>
      <w:tr>
        <w:trPr/>
        <w:tc>
          <w:tcPr>
            <w:tcW w:w="5285" w:type="dxa"/>
            <w:tcBorders/>
            <w:shd w:fill="CCEEFF" w:val="clear"/>
            <w:vAlign w:val="center"/>
          </w:tcPr>
          <w:p>
            <w:pPr>
              <w:pStyle w:val="TableContents"/>
              <w:bidi w:val="0"/>
              <w:spacing w:before="0" w:after="283"/>
              <w:jc w:val="left"/>
              <w:rPr/>
            </w:pPr>
            <w:r>
              <w:rPr/>
              <w:t> </w:t>
            </w:r>
            <w:r>
              <w:rPr>
                <w:sz w:val="24"/>
              </w:rPr>
              <w:t>Vishay Dutch Holdings B.V.</w:t>
            </w:r>
          </w:p>
        </w:tc>
        <w:tc>
          <w:tcPr>
            <w:tcW w:w="3125" w:type="dxa"/>
            <w:tcBorders/>
            <w:shd w:fill="CCEEFF" w:val="clear"/>
            <w:vAlign w:val="center"/>
          </w:tcPr>
          <w:p>
            <w:pPr>
              <w:pStyle w:val="TableContents"/>
              <w:bidi w:val="0"/>
              <w:spacing w:before="0" w:after="283"/>
              <w:jc w:val="left"/>
              <w:rPr>
                <w:sz w:val="24"/>
              </w:rPr>
            </w:pPr>
            <w:r>
              <w:rPr>
                <w:sz w:val="24"/>
              </w:rPr>
              <w:t>Netherlands</w:t>
            </w:r>
          </w:p>
        </w:tc>
        <w:tc>
          <w:tcPr>
            <w:tcW w:w="290" w:type="dxa"/>
            <w:tcBorders/>
            <w:shd w:fill="CCEEFF" w:val="clear"/>
            <w:vAlign w:val="center"/>
          </w:tcPr>
          <w:p>
            <w:pPr>
              <w:pStyle w:val="TableContents"/>
              <w:bidi w:val="0"/>
              <w:spacing w:before="0" w:after="283"/>
              <w:jc w:val="left"/>
              <w:rPr/>
            </w:pPr>
            <w:r>
              <w:rPr/>
            </w:r>
          </w:p>
        </w:tc>
      </w:tr>
    </w:tbl>
    <w:p>
      <w:pPr>
        <w:pStyle w:val="TextBody"/>
        <w:widowControl/>
        <w:bidi w:val="0"/>
        <w:spacing w:before="200" w:after="20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40" w:after="24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24"/>
        </w:rPr>
      </w:pPr>
      <w:r>
        <w:rPr>
          <w:rFonts w:ascii="Times New Roman;Times;serif" w:hAnsi="Times New Roman;Times;serif"/>
          <w:b/>
          <w:i w:val="false"/>
          <w:caps w:val="false"/>
          <w:smallCaps w:val="false"/>
          <w:color w:val="000000"/>
          <w:spacing w:val="0"/>
          <w:sz w:val="24"/>
        </w:rPr>
        <w:t>Subsidiaries of the Registrant (continued)</w:t>
      </w:r>
    </w:p>
    <w:p>
      <w:pPr>
        <w:pStyle w:val="TextBody"/>
        <w:widowControl/>
        <w:bidi w:val="0"/>
        <w:spacing w:before="0" w:after="0"/>
        <w:jc w:val="left"/>
        <w:rPr>
          <w:sz w:val="24"/>
        </w:rPr>
      </w:pPr>
      <w:r>
        <w:rPr>
          <w:sz w:val="24"/>
        </w:rPr>
      </w:r>
    </w:p>
    <w:p>
      <w:pPr>
        <w:pStyle w:val="Normal"/>
        <w:widowControl/>
        <w:bidi w:val="0"/>
        <w:spacing w:before="0" w:after="0"/>
        <w:jc w:val="left"/>
        <w:rPr>
          <w:sz w:val="4"/>
          <w:szCs w:val="4"/>
        </w:rPr>
      </w:pPr>
      <w:r>
        <w:rPr>
          <w:sz w:val="4"/>
          <w:szCs w:val="4"/>
        </w:rPr>
      </w:r>
      <w:bookmarkStart w:id="57" w:name="0f545fc5a5eb4c509d122db909e147fd"/>
      <w:bookmarkStart w:id="58" w:name="0f545fc5a5eb4c509d122db909e147fd"/>
      <w:bookmarkEnd w:id="58"/>
    </w:p>
    <w:tbl>
      <w:tblPr>
        <w:tblW w:w="6660" w:type="dxa"/>
        <w:jc w:val="left"/>
        <w:tblInd w:w="0" w:type="dxa"/>
        <w:tblLayout w:type="fixed"/>
        <w:tblCellMar>
          <w:top w:w="0" w:type="dxa"/>
          <w:left w:w="0" w:type="dxa"/>
          <w:bottom w:w="0" w:type="dxa"/>
          <w:right w:w="0" w:type="dxa"/>
        </w:tblCellMar>
      </w:tblPr>
      <w:tblGrid>
        <w:gridCol w:w="4745"/>
        <w:gridCol w:w="1625"/>
        <w:gridCol w:w="290"/>
      </w:tblGrid>
      <w:tr>
        <w:trPr/>
        <w:tc>
          <w:tcPr>
            <w:tcW w:w="4745" w:type="dxa"/>
            <w:tcBorders/>
            <w:vAlign w:val="center"/>
          </w:tcPr>
          <w:p>
            <w:pPr>
              <w:pStyle w:val="TableContents"/>
              <w:bidi w:val="0"/>
              <w:spacing w:before="0" w:after="0"/>
              <w:jc w:val="left"/>
              <w:rPr>
                <w:color w:val="000000"/>
                <w:sz w:val="24"/>
              </w:rPr>
            </w:pPr>
            <w:r>
              <w:rPr>
                <w:color w:val="000000"/>
                <w:sz w:val="24"/>
              </w:rPr>
              <w:t>Vishay Israel Limited</w:t>
            </w:r>
          </w:p>
        </w:tc>
        <w:tc>
          <w:tcPr>
            <w:tcW w:w="1625" w:type="dxa"/>
            <w:tcBorders/>
            <w:vAlign w:val="center"/>
          </w:tcPr>
          <w:p>
            <w:pPr>
              <w:pStyle w:val="TableContents"/>
              <w:bidi w:val="0"/>
              <w:spacing w:before="0" w:after="0"/>
              <w:jc w:val="left"/>
              <w:rPr>
                <w:color w:val="000000"/>
                <w:sz w:val="24"/>
              </w:rPr>
            </w:pPr>
            <w:r>
              <w:rPr>
                <w:color w:val="000000"/>
                <w:sz w:val="24"/>
              </w:rPr>
              <w:t>Israel</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144" w:right="0" w:hanging="0"/>
              <w:jc w:val="left"/>
              <w:rPr>
                <w:color w:val="000000"/>
                <w:sz w:val="24"/>
              </w:rPr>
            </w:pPr>
            <w:r>
              <w:rPr>
                <w:color w:val="000000"/>
                <w:sz w:val="24"/>
              </w:rPr>
              <w:t>Z.T.R. Electronics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Israel</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144" w:right="0" w:hanging="0"/>
              <w:jc w:val="left"/>
              <w:rPr>
                <w:color w:val="000000"/>
                <w:sz w:val="24"/>
              </w:rPr>
            </w:pPr>
            <w:r>
              <w:rPr>
                <w:color w:val="000000"/>
                <w:sz w:val="24"/>
              </w:rPr>
              <w:t>ECOMAL Israel Ltd.</w:t>
            </w:r>
          </w:p>
        </w:tc>
        <w:tc>
          <w:tcPr>
            <w:tcW w:w="1625" w:type="dxa"/>
            <w:tcBorders/>
            <w:vAlign w:val="center"/>
          </w:tcPr>
          <w:p>
            <w:pPr>
              <w:pStyle w:val="TableContents"/>
              <w:bidi w:val="0"/>
              <w:spacing w:before="0" w:after="0"/>
              <w:jc w:val="left"/>
              <w:rPr>
                <w:color w:val="000000"/>
                <w:sz w:val="24"/>
              </w:rPr>
            </w:pPr>
            <w:r>
              <w:rPr>
                <w:color w:val="000000"/>
                <w:sz w:val="24"/>
              </w:rPr>
              <w:t>Israel</w:t>
            </w:r>
          </w:p>
        </w:tc>
        <w:tc>
          <w:tcPr>
            <w:tcW w:w="290" w:type="dxa"/>
            <w:tcBorders/>
            <w:vAlign w:val="center"/>
          </w:tcPr>
          <w:p>
            <w:pPr>
              <w:pStyle w:val="TableContents"/>
              <w:bidi w:val="0"/>
              <w:spacing w:before="0" w:after="0"/>
              <w:jc w:val="left"/>
              <w:rPr>
                <w:color w:val="000000"/>
                <w:sz w:val="24"/>
              </w:rPr>
            </w:pPr>
            <w:r>
              <w:rPr>
                <w:color w:val="000000"/>
                <w:sz w:val="24"/>
              </w:rPr>
              <w:t>(d)</w:t>
            </w:r>
          </w:p>
        </w:tc>
      </w:tr>
      <w:tr>
        <w:trPr/>
        <w:tc>
          <w:tcPr>
            <w:tcW w:w="4745" w:type="dxa"/>
            <w:tcBorders/>
            <w:shd w:fill="CCEEFF" w:val="clear"/>
            <w:vAlign w:val="center"/>
          </w:tcPr>
          <w:p>
            <w:pPr>
              <w:pStyle w:val="TableContents"/>
              <w:bidi w:val="0"/>
              <w:spacing w:before="0" w:after="283"/>
              <w:jc w:val="left"/>
              <w:rPr/>
            </w:pPr>
            <w:r>
              <w:rPr/>
              <w:t>  </w:t>
            </w:r>
            <w:r>
              <w:rPr>
                <w:sz w:val="24"/>
              </w:rPr>
              <w:t>Vishay Polytech Co. Ltd.</w:t>
            </w:r>
          </w:p>
        </w:tc>
        <w:tc>
          <w:tcPr>
            <w:tcW w:w="1625" w:type="dxa"/>
            <w:tcBorders/>
            <w:shd w:fill="CCEEFF" w:val="clear"/>
            <w:vAlign w:val="center"/>
          </w:tcPr>
          <w:p>
            <w:pPr>
              <w:pStyle w:val="TableContents"/>
              <w:bidi w:val="0"/>
              <w:spacing w:before="0" w:after="283"/>
              <w:jc w:val="left"/>
              <w:rPr>
                <w:sz w:val="24"/>
              </w:rPr>
            </w:pPr>
            <w:r>
              <w:rPr>
                <w:sz w:val="24"/>
              </w:rPr>
              <w:t>Japan</w:t>
            </w:r>
          </w:p>
        </w:tc>
        <w:tc>
          <w:tcPr>
            <w:tcW w:w="290" w:type="dxa"/>
            <w:tcBorders/>
            <w:shd w:fill="CCEEFF" w:val="clear"/>
            <w:vAlign w:val="center"/>
          </w:tcPr>
          <w:p>
            <w:pPr>
              <w:pStyle w:val="TableContents"/>
              <w:bidi w:val="0"/>
              <w:spacing w:before="0" w:after="283"/>
              <w:jc w:val="left"/>
              <w:rPr/>
            </w:pPr>
            <w:r>
              <w:rPr/>
            </w:r>
          </w:p>
        </w:tc>
      </w:tr>
      <w:tr>
        <w:trPr/>
        <w:tc>
          <w:tcPr>
            <w:tcW w:w="4745" w:type="dxa"/>
            <w:tcBorders/>
            <w:vAlign w:val="center"/>
          </w:tcPr>
          <w:p>
            <w:pPr>
              <w:pStyle w:val="TableContents"/>
              <w:bidi w:val="0"/>
              <w:spacing w:before="0" w:after="0"/>
              <w:jc w:val="left"/>
              <w:rPr/>
            </w:pPr>
            <w:r>
              <w:rPr/>
              <w:t xml:space="preserve">  </w:t>
            </w:r>
            <w:r>
              <w:rPr>
                <w:rFonts w:ascii="Times New Roman;Times;serif" w:hAnsi="Times New Roman;Times;serif"/>
                <w:sz w:val="24"/>
              </w:rPr>
              <w:t>Vishay La Laguna S. DE R.L. DE C.V.</w:t>
            </w:r>
          </w:p>
        </w:tc>
        <w:tc>
          <w:tcPr>
            <w:tcW w:w="1625" w:type="dxa"/>
            <w:tcBorders/>
            <w:vAlign w:val="center"/>
          </w:tcPr>
          <w:p>
            <w:pPr>
              <w:pStyle w:val="TableContents"/>
              <w:bidi w:val="0"/>
              <w:spacing w:before="0" w:after="283"/>
              <w:jc w:val="left"/>
              <w:rPr>
                <w:sz w:val="24"/>
              </w:rPr>
            </w:pPr>
            <w:r>
              <w:rPr>
                <w:sz w:val="24"/>
              </w:rPr>
              <w:t>Mexico</w:t>
            </w:r>
          </w:p>
        </w:tc>
        <w:tc>
          <w:tcPr>
            <w:tcW w:w="290" w:type="dxa"/>
            <w:tcBorders/>
            <w:vAlign w:val="center"/>
          </w:tcPr>
          <w:p>
            <w:pPr>
              <w:pStyle w:val="TableContents"/>
              <w:bidi w:val="0"/>
              <w:spacing w:before="0" w:after="283"/>
              <w:jc w:val="left"/>
              <w:rPr>
                <w:sz w:val="24"/>
              </w:rPr>
            </w:pPr>
            <w:r>
              <w:rPr>
                <w:sz w:val="24"/>
              </w:rPr>
              <w:t>(e)</w:t>
            </w:r>
          </w:p>
        </w:tc>
      </w:tr>
      <w:tr>
        <w:trPr/>
        <w:tc>
          <w:tcPr>
            <w:tcW w:w="4745" w:type="dxa"/>
            <w:tcBorders/>
            <w:shd w:fill="CCEEFF" w:val="clear"/>
            <w:vAlign w:val="center"/>
          </w:tcPr>
          <w:p>
            <w:pPr>
              <w:pStyle w:val="TableContents"/>
              <w:bidi w:val="0"/>
              <w:spacing w:before="0" w:after="0"/>
              <w:ind w:left="144" w:right="0" w:hanging="0"/>
              <w:jc w:val="left"/>
              <w:rPr>
                <w:color w:val="000000"/>
                <w:sz w:val="24"/>
              </w:rPr>
            </w:pPr>
            <w:r>
              <w:rPr>
                <w:color w:val="000000"/>
                <w:sz w:val="24"/>
              </w:rPr>
              <w:t>Vishay Europe GmbH</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Germany</w:t>
            </w:r>
          </w:p>
        </w:tc>
        <w:tc>
          <w:tcPr>
            <w:tcW w:w="290" w:type="dxa"/>
            <w:tcBorders/>
            <w:shd w:fill="CCEEFF" w:val="clear"/>
            <w:vAlign w:val="center"/>
          </w:tcPr>
          <w:p>
            <w:pPr>
              <w:pStyle w:val="TableContents"/>
              <w:bidi w:val="0"/>
              <w:spacing w:before="0" w:after="0"/>
              <w:jc w:val="left"/>
              <w:rPr>
                <w:color w:val="000000"/>
                <w:sz w:val="24"/>
              </w:rPr>
            </w:pPr>
            <w:r>
              <w:rPr>
                <w:color w:val="000000"/>
                <w:sz w:val="24"/>
              </w:rPr>
              <w:t>(f)</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Europe Sales GmbH</w:t>
            </w:r>
          </w:p>
        </w:tc>
        <w:tc>
          <w:tcPr>
            <w:tcW w:w="1625" w:type="dxa"/>
            <w:tcBorders/>
            <w:vAlign w:val="center"/>
          </w:tcPr>
          <w:p>
            <w:pPr>
              <w:pStyle w:val="TableContents"/>
              <w:bidi w:val="0"/>
              <w:spacing w:before="0" w:after="0"/>
              <w:jc w:val="left"/>
              <w:rPr>
                <w:color w:val="000000"/>
                <w:sz w:val="24"/>
              </w:rPr>
            </w:pPr>
            <w:r>
              <w:rPr>
                <w:color w:val="000000"/>
                <w:sz w:val="24"/>
              </w:rPr>
              <w:t>Germany</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Vishay BCcomponents Austria GmbH</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Austria</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283"/>
              <w:jc w:val="left"/>
              <w:rPr/>
            </w:pPr>
            <w:r>
              <w:rPr/>
              <w:t xml:space="preserve">        </w:t>
            </w:r>
            <w:r>
              <w:rPr>
                <w:sz w:val="24"/>
              </w:rPr>
              <w:t>Vishay Semiconductor Ges.mbH</w:t>
            </w:r>
          </w:p>
        </w:tc>
        <w:tc>
          <w:tcPr>
            <w:tcW w:w="1625" w:type="dxa"/>
            <w:tcBorders/>
            <w:vAlign w:val="center"/>
          </w:tcPr>
          <w:p>
            <w:pPr>
              <w:pStyle w:val="TableContents"/>
              <w:bidi w:val="0"/>
              <w:spacing w:before="0" w:after="283"/>
              <w:jc w:val="left"/>
              <w:rPr>
                <w:sz w:val="24"/>
              </w:rPr>
            </w:pPr>
            <w:r>
              <w:rPr>
                <w:sz w:val="24"/>
              </w:rPr>
              <w:t>Austria</w:t>
            </w:r>
          </w:p>
        </w:tc>
        <w:tc>
          <w:tcPr>
            <w:tcW w:w="29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Vishay Electronic GmbH</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Germany</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Siliconix Itzehoe GmbH</w:t>
            </w:r>
          </w:p>
        </w:tc>
        <w:tc>
          <w:tcPr>
            <w:tcW w:w="1625" w:type="dxa"/>
            <w:tcBorders/>
            <w:vAlign w:val="center"/>
          </w:tcPr>
          <w:p>
            <w:pPr>
              <w:pStyle w:val="TableContents"/>
              <w:bidi w:val="0"/>
              <w:spacing w:before="0" w:after="0"/>
              <w:jc w:val="left"/>
              <w:rPr>
                <w:color w:val="000000"/>
                <w:sz w:val="24"/>
              </w:rPr>
            </w:pPr>
            <w:r>
              <w:rPr>
                <w:color w:val="000000"/>
                <w:sz w:val="24"/>
              </w:rPr>
              <w:t>Germany</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Vishay Electronica Portugal Lda.</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Portugal</w:t>
            </w:r>
          </w:p>
        </w:tc>
        <w:tc>
          <w:tcPr>
            <w:tcW w:w="290" w:type="dxa"/>
            <w:tcBorders/>
            <w:shd w:fill="CCEEFF" w:val="clear"/>
            <w:vAlign w:val="center"/>
          </w:tcPr>
          <w:p>
            <w:pPr>
              <w:pStyle w:val="TableContents"/>
              <w:bidi w:val="0"/>
              <w:spacing w:before="0" w:after="0"/>
              <w:jc w:val="left"/>
              <w:rPr>
                <w:color w:val="000000"/>
                <w:sz w:val="24"/>
              </w:rPr>
            </w:pPr>
            <w:r>
              <w:rPr>
                <w:color w:val="000000"/>
                <w:sz w:val="24"/>
              </w:rPr>
              <w:t>(g)</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ECOMAL Europe GmbH</w:t>
            </w:r>
          </w:p>
        </w:tc>
        <w:tc>
          <w:tcPr>
            <w:tcW w:w="1625" w:type="dxa"/>
            <w:tcBorders/>
            <w:vAlign w:val="center"/>
          </w:tcPr>
          <w:p>
            <w:pPr>
              <w:pStyle w:val="TableContents"/>
              <w:bidi w:val="0"/>
              <w:spacing w:before="0" w:after="0"/>
              <w:jc w:val="left"/>
              <w:rPr>
                <w:color w:val="000000"/>
                <w:sz w:val="24"/>
              </w:rPr>
            </w:pPr>
            <w:r>
              <w:rPr>
                <w:color w:val="000000"/>
                <w:sz w:val="24"/>
              </w:rPr>
              <w:t>Germany</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Sweden AB</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Sweden</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ECOMAL Schweiz A.G.</w:t>
            </w:r>
          </w:p>
        </w:tc>
        <w:tc>
          <w:tcPr>
            <w:tcW w:w="1625" w:type="dxa"/>
            <w:tcBorders/>
            <w:vAlign w:val="center"/>
          </w:tcPr>
          <w:p>
            <w:pPr>
              <w:pStyle w:val="TableContents"/>
              <w:bidi w:val="0"/>
              <w:spacing w:before="0" w:after="0"/>
              <w:jc w:val="left"/>
              <w:rPr>
                <w:color w:val="000000"/>
                <w:sz w:val="24"/>
              </w:rPr>
            </w:pPr>
            <w:r>
              <w:rPr>
                <w:color w:val="000000"/>
                <w:sz w:val="24"/>
              </w:rPr>
              <w:t>Switzerland</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Austria GmbH</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Austria</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Components, S.A.</w:t>
            </w:r>
          </w:p>
        </w:tc>
        <w:tc>
          <w:tcPr>
            <w:tcW w:w="1625" w:type="dxa"/>
            <w:tcBorders/>
            <w:vAlign w:val="center"/>
          </w:tcPr>
          <w:p>
            <w:pPr>
              <w:pStyle w:val="TableContents"/>
              <w:bidi w:val="0"/>
              <w:spacing w:before="0" w:after="0"/>
              <w:jc w:val="left"/>
              <w:rPr>
                <w:color w:val="000000"/>
                <w:sz w:val="24"/>
              </w:rPr>
            </w:pPr>
            <w:r>
              <w:rPr>
                <w:color w:val="000000"/>
                <w:sz w:val="24"/>
              </w:rPr>
              <w:t>Spain</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Iberia S.A.U.</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Spain</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ECOMAL Belgium BV</w:t>
            </w:r>
          </w:p>
        </w:tc>
        <w:tc>
          <w:tcPr>
            <w:tcW w:w="1625" w:type="dxa"/>
            <w:tcBorders/>
            <w:vAlign w:val="center"/>
          </w:tcPr>
          <w:p>
            <w:pPr>
              <w:pStyle w:val="TableContents"/>
              <w:bidi w:val="0"/>
              <w:spacing w:before="0" w:after="0"/>
              <w:jc w:val="left"/>
              <w:rPr>
                <w:color w:val="000000"/>
                <w:sz w:val="24"/>
              </w:rPr>
            </w:pPr>
            <w:r>
              <w:rPr>
                <w:color w:val="000000"/>
                <w:sz w:val="24"/>
              </w:rPr>
              <w:t>Belgium</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Ceska republika S.r.O.</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Czech Republic</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ECOMAL Denmark A/S</w:t>
            </w:r>
          </w:p>
        </w:tc>
        <w:tc>
          <w:tcPr>
            <w:tcW w:w="1625" w:type="dxa"/>
            <w:tcBorders/>
            <w:vAlign w:val="center"/>
          </w:tcPr>
          <w:p>
            <w:pPr>
              <w:pStyle w:val="TableContents"/>
              <w:bidi w:val="0"/>
              <w:spacing w:before="0" w:after="0"/>
              <w:jc w:val="left"/>
              <w:rPr>
                <w:color w:val="000000"/>
                <w:sz w:val="24"/>
              </w:rPr>
            </w:pPr>
            <w:r>
              <w:rPr>
                <w:color w:val="000000"/>
                <w:sz w:val="24"/>
              </w:rPr>
              <w:t>Denmark</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Finland OY</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Finland</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ECOMAL France S.A.S.</w:t>
            </w:r>
          </w:p>
        </w:tc>
        <w:tc>
          <w:tcPr>
            <w:tcW w:w="1625" w:type="dxa"/>
            <w:tcBorders/>
            <w:vAlign w:val="center"/>
          </w:tcPr>
          <w:p>
            <w:pPr>
              <w:pStyle w:val="TableContents"/>
              <w:bidi w:val="0"/>
              <w:spacing w:before="0" w:after="0"/>
              <w:jc w:val="left"/>
              <w:rPr>
                <w:color w:val="000000"/>
                <w:sz w:val="24"/>
              </w:rPr>
            </w:pPr>
            <w:r>
              <w:rPr>
                <w:color w:val="000000"/>
                <w:sz w:val="24"/>
              </w:rPr>
              <w:t>France</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UK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United Kingdom</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283"/>
              <w:jc w:val="left"/>
              <w:rPr/>
            </w:pPr>
            <w:r>
              <w:rPr/>
              <w:t xml:space="preserve">       </w:t>
            </w:r>
            <w:r>
              <w:rPr>
                <w:sz w:val="24"/>
              </w:rPr>
              <w:t>Vishay Ltd.</w:t>
            </w:r>
          </w:p>
        </w:tc>
        <w:tc>
          <w:tcPr>
            <w:tcW w:w="1625" w:type="dxa"/>
            <w:tcBorders/>
            <w:vAlign w:val="center"/>
          </w:tcPr>
          <w:p>
            <w:pPr>
              <w:pStyle w:val="TableContents"/>
              <w:bidi w:val="0"/>
              <w:spacing w:before="0" w:after="0"/>
              <w:jc w:val="left"/>
              <w:rPr>
                <w:color w:val="000000"/>
                <w:sz w:val="24"/>
              </w:rPr>
            </w:pPr>
            <w:r>
              <w:rPr>
                <w:color w:val="000000"/>
                <w:sz w:val="24"/>
              </w:rPr>
              <w:t>United Kingdom</w:t>
            </w:r>
          </w:p>
        </w:tc>
        <w:tc>
          <w:tcPr>
            <w:tcW w:w="29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ECOMAL Italy s.r.l.</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Italy</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283"/>
              <w:jc w:val="left"/>
              <w:rPr/>
            </w:pPr>
            <w:r>
              <w:rPr/>
              <w:t xml:space="preserve">     </w:t>
            </w:r>
            <w:r>
              <w:rPr>
                <w:sz w:val="24"/>
              </w:rPr>
              <w:t>ECOMAL Elektronske Komponente d.o.o.</w:t>
            </w:r>
          </w:p>
        </w:tc>
        <w:tc>
          <w:tcPr>
            <w:tcW w:w="1625" w:type="dxa"/>
            <w:tcBorders/>
            <w:vAlign w:val="center"/>
          </w:tcPr>
          <w:p>
            <w:pPr>
              <w:pStyle w:val="TableContents"/>
              <w:bidi w:val="0"/>
              <w:spacing w:before="0" w:after="283"/>
              <w:jc w:val="left"/>
              <w:rPr>
                <w:sz w:val="24"/>
              </w:rPr>
            </w:pPr>
            <w:r>
              <w:rPr>
                <w:sz w:val="24"/>
              </w:rPr>
              <w:t>Slovenia</w:t>
            </w:r>
          </w:p>
        </w:tc>
        <w:tc>
          <w:tcPr>
            <w:tcW w:w="29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Vishay Electronic SPOL SRO</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Czech Republic</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283"/>
              <w:jc w:val="left"/>
              <w:rPr/>
            </w:pPr>
            <w:r>
              <w:rPr/>
              <w:t xml:space="preserve">     </w:t>
            </w:r>
            <w:r>
              <w:rPr>
                <w:sz w:val="24"/>
              </w:rPr>
              <w:t>Ecomal Poland Sp. Z.o.o.</w:t>
            </w:r>
          </w:p>
        </w:tc>
        <w:tc>
          <w:tcPr>
            <w:tcW w:w="1625" w:type="dxa"/>
            <w:tcBorders/>
            <w:vAlign w:val="center"/>
          </w:tcPr>
          <w:p>
            <w:pPr>
              <w:pStyle w:val="TableContents"/>
              <w:bidi w:val="0"/>
              <w:spacing w:before="0" w:after="283"/>
              <w:jc w:val="left"/>
              <w:rPr>
                <w:sz w:val="24"/>
              </w:rPr>
            </w:pPr>
            <w:r>
              <w:rPr>
                <w:sz w:val="24"/>
              </w:rPr>
              <w:t>Poland</w:t>
            </w:r>
          </w:p>
        </w:tc>
        <w:tc>
          <w:tcPr>
            <w:tcW w:w="29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xml:space="preserve">     </w:t>
            </w:r>
            <w:r>
              <w:rPr>
                <w:sz w:val="24"/>
              </w:rPr>
              <w:t>Ecomal Hungary Kft.</w:t>
            </w:r>
          </w:p>
        </w:tc>
        <w:tc>
          <w:tcPr>
            <w:tcW w:w="1625" w:type="dxa"/>
            <w:tcBorders/>
            <w:shd w:fill="CCEEFF" w:val="clear"/>
            <w:vAlign w:val="center"/>
          </w:tcPr>
          <w:p>
            <w:pPr>
              <w:pStyle w:val="TableContents"/>
              <w:bidi w:val="0"/>
              <w:spacing w:before="0" w:after="283"/>
              <w:jc w:val="left"/>
              <w:rPr>
                <w:sz w:val="24"/>
              </w:rPr>
            </w:pPr>
            <w:r>
              <w:rPr>
                <w:sz w:val="24"/>
              </w:rPr>
              <w:t>Hungary</w:t>
            </w:r>
          </w:p>
        </w:tc>
        <w:tc>
          <w:tcPr>
            <w:tcW w:w="29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S.A.</w:t>
            </w:r>
          </w:p>
        </w:tc>
        <w:tc>
          <w:tcPr>
            <w:tcW w:w="1625" w:type="dxa"/>
            <w:tcBorders/>
            <w:vAlign w:val="center"/>
          </w:tcPr>
          <w:p>
            <w:pPr>
              <w:pStyle w:val="TableContents"/>
              <w:bidi w:val="0"/>
              <w:spacing w:before="0" w:after="0"/>
              <w:jc w:val="left"/>
              <w:rPr>
                <w:color w:val="000000"/>
                <w:sz w:val="24"/>
              </w:rPr>
            </w:pPr>
            <w:r>
              <w:rPr>
                <w:color w:val="000000"/>
                <w:sz w:val="24"/>
              </w:rPr>
              <w:t>France</w:t>
            </w:r>
          </w:p>
        </w:tc>
        <w:tc>
          <w:tcPr>
            <w:tcW w:w="290" w:type="dxa"/>
            <w:tcBorders/>
            <w:vAlign w:val="center"/>
          </w:tcPr>
          <w:p>
            <w:pPr>
              <w:pStyle w:val="TableContents"/>
              <w:bidi w:val="0"/>
              <w:spacing w:before="0" w:after="0"/>
              <w:jc w:val="left"/>
              <w:rPr>
                <w:color w:val="000000"/>
                <w:sz w:val="24"/>
              </w:rPr>
            </w:pPr>
            <w:r>
              <w:rPr>
                <w:color w:val="000000"/>
                <w:sz w:val="24"/>
              </w:rPr>
              <w:t>(h)</w:t>
            </w:r>
          </w:p>
        </w:tc>
      </w:tr>
      <w:tr>
        <w:trPr/>
        <w:tc>
          <w:tcPr>
            <w:tcW w:w="4745" w:type="dxa"/>
            <w:tcBorders/>
            <w:shd w:fill="CCEEFF" w:val="clear"/>
            <w:vAlign w:val="center"/>
          </w:tcPr>
          <w:p>
            <w:pPr>
              <w:pStyle w:val="TableContents"/>
              <w:bidi w:val="0"/>
              <w:spacing w:before="0" w:after="0"/>
              <w:ind w:left="432" w:right="0" w:hanging="0"/>
              <w:jc w:val="left"/>
              <w:rPr>
                <w:color w:val="000000"/>
                <w:sz w:val="24"/>
              </w:rPr>
            </w:pPr>
            <w:r>
              <w:rPr>
                <w:color w:val="000000"/>
                <w:sz w:val="24"/>
              </w:rPr>
              <w:t>Ultronix, Inc.</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Delaware</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Semiconductor GmbH</w:t>
            </w:r>
          </w:p>
        </w:tc>
        <w:tc>
          <w:tcPr>
            <w:tcW w:w="1625" w:type="dxa"/>
            <w:tcBorders/>
            <w:vAlign w:val="center"/>
          </w:tcPr>
          <w:p>
            <w:pPr>
              <w:pStyle w:val="TableContents"/>
              <w:bidi w:val="0"/>
              <w:spacing w:before="0" w:after="0"/>
              <w:jc w:val="left"/>
              <w:rPr>
                <w:color w:val="000000"/>
                <w:sz w:val="24"/>
              </w:rPr>
            </w:pPr>
            <w:r>
              <w:rPr>
                <w:color w:val="000000"/>
                <w:sz w:val="24"/>
              </w:rPr>
              <w:t>Germany</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432" w:right="0" w:hanging="0"/>
              <w:jc w:val="left"/>
              <w:rPr>
                <w:color w:val="000000"/>
                <w:sz w:val="24"/>
              </w:rPr>
            </w:pPr>
            <w:r>
              <w:rPr>
                <w:color w:val="000000"/>
                <w:sz w:val="24"/>
              </w:rPr>
              <w:t>Vishay (Phils.) Inc.</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Philippines</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432" w:right="0" w:hanging="0"/>
              <w:jc w:val="left"/>
              <w:rPr>
                <w:color w:val="000000"/>
              </w:rPr>
            </w:pPr>
            <w:r>
              <w:rPr>
                <w:color w:val="000000"/>
              </w:rPr>
              <w:t xml:space="preserve">  </w:t>
            </w:r>
            <w:r>
              <w:rPr>
                <w:color w:val="000000"/>
                <w:sz w:val="24"/>
              </w:rPr>
              <w:t>Siliconix Philippines, Inc.</w:t>
            </w:r>
          </w:p>
        </w:tc>
        <w:tc>
          <w:tcPr>
            <w:tcW w:w="1625" w:type="dxa"/>
            <w:tcBorders/>
            <w:vAlign w:val="center"/>
          </w:tcPr>
          <w:p>
            <w:pPr>
              <w:pStyle w:val="TableContents"/>
              <w:bidi w:val="0"/>
              <w:spacing w:before="0" w:after="0"/>
              <w:jc w:val="left"/>
              <w:rPr>
                <w:color w:val="000000"/>
                <w:sz w:val="24"/>
              </w:rPr>
            </w:pPr>
            <w:r>
              <w:rPr>
                <w:color w:val="000000"/>
                <w:sz w:val="24"/>
              </w:rPr>
              <w:t>Philippines</w:t>
            </w:r>
          </w:p>
        </w:tc>
        <w:tc>
          <w:tcPr>
            <w:tcW w:w="290" w:type="dxa"/>
            <w:tcBorders/>
            <w:vAlign w:val="center"/>
          </w:tcPr>
          <w:p>
            <w:pPr>
              <w:pStyle w:val="TableContents"/>
              <w:bidi w:val="0"/>
              <w:spacing w:before="0" w:after="0"/>
              <w:jc w:val="left"/>
              <w:rPr>
                <w:color w:val="000000"/>
                <w:sz w:val="24"/>
                <w:szCs w:val="24"/>
              </w:rPr>
            </w:pPr>
            <w:r>
              <w:rPr>
                <w:color w:val="000000"/>
                <w:sz w:val="24"/>
                <w:szCs w:val="24"/>
              </w:rPr>
            </w:r>
          </w:p>
        </w:tc>
      </w:tr>
      <w:tr>
        <w:trPr/>
        <w:tc>
          <w:tcPr>
            <w:tcW w:w="4745" w:type="dxa"/>
            <w:tcBorders/>
            <w:shd w:fill="CCEEFF" w:val="clear"/>
            <w:vAlign w:val="center"/>
          </w:tcPr>
          <w:p>
            <w:pPr>
              <w:pStyle w:val="TableContents"/>
              <w:bidi w:val="0"/>
              <w:spacing w:before="0" w:after="0"/>
              <w:ind w:left="432" w:right="0" w:hanging="0"/>
              <w:jc w:val="left"/>
              <w:rPr>
                <w:color w:val="000000"/>
                <w:sz w:val="24"/>
              </w:rPr>
            </w:pPr>
            <w:r>
              <w:rPr>
                <w:color w:val="000000"/>
                <w:sz w:val="24"/>
              </w:rPr>
              <w:t>Vishay Asia Semiconductor Investments Pte.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Singapore</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576" w:right="0" w:hanging="0"/>
              <w:jc w:val="left"/>
              <w:rPr>
                <w:color w:val="000000"/>
                <w:sz w:val="24"/>
              </w:rPr>
            </w:pPr>
            <w:r>
              <w:rPr>
                <w:color w:val="000000"/>
                <w:sz w:val="24"/>
              </w:rPr>
              <w:t>Vishay Singapore Pte. Ltd.</w:t>
            </w:r>
          </w:p>
        </w:tc>
        <w:tc>
          <w:tcPr>
            <w:tcW w:w="1625" w:type="dxa"/>
            <w:tcBorders/>
            <w:vAlign w:val="center"/>
          </w:tcPr>
          <w:p>
            <w:pPr>
              <w:pStyle w:val="TableContents"/>
              <w:bidi w:val="0"/>
              <w:spacing w:before="0" w:after="0"/>
              <w:jc w:val="left"/>
              <w:rPr>
                <w:color w:val="000000"/>
                <w:sz w:val="24"/>
              </w:rPr>
            </w:pPr>
            <w:r>
              <w:rPr>
                <w:color w:val="000000"/>
                <w:sz w:val="24"/>
              </w:rPr>
              <w:t>Singapore</w:t>
            </w:r>
          </w:p>
        </w:tc>
        <w:tc>
          <w:tcPr>
            <w:tcW w:w="290" w:type="dxa"/>
            <w:tcBorders/>
            <w:vAlign w:val="center"/>
          </w:tcPr>
          <w:p>
            <w:pPr>
              <w:pStyle w:val="TableContents"/>
              <w:bidi w:val="0"/>
              <w:spacing w:before="0" w:after="0"/>
              <w:jc w:val="left"/>
              <w:rPr>
                <w:color w:val="000000"/>
                <w:sz w:val="24"/>
              </w:rPr>
            </w:pPr>
            <w:r>
              <w:rPr>
                <w:color w:val="000000"/>
                <w:sz w:val="24"/>
              </w:rPr>
              <w:t>(i)</w:t>
            </w:r>
          </w:p>
        </w:tc>
      </w:tr>
      <w:tr>
        <w:trPr/>
        <w:tc>
          <w:tcPr>
            <w:tcW w:w="4745" w:type="dxa"/>
            <w:tcBorders/>
            <w:shd w:fill="CCEEFF" w:val="clear"/>
            <w:vAlign w:val="center"/>
          </w:tcPr>
          <w:p>
            <w:pPr>
              <w:pStyle w:val="TableContents"/>
              <w:bidi w:val="0"/>
              <w:spacing w:before="0" w:after="0"/>
              <w:ind w:left="720" w:right="0" w:hanging="0"/>
              <w:jc w:val="left"/>
              <w:rPr>
                <w:color w:val="000000"/>
                <w:sz w:val="24"/>
              </w:rPr>
            </w:pPr>
            <w:r>
              <w:rPr>
                <w:color w:val="000000"/>
                <w:sz w:val="24"/>
              </w:rPr>
              <w:t>Vishay Semiconductor Shanghai Co.,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China</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720" w:right="0" w:hanging="0"/>
              <w:jc w:val="left"/>
              <w:rPr>
                <w:color w:val="000000"/>
                <w:sz w:val="24"/>
              </w:rPr>
            </w:pPr>
            <w:r>
              <w:rPr>
                <w:color w:val="000000"/>
                <w:sz w:val="24"/>
              </w:rPr>
              <w:t>Vishay General Semiconductor (China) Co., Ltd.</w:t>
            </w:r>
          </w:p>
        </w:tc>
        <w:tc>
          <w:tcPr>
            <w:tcW w:w="1625" w:type="dxa"/>
            <w:tcBorders/>
            <w:vAlign w:val="center"/>
          </w:tcPr>
          <w:p>
            <w:pPr>
              <w:pStyle w:val="TableContents"/>
              <w:bidi w:val="0"/>
              <w:spacing w:before="0" w:after="0"/>
              <w:jc w:val="left"/>
              <w:rPr>
                <w:color w:val="000000"/>
                <w:sz w:val="24"/>
              </w:rPr>
            </w:pPr>
            <w:r>
              <w:rPr>
                <w:color w:val="000000"/>
                <w:sz w:val="24"/>
              </w:rPr>
              <w:t>China</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720" w:right="0" w:hanging="0"/>
              <w:jc w:val="left"/>
              <w:rPr>
                <w:color w:val="000000"/>
                <w:sz w:val="24"/>
              </w:rPr>
            </w:pPr>
            <w:r>
              <w:rPr>
                <w:color w:val="000000"/>
                <w:sz w:val="24"/>
              </w:rPr>
              <w:t>Vishay Micro-Electronics (Xi'an) Co.,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China</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720" w:right="0" w:hanging="0"/>
              <w:jc w:val="left"/>
              <w:rPr>
                <w:color w:val="000000"/>
                <w:sz w:val="24"/>
              </w:rPr>
            </w:pPr>
            <w:r>
              <w:rPr>
                <w:color w:val="000000"/>
                <w:sz w:val="24"/>
              </w:rPr>
              <w:t>Vishay China Co. Ltd.</w:t>
            </w:r>
          </w:p>
        </w:tc>
        <w:tc>
          <w:tcPr>
            <w:tcW w:w="1625" w:type="dxa"/>
            <w:tcBorders/>
            <w:vAlign w:val="center"/>
          </w:tcPr>
          <w:p>
            <w:pPr>
              <w:pStyle w:val="TableContents"/>
              <w:bidi w:val="0"/>
              <w:spacing w:before="0" w:after="0"/>
              <w:jc w:val="left"/>
              <w:rPr>
                <w:color w:val="000000"/>
                <w:sz w:val="24"/>
              </w:rPr>
            </w:pPr>
            <w:r>
              <w:rPr>
                <w:color w:val="000000"/>
                <w:sz w:val="24"/>
              </w:rPr>
              <w:t>China</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0"/>
              <w:ind w:left="864" w:right="0" w:hanging="0"/>
              <w:jc w:val="left"/>
              <w:rPr>
                <w:color w:val="000000"/>
                <w:sz w:val="24"/>
              </w:rPr>
            </w:pPr>
            <w:r>
              <w:rPr>
                <w:color w:val="000000"/>
                <w:sz w:val="24"/>
              </w:rPr>
              <w:t>Vishay HiRel Systems Zhuhai Electronics Co Ltd</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China</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283"/>
              <w:jc w:val="left"/>
              <w:rPr/>
            </w:pPr>
            <w:r>
              <w:rPr/>
              <w:t xml:space="preserve">               </w:t>
            </w:r>
            <w:r>
              <w:rPr>
                <w:sz w:val="24"/>
              </w:rPr>
              <w:t>Vishay Components (Huizhou) Co. Ltd.</w:t>
            </w:r>
          </w:p>
        </w:tc>
        <w:tc>
          <w:tcPr>
            <w:tcW w:w="1625" w:type="dxa"/>
            <w:tcBorders/>
            <w:vAlign w:val="center"/>
          </w:tcPr>
          <w:p>
            <w:pPr>
              <w:pStyle w:val="TableContents"/>
              <w:bidi w:val="0"/>
              <w:spacing w:before="0" w:after="283"/>
              <w:jc w:val="left"/>
              <w:rPr>
                <w:sz w:val="24"/>
              </w:rPr>
            </w:pPr>
            <w:r>
              <w:rPr>
                <w:sz w:val="24"/>
              </w:rPr>
              <w:t>China</w:t>
            </w:r>
          </w:p>
        </w:tc>
        <w:tc>
          <w:tcPr>
            <w:tcW w:w="290" w:type="dxa"/>
            <w:tcBorders/>
            <w:vAlign w:val="center"/>
          </w:tcPr>
          <w:p>
            <w:pPr>
              <w:pStyle w:val="TableContents"/>
              <w:bidi w:val="0"/>
              <w:spacing w:before="0" w:after="283"/>
              <w:jc w:val="left"/>
              <w:rPr>
                <w:sz w:val="24"/>
              </w:rPr>
            </w:pPr>
            <w:r>
              <w:rPr>
                <w:sz w:val="24"/>
              </w:rPr>
              <w:t>(j)</w:t>
            </w:r>
          </w:p>
        </w:tc>
      </w:tr>
      <w:tr>
        <w:trPr/>
        <w:tc>
          <w:tcPr>
            <w:tcW w:w="4745" w:type="dxa"/>
            <w:tcBorders/>
            <w:shd w:fill="CCEEFF" w:val="clear"/>
            <w:vAlign w:val="center"/>
          </w:tcPr>
          <w:p>
            <w:pPr>
              <w:pStyle w:val="TableContents"/>
              <w:bidi w:val="0"/>
              <w:spacing w:before="0" w:after="0"/>
              <w:ind w:left="288" w:right="0" w:hanging="0"/>
              <w:jc w:val="left"/>
              <w:rPr>
                <w:color w:val="000000"/>
                <w:sz w:val="24"/>
              </w:rPr>
            </w:pPr>
            <w:r>
              <w:rPr>
                <w:color w:val="000000"/>
                <w:sz w:val="24"/>
              </w:rPr>
              <w:t>Vishay Hungary Elektronikai KFT</w:t>
            </w:r>
          </w:p>
        </w:tc>
        <w:tc>
          <w:tcPr>
            <w:tcW w:w="1625" w:type="dxa"/>
            <w:tcBorders/>
            <w:shd w:fill="CCEEFF" w:val="clear"/>
            <w:vAlign w:val="center"/>
          </w:tcPr>
          <w:p>
            <w:pPr>
              <w:pStyle w:val="TableContents"/>
              <w:bidi w:val="0"/>
              <w:spacing w:before="0" w:after="0"/>
              <w:jc w:val="left"/>
              <w:rPr>
                <w:color w:val="000000"/>
                <w:sz w:val="24"/>
              </w:rPr>
            </w:pPr>
            <w:r>
              <w:rPr>
                <w:color w:val="000000"/>
                <w:sz w:val="24"/>
              </w:rPr>
              <w:t>Hungary</w:t>
            </w:r>
          </w:p>
        </w:tc>
        <w:tc>
          <w:tcPr>
            <w:tcW w:w="290" w:type="dxa"/>
            <w:tcBorders/>
            <w:shd w:fill="CCEEFF" w:val="clear"/>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ind w:left="288" w:right="0" w:hanging="0"/>
              <w:jc w:val="left"/>
              <w:rPr>
                <w:color w:val="000000"/>
                <w:sz w:val="24"/>
              </w:rPr>
            </w:pPr>
            <w:r>
              <w:rPr>
                <w:color w:val="000000"/>
                <w:sz w:val="24"/>
              </w:rPr>
              <w:t>Vishay Semiconductor Malaysia Sdn Bhd</w:t>
            </w:r>
          </w:p>
        </w:tc>
        <w:tc>
          <w:tcPr>
            <w:tcW w:w="1625" w:type="dxa"/>
            <w:tcBorders/>
            <w:vAlign w:val="center"/>
          </w:tcPr>
          <w:p>
            <w:pPr>
              <w:pStyle w:val="TableContents"/>
              <w:bidi w:val="0"/>
              <w:spacing w:before="0" w:after="0"/>
              <w:jc w:val="left"/>
              <w:rPr>
                <w:color w:val="000000"/>
                <w:sz w:val="24"/>
              </w:rPr>
            </w:pPr>
            <w:r>
              <w:rPr>
                <w:color w:val="000000"/>
                <w:sz w:val="24"/>
              </w:rPr>
              <w:t>Malaysia</w:t>
            </w:r>
          </w:p>
        </w:tc>
        <w:tc>
          <w:tcPr>
            <w:tcW w:w="290" w:type="dxa"/>
            <w:tcBorders/>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283"/>
              <w:jc w:val="left"/>
              <w:rPr/>
            </w:pPr>
            <w:r>
              <w:rPr/>
              <w:t xml:space="preserve">     </w:t>
            </w:r>
            <w:r>
              <w:rPr>
                <w:sz w:val="24"/>
              </w:rPr>
              <w:t>Vishay BCcomponents Beyschlag GmbH</w:t>
            </w:r>
          </w:p>
        </w:tc>
        <w:tc>
          <w:tcPr>
            <w:tcW w:w="1625" w:type="dxa"/>
            <w:tcBorders/>
            <w:shd w:fill="CCEEFF" w:val="clear"/>
            <w:vAlign w:val="center"/>
          </w:tcPr>
          <w:p>
            <w:pPr>
              <w:pStyle w:val="TableContents"/>
              <w:bidi w:val="0"/>
              <w:spacing w:before="0" w:after="283"/>
              <w:jc w:val="left"/>
              <w:rPr>
                <w:sz w:val="24"/>
              </w:rPr>
            </w:pPr>
            <w:r>
              <w:rPr>
                <w:sz w:val="24"/>
              </w:rPr>
              <w:t>Germany</w:t>
            </w:r>
          </w:p>
        </w:tc>
        <w:tc>
          <w:tcPr>
            <w:tcW w:w="290" w:type="dxa"/>
            <w:tcBorders/>
            <w:shd w:fill="CCEEFF" w:val="clear"/>
            <w:vAlign w:val="center"/>
          </w:tcPr>
          <w:p>
            <w:pPr>
              <w:pStyle w:val="TableContents"/>
              <w:bidi w:val="0"/>
              <w:spacing w:before="0" w:after="283"/>
              <w:jc w:val="left"/>
              <w:rPr/>
            </w:pPr>
            <w:r>
              <w:rPr/>
              <w:t> </w:t>
            </w:r>
          </w:p>
        </w:tc>
      </w:tr>
    </w:tbl>
    <w:p>
      <w:pPr>
        <w:pStyle w:val="TextBody"/>
        <w:widowControl/>
        <w:bidi w:val="0"/>
        <w:spacing w:before="200" w:after="20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40" w:after="24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24"/>
        </w:rPr>
      </w:pPr>
      <w:r>
        <w:rPr>
          <w:rFonts w:ascii="Times New Roman;Times;serif" w:hAnsi="Times New Roman;Times;serif"/>
          <w:b/>
          <w:i w:val="false"/>
          <w:caps w:val="false"/>
          <w:smallCaps w:val="false"/>
          <w:color w:val="000000"/>
          <w:spacing w:val="0"/>
          <w:sz w:val="24"/>
        </w:rPr>
        <w:t>Subsidiaries of the Registrant (continued)</w:t>
      </w:r>
    </w:p>
    <w:p>
      <w:pPr>
        <w:pStyle w:val="TextBody"/>
        <w:widowControl/>
        <w:bidi w:val="0"/>
        <w:spacing w:before="0" w:after="0"/>
        <w:jc w:val="left"/>
        <w:rPr>
          <w:b/>
          <w:color w:val="000000"/>
          <w:sz w:val="24"/>
        </w:rPr>
      </w:pPr>
      <w:r>
        <w:rPr>
          <w:b/>
          <w:color w:val="000000"/>
          <w:sz w:val="24"/>
        </w:rPr>
      </w:r>
    </w:p>
    <w:p>
      <w:pPr>
        <w:pStyle w:val="Normal"/>
        <w:widowControl/>
        <w:bidi w:val="0"/>
        <w:spacing w:before="0" w:after="0"/>
        <w:jc w:val="left"/>
        <w:rPr>
          <w:sz w:val="4"/>
          <w:szCs w:val="4"/>
        </w:rPr>
      </w:pPr>
      <w:r>
        <w:rPr>
          <w:sz w:val="4"/>
          <w:szCs w:val="4"/>
        </w:rPr>
      </w:r>
      <w:bookmarkStart w:id="59" w:name="z31689ce95aa34ca7bf7087de630d6012"/>
      <w:bookmarkStart w:id="60" w:name="z31689ce95aa34ca7bf7087de630d6012"/>
      <w:bookmarkEnd w:id="60"/>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0"/>
              <w:jc w:val="left"/>
              <w:rPr/>
            </w:pPr>
            <w:r>
              <w:rPr/>
              <w:t xml:space="preserve">(a) -  </w:t>
            </w:r>
          </w:p>
        </w:tc>
        <w:tc>
          <w:tcPr>
            <w:tcW w:w="9860" w:type="dxa"/>
            <w:tcBorders/>
            <w:vAlign w:val="center"/>
          </w:tcPr>
          <w:p>
            <w:pPr>
              <w:pStyle w:val="TableContents"/>
              <w:bidi w:val="0"/>
              <w:spacing w:before="0" w:after="283"/>
              <w:jc w:val="both"/>
              <w:rPr/>
            </w:pPr>
            <w:r>
              <w:rPr/>
              <w:t>Registrant's indirect ownership percentage in Siliconix Technology C.V. is 100%; 89% is owned by its wholly owned subsidiary Siliconix Incorporated, 10% is owned by its indirectly wholly owned subsidiary Siliconix Semiconductor, LLC, and 1% is owned by its indirect wholly owned subsidiary Vishay Siliconix LLC.</w:t>
            </w:r>
          </w:p>
        </w:tc>
      </w:tr>
      <w:tr>
        <w:trPr/>
        <w:tc>
          <w:tcPr>
            <w:tcW w:w="345" w:type="dxa"/>
            <w:tcBorders/>
            <w:vAlign w:val="center"/>
          </w:tcPr>
          <w:p>
            <w:pPr>
              <w:pStyle w:val="TableContents"/>
              <w:bidi w:val="0"/>
              <w:spacing w:before="0" w:after="283"/>
              <w:jc w:val="left"/>
              <w:rPr/>
            </w:pPr>
            <w:r>
              <w:rPr/>
              <w:t>(b) -</w:t>
            </w:r>
          </w:p>
        </w:tc>
        <w:tc>
          <w:tcPr>
            <w:tcW w:w="9860" w:type="dxa"/>
            <w:tcBorders/>
            <w:vAlign w:val="center"/>
          </w:tcPr>
          <w:p>
            <w:pPr>
              <w:pStyle w:val="TableContents"/>
              <w:bidi w:val="0"/>
              <w:spacing w:before="0" w:after="283"/>
              <w:jc w:val="both"/>
              <w:rPr/>
            </w:pPr>
            <w:r>
              <w:rPr/>
              <w:t>Registrant's indirect ownership percentage in Vishay General Semiconductor, L.P. is 100%; 1% is owned by its indirectly wholly owned subsidiary Vishay GSI Holdings, LLC, and 99% is owned by its wholly owned subsidiary Vishay GSI, Inc.</w:t>
            </w:r>
          </w:p>
        </w:tc>
      </w:tr>
      <w:tr>
        <w:trPr/>
        <w:tc>
          <w:tcPr>
            <w:tcW w:w="345" w:type="dxa"/>
            <w:tcBorders/>
            <w:vAlign w:val="center"/>
          </w:tcPr>
          <w:p>
            <w:pPr>
              <w:pStyle w:val="TableContents"/>
              <w:bidi w:val="0"/>
              <w:spacing w:before="0" w:after="283"/>
              <w:jc w:val="left"/>
              <w:rPr/>
            </w:pPr>
            <w:r>
              <w:rPr/>
              <w:t>(c) -</w:t>
            </w:r>
          </w:p>
        </w:tc>
        <w:tc>
          <w:tcPr>
            <w:tcW w:w="9860" w:type="dxa"/>
            <w:tcBorders/>
            <w:vAlign w:val="center"/>
          </w:tcPr>
          <w:p>
            <w:pPr>
              <w:pStyle w:val="TableContents"/>
              <w:bidi w:val="0"/>
              <w:spacing w:before="0" w:after="283"/>
              <w:jc w:val="both"/>
              <w:rPr/>
            </w:pPr>
            <w:r>
              <w:rPr/>
              <w:t>Registrant's indirect ownership percentage in Vishay Components India Pvt. Ltd. is 100%; 69% is owned directly and 31% is owned by its indirectly wholly owned subsidiary Vishay BCcomponents B.V.</w:t>
            </w:r>
          </w:p>
        </w:tc>
      </w:tr>
      <w:tr>
        <w:trPr/>
        <w:tc>
          <w:tcPr>
            <w:tcW w:w="345" w:type="dxa"/>
            <w:tcBorders/>
            <w:vAlign w:val="center"/>
          </w:tcPr>
          <w:p>
            <w:pPr>
              <w:pStyle w:val="TableContents"/>
              <w:bidi w:val="0"/>
              <w:spacing w:before="0" w:after="283"/>
              <w:jc w:val="left"/>
              <w:rPr/>
            </w:pPr>
            <w:r>
              <w:rPr/>
              <w:t xml:space="preserve">(d) - </w:t>
            </w:r>
          </w:p>
        </w:tc>
        <w:tc>
          <w:tcPr>
            <w:tcW w:w="9860" w:type="dxa"/>
            <w:tcBorders/>
            <w:vAlign w:val="center"/>
          </w:tcPr>
          <w:p>
            <w:pPr>
              <w:pStyle w:val="TableContents"/>
              <w:bidi w:val="0"/>
              <w:spacing w:before="0" w:after="283"/>
              <w:jc w:val="both"/>
              <w:rPr/>
            </w:pPr>
            <w:r>
              <w:rPr/>
              <w:t>Registrant's indirect ownership percentage in Ecomal Israel Ltd. is 66.7%.</w:t>
            </w:r>
          </w:p>
        </w:tc>
      </w:tr>
      <w:tr>
        <w:trPr/>
        <w:tc>
          <w:tcPr>
            <w:tcW w:w="345" w:type="dxa"/>
            <w:tcBorders/>
            <w:vAlign w:val="center"/>
          </w:tcPr>
          <w:p>
            <w:pPr>
              <w:pStyle w:val="TableContents"/>
              <w:bidi w:val="0"/>
              <w:spacing w:before="0" w:after="283"/>
              <w:jc w:val="left"/>
              <w:rPr/>
            </w:pPr>
            <w:r>
              <w:rPr/>
              <w:t>(e) -</w:t>
            </w:r>
          </w:p>
        </w:tc>
        <w:tc>
          <w:tcPr>
            <w:tcW w:w="9860" w:type="dxa"/>
            <w:tcBorders/>
            <w:vAlign w:val="center"/>
          </w:tcPr>
          <w:p>
            <w:pPr>
              <w:pStyle w:val="TableContents"/>
              <w:bidi w:val="0"/>
              <w:spacing w:before="0" w:after="283"/>
              <w:jc w:val="both"/>
              <w:rPr/>
            </w:pPr>
            <w:r>
              <w:rPr/>
              <w:t xml:space="preserve">Registrant's indirect ownership percentage in Vishay La Laguna S. DE R.L. DE C.V. is 100%; 99% is owned by its wholly owned subsidiary Vishay Israel Limited and 1% is owned by its indirectly wholly owned subsidiary Z.T.R. Electronics Ltd. </w:t>
            </w:r>
          </w:p>
        </w:tc>
      </w:tr>
      <w:tr>
        <w:trPr/>
        <w:tc>
          <w:tcPr>
            <w:tcW w:w="345" w:type="dxa"/>
            <w:tcBorders/>
            <w:vAlign w:val="center"/>
          </w:tcPr>
          <w:p>
            <w:pPr>
              <w:pStyle w:val="TableContents"/>
              <w:bidi w:val="0"/>
              <w:spacing w:before="0" w:after="283"/>
              <w:jc w:val="left"/>
              <w:rPr/>
            </w:pPr>
            <w:r>
              <w:rPr/>
              <w:t>(f) -</w:t>
            </w:r>
          </w:p>
        </w:tc>
        <w:tc>
          <w:tcPr>
            <w:tcW w:w="9860" w:type="dxa"/>
            <w:tcBorders/>
            <w:vAlign w:val="center"/>
          </w:tcPr>
          <w:p>
            <w:pPr>
              <w:pStyle w:val="TableContents"/>
              <w:bidi w:val="0"/>
              <w:spacing w:before="0" w:after="283"/>
              <w:jc w:val="both"/>
              <w:rPr/>
            </w:pPr>
            <w:r>
              <w:rPr/>
              <w:t>Registrant's indirect ownership percentage in Vishay Europe GmbH is 100%; over 99.9% is owned directly or indirectly by its wholly owned subsidiary Vishay Israel Limited and its affiliates; and less than 0.1% is owned directly.</w:t>
            </w:r>
          </w:p>
        </w:tc>
      </w:tr>
      <w:tr>
        <w:trPr/>
        <w:tc>
          <w:tcPr>
            <w:tcW w:w="345" w:type="dxa"/>
            <w:tcBorders/>
            <w:vAlign w:val="center"/>
          </w:tcPr>
          <w:p>
            <w:pPr>
              <w:pStyle w:val="TableContents"/>
              <w:bidi w:val="0"/>
              <w:spacing w:before="0" w:after="283"/>
              <w:jc w:val="left"/>
              <w:rPr/>
            </w:pPr>
            <w:r>
              <w:rPr/>
              <w:t>(g) -</w:t>
            </w:r>
          </w:p>
        </w:tc>
        <w:tc>
          <w:tcPr>
            <w:tcW w:w="9860" w:type="dxa"/>
            <w:tcBorders/>
            <w:vAlign w:val="center"/>
          </w:tcPr>
          <w:p>
            <w:pPr>
              <w:pStyle w:val="TableContents"/>
              <w:bidi w:val="0"/>
              <w:spacing w:before="0" w:after="283"/>
              <w:jc w:val="both"/>
              <w:rPr/>
            </w:pPr>
            <w:r>
              <w:rPr/>
              <w:t>Registrant's indirect ownership percentage in Vishay Electronica Portugal Lda. is 100%; 70% is owned by its indirectly wholly owned subsidiary Vishay Europe GmbH and 30% is owned by its indirectly wholly owned subsidiary Vishay Electronic GmbH.</w:t>
            </w:r>
          </w:p>
        </w:tc>
      </w:tr>
      <w:tr>
        <w:trPr/>
        <w:tc>
          <w:tcPr>
            <w:tcW w:w="345" w:type="dxa"/>
            <w:tcBorders/>
            <w:vAlign w:val="center"/>
          </w:tcPr>
          <w:p>
            <w:pPr>
              <w:pStyle w:val="TableContents"/>
              <w:bidi w:val="0"/>
              <w:spacing w:before="0" w:after="283"/>
              <w:jc w:val="left"/>
              <w:rPr/>
            </w:pPr>
            <w:r>
              <w:rPr/>
              <w:t>(h) -</w:t>
            </w:r>
          </w:p>
        </w:tc>
        <w:tc>
          <w:tcPr>
            <w:tcW w:w="9860" w:type="dxa"/>
            <w:tcBorders/>
            <w:vAlign w:val="center"/>
          </w:tcPr>
          <w:p>
            <w:pPr>
              <w:pStyle w:val="TableContents"/>
              <w:bidi w:val="0"/>
              <w:spacing w:before="0" w:after="283"/>
              <w:jc w:val="both"/>
              <w:rPr/>
            </w:pPr>
            <w:r>
              <w:rPr/>
              <w:t>Registrant's indirect ownership percentage in Vishay S.A. is 99.9%.</w:t>
            </w:r>
          </w:p>
        </w:tc>
      </w:tr>
      <w:tr>
        <w:trPr/>
        <w:tc>
          <w:tcPr>
            <w:tcW w:w="345" w:type="dxa"/>
            <w:tcBorders/>
            <w:vAlign w:val="center"/>
          </w:tcPr>
          <w:p>
            <w:pPr>
              <w:pStyle w:val="TableContents"/>
              <w:bidi w:val="0"/>
              <w:spacing w:before="0" w:after="283"/>
              <w:jc w:val="left"/>
              <w:rPr/>
            </w:pPr>
            <w:r>
              <w:rPr/>
              <w:t>(i) -</w:t>
            </w:r>
          </w:p>
        </w:tc>
        <w:tc>
          <w:tcPr>
            <w:tcW w:w="9860" w:type="dxa"/>
            <w:tcBorders/>
            <w:vAlign w:val="center"/>
          </w:tcPr>
          <w:p>
            <w:pPr>
              <w:pStyle w:val="TableContents"/>
              <w:bidi w:val="0"/>
              <w:spacing w:before="0" w:after="283"/>
              <w:jc w:val="both"/>
              <w:rPr/>
            </w:pPr>
            <w:r>
              <w:rPr/>
              <w:t>Registrant's indirect ownership percentage in Vishay Singapore Pte. Ltd. is 100%, 48% is owned by its indirectly wholly owned subsidiary Vishay Asia Semiconductor Investments Pte. Ltd., 26% is owned by its indirectly wholly owned subsidiary Vishay Asia Semiconductor GS Investments Pte. Ltd., and 26% is owned by its indirectly wholly owned subsidiary Siliconix Technology C.V.</w:t>
            </w:r>
          </w:p>
        </w:tc>
      </w:tr>
      <w:tr>
        <w:trPr/>
        <w:tc>
          <w:tcPr>
            <w:tcW w:w="345" w:type="dxa"/>
            <w:tcBorders/>
            <w:vAlign w:val="center"/>
          </w:tcPr>
          <w:p>
            <w:pPr>
              <w:pStyle w:val="TableContents"/>
              <w:bidi w:val="0"/>
              <w:spacing w:before="0" w:after="283"/>
              <w:jc w:val="left"/>
              <w:rPr/>
            </w:pPr>
            <w:r>
              <w:rPr/>
              <w:t>(j) -</w:t>
            </w:r>
          </w:p>
        </w:tc>
        <w:tc>
          <w:tcPr>
            <w:tcW w:w="9860" w:type="dxa"/>
            <w:tcBorders/>
            <w:vAlign w:val="center"/>
          </w:tcPr>
          <w:p>
            <w:pPr>
              <w:pStyle w:val="TableContents"/>
              <w:bidi w:val="0"/>
              <w:spacing w:before="0" w:after="283"/>
              <w:jc w:val="both"/>
              <w:rPr/>
            </w:pPr>
            <w:r>
              <w:rPr/>
              <w:t>Registrant's indirect ownership percentage in Vishay Components (Huizhou) Co. Ltd. is 100%; 36% is owned by its indirectly wholly owned subsidiary Vishay Hong Kong Ltd. and 64% is owned by its indirectly wholly owned subsidiary Vishay China Co. Ltd.</w:t>
            </w:r>
          </w:p>
        </w:tc>
      </w:tr>
    </w:tbl>
    <w:p>
      <w:pPr>
        <w:pStyle w:val="TextBody"/>
        <w:widowControl/>
        <w:bidi w:val="0"/>
        <w:spacing w:before="0" w:after="0"/>
        <w:jc w:val="left"/>
        <w:rPr>
          <w:sz w:val="24"/>
        </w:rPr>
      </w:pPr>
      <w:r>
        <w:rPr>
          <w:sz w:val="24"/>
        </w:rPr>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bookmarkStart w:id="61" w:name="exhibit23-1.htm"/>
      <w:bookmarkStart w:id="62" w:name="ksexhibit231"/>
      <w:bookmarkEnd w:id="61"/>
      <w:bookmarkEnd w:id="62"/>
      <w:r>
        <w:rPr>
          <w:rFonts w:ascii="Times New Roman;Times;serif" w:hAnsi="Times New Roman;Times;serif"/>
          <w:b w:val="false"/>
          <w:i w:val="false"/>
          <w:caps w:val="false"/>
          <w:smallCaps w:val="false"/>
          <w:color w:val="000000"/>
          <w:spacing w:val="0"/>
          <w:sz w:val="24"/>
        </w:rPr>
        <w:t>Exhibit 23.1</w:t>
      </w:r>
      <w:r>
        <w:br w:type="page"/>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Consent of Independent Registered Public Accounting Firm</w:t>
      </w:r>
    </w:p>
    <w:p>
      <w:pPr>
        <w:pStyle w:val="TextBody"/>
        <w:widowControl/>
        <w:bidi w:val="0"/>
        <w:spacing w:before="0" w:after="0"/>
        <w:ind w:left="0" w:right="0" w:hanging="0"/>
        <w:jc w:val="left"/>
        <w:rPr/>
      </w:pPr>
      <w:r>
        <w:rPr/>
      </w:r>
    </w:p>
    <w:p>
      <w:pPr>
        <w:pStyle w:val="TextBody"/>
        <w:widowControl/>
        <w:bidi w:val="0"/>
        <w:spacing w:before="0" w:after="0"/>
        <w:jc w:val="left"/>
        <w:rPr/>
      </w:pPr>
      <w:r>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We consent to the incorporation by reference in the following Registration Statements:</w:t>
      </w:r>
    </w:p>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63" w:name="z582b618c12dd43489c2d89ebc7d5df0e"/>
      <w:bookmarkStart w:id="64" w:name="z582b618c12dd43489c2d89ebc7d5df0e"/>
      <w:bookmarkEnd w:id="64"/>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360" w:right="0" w:hanging="0"/>
              <w:jc w:val="left"/>
              <w:rPr>
                <w:rFonts w:ascii="Times New Roman;Times;serif" w:hAnsi="Times New Roman;Times;serif"/>
                <w:sz w:val="24"/>
              </w:rPr>
            </w:pPr>
            <w:r>
              <w:rPr>
                <w:rFonts w:ascii="Times New Roman;Times;serif" w:hAnsi="Times New Roman;Times;serif"/>
                <w:sz w:val="24"/>
              </w:rPr>
              <w:t>1)</w:t>
            </w:r>
          </w:p>
        </w:tc>
        <w:tc>
          <w:tcPr>
            <w:tcW w:w="9993"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Registration Statement (Form S-8 No. 333-144466) pertaining to the 2007 Stock Incentive Program of Vishay Intertechnology, Inc.,</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65" w:name="za3d057ea5ed747e096a4c385cee98cc0"/>
      <w:bookmarkStart w:id="66" w:name="za3d057ea5ed747e096a4c385cee98cc0"/>
      <w:bookmarkEnd w:id="66"/>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360" w:right="0" w:hanging="0"/>
              <w:jc w:val="left"/>
              <w:rPr>
                <w:rFonts w:ascii="Times New Roman;Times;serif" w:hAnsi="Times New Roman;Times;serif"/>
                <w:sz w:val="24"/>
              </w:rPr>
            </w:pPr>
            <w:r>
              <w:rPr>
                <w:rFonts w:ascii="Times New Roman;Times;serif" w:hAnsi="Times New Roman;Times;serif"/>
                <w:sz w:val="24"/>
              </w:rPr>
              <w:t>2)</w:t>
            </w:r>
          </w:p>
        </w:tc>
        <w:tc>
          <w:tcPr>
            <w:tcW w:w="9992"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Registration Statement (Form S-8 No. 333-178895) pertaining to the Deferred Compensation Plan of Vishay Intertechnology, Inc., </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67" w:name="zb96b0814dbba45ce9a604da6bc3f6823"/>
      <w:bookmarkStart w:id="68" w:name="zb96b0814dbba45ce9a604da6bc3f6823"/>
      <w:bookmarkEnd w:id="68"/>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360" w:right="0" w:hanging="0"/>
              <w:jc w:val="left"/>
              <w:rPr>
                <w:rFonts w:ascii="Times New Roman;Times;serif" w:hAnsi="Times New Roman;Times;serif"/>
                <w:sz w:val="24"/>
              </w:rPr>
            </w:pPr>
            <w:r>
              <w:rPr>
                <w:rFonts w:ascii="Times New Roman;Times;serif" w:hAnsi="Times New Roman;Times;serif"/>
                <w:sz w:val="24"/>
              </w:rPr>
              <w:t>3)</w:t>
            </w:r>
          </w:p>
        </w:tc>
        <w:tc>
          <w:tcPr>
            <w:tcW w:w="999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Registration Statement (Form S-8 No. 333-196143) pertaining to the 2007 Stock Incentive Program of Vishay Intertechnology, Inc.,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360" w:right="0" w:hanging="0"/>
              <w:jc w:val="left"/>
              <w:rPr>
                <w:rFonts w:ascii="Times New Roman;Times;serif" w:hAnsi="Times New Roman;Times;serif"/>
                <w:sz w:val="24"/>
              </w:rPr>
            </w:pPr>
            <w:r>
              <w:rPr>
                <w:rFonts w:ascii="Times New Roman;Times;serif" w:hAnsi="Times New Roman;Times;serif"/>
                <w:sz w:val="24"/>
              </w:rPr>
              <w:t>4)</w:t>
            </w:r>
          </w:p>
        </w:tc>
        <w:tc>
          <w:tcPr>
            <w:tcW w:w="9993"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Registration Statement (Form S-8 No. 333-272140) pertaining to the 2023 Long-Term Incentive Plan of Vishay Intertechnology, Inc.</w:t>
            </w:r>
          </w:p>
        </w:tc>
      </w:tr>
    </w:tbl>
    <w:p>
      <w:pPr>
        <w:pStyle w:val="TextBody"/>
        <w:widowControl/>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widowControl/>
        <w:bidi w:val="0"/>
        <w:spacing w:before="0" w:after="0"/>
        <w:jc w:val="both"/>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of our reports dated February 16, 2024, with respect to the consolidated financial statements of Vishay Intertechnology, Inc. and the effectiveness of internal control over financial reporting of Vishay Intertechnology, Inc. included in this Annual Report (Form 10-K) of Vishay Intertechnology, Inc. for the year ended December 31, 2023.</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rPr>
      </w:pPr>
      <w:r>
        <w:rPr>
          <w:rFonts w:ascii="Times New Roman;Times;serif" w:hAnsi="Times New Roman;Times;serif"/>
          <w:b w:val="false"/>
          <w:i w:val="false"/>
          <w:caps w:val="false"/>
          <w:smallCaps w:val="false"/>
          <w:color w:val="000000"/>
          <w:spacing w:val="0"/>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rPr>
      </w:pPr>
      <w:r>
        <w:rPr>
          <w:rFonts w:ascii="Times New Roman;Times;serif" w:hAnsi="Times New Roman;Times;serif"/>
          <w:b w:val="false"/>
          <w:i w:val="false"/>
          <w:caps w:val="false"/>
          <w:smallCaps w:val="false"/>
          <w:color w:val="000000"/>
          <w:spacing w:val="0"/>
        </w:rPr>
      </w:r>
    </w:p>
    <w:p>
      <w:pPr>
        <w:pStyle w:val="Normal"/>
        <w:bidi w:val="0"/>
        <w:spacing w:before="0" w:after="0"/>
        <w:jc w:val="left"/>
        <w:rPr>
          <w:sz w:val="4"/>
          <w:szCs w:val="4"/>
        </w:rPr>
      </w:pPr>
      <w:r>
        <w:rPr>
          <w:sz w:val="4"/>
          <w:szCs w:val="4"/>
        </w:rPr>
      </w:r>
      <w:bookmarkStart w:id="69" w:name="395717b81f204d96be602df1c3cde6e2"/>
      <w:bookmarkStart w:id="70" w:name="395717b81f204d96be602df1c3cde6e2"/>
      <w:bookmarkEnd w:id="70"/>
    </w:p>
    <w:tbl>
      <w:tblPr>
        <w:tblW w:w="2660" w:type="dxa"/>
        <w:jc w:val="left"/>
        <w:tblInd w:w="0" w:type="dxa"/>
        <w:tblLayout w:type="fixed"/>
        <w:tblCellMar>
          <w:top w:w="0" w:type="dxa"/>
          <w:left w:w="0" w:type="dxa"/>
          <w:bottom w:w="0" w:type="dxa"/>
          <w:right w:w="0" w:type="dxa"/>
        </w:tblCellMar>
      </w:tblPr>
      <w:tblGrid>
        <w:gridCol w:w="2585"/>
        <w:gridCol w:w="75"/>
      </w:tblGrid>
      <w:tr>
        <w:trPr/>
        <w:tc>
          <w:tcPr>
            <w:tcW w:w="2585" w:type="dxa"/>
            <w:tcBorders/>
            <w:vAlign w:val="center"/>
          </w:tcPr>
          <w:p>
            <w:pPr>
              <w:pStyle w:val="TableContents"/>
              <w:bidi w:val="0"/>
              <w:spacing w:before="0" w:after="0"/>
              <w:jc w:val="left"/>
              <w:rPr>
                <w:color w:val="000000"/>
                <w:sz w:val="24"/>
                <w:u w:val="single"/>
              </w:rPr>
            </w:pPr>
            <w:r>
              <w:rPr>
                <w:color w:val="000000"/>
                <w:sz w:val="24"/>
                <w:u w:val="single"/>
              </w:rPr>
              <w:t>/s/ Ernst &amp; Young LLP</w:t>
            </w:r>
          </w:p>
        </w:tc>
        <w:tc>
          <w:tcPr>
            <w:tcW w:w="75" w:type="dxa"/>
            <w:tcBorders/>
            <w:vAlign w:val="center"/>
          </w:tcPr>
          <w:p>
            <w:pPr>
              <w:pStyle w:val="TableContents"/>
              <w:bidi w:val="0"/>
              <w:spacing w:before="0" w:after="0"/>
              <w:jc w:val="left"/>
              <w:rPr>
                <w:color w:val="000000"/>
              </w:rPr>
            </w:pPr>
            <w:r>
              <w:rPr>
                <w:color w:val="000000"/>
              </w:rPr>
              <w:t> </w:t>
            </w:r>
          </w:p>
        </w:tc>
      </w:tr>
      <w:tr>
        <w:trPr/>
        <w:tc>
          <w:tcPr>
            <w:tcW w:w="258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85" w:type="dxa"/>
            <w:tcBorders/>
            <w:vAlign w:val="center"/>
          </w:tcPr>
          <w:p>
            <w:pPr>
              <w:pStyle w:val="TableContents"/>
              <w:bidi w:val="0"/>
              <w:spacing w:before="0" w:after="0"/>
              <w:jc w:val="left"/>
              <w:rPr>
                <w:color w:val="000000"/>
                <w:sz w:val="24"/>
              </w:rPr>
            </w:pPr>
            <w:r>
              <w:rPr>
                <w:color w:val="000000"/>
                <w:sz w:val="24"/>
              </w:rPr>
              <w:t>Philadelphia, Pennsylvania</w:t>
            </w:r>
          </w:p>
        </w:tc>
        <w:tc>
          <w:tcPr>
            <w:tcW w:w="75" w:type="dxa"/>
            <w:tcBorders/>
            <w:vAlign w:val="center"/>
          </w:tcPr>
          <w:p>
            <w:pPr>
              <w:pStyle w:val="TableContents"/>
              <w:bidi w:val="0"/>
              <w:spacing w:before="0" w:after="0"/>
              <w:jc w:val="left"/>
              <w:rPr/>
            </w:pPr>
            <w:r>
              <w:rPr/>
              <w:t> </w:t>
            </w:r>
          </w:p>
        </w:tc>
      </w:tr>
      <w:tr>
        <w:trPr/>
        <w:tc>
          <w:tcPr>
            <w:tcW w:w="2585" w:type="dxa"/>
            <w:tcBorders/>
            <w:vAlign w:val="center"/>
          </w:tcPr>
          <w:p>
            <w:pPr>
              <w:pStyle w:val="TableContents"/>
              <w:bidi w:val="0"/>
              <w:spacing w:before="0" w:after="0"/>
              <w:jc w:val="left"/>
              <w:rPr>
                <w:color w:val="000000"/>
                <w:sz w:val="24"/>
              </w:rPr>
            </w:pPr>
            <w:r>
              <w:rPr>
                <w:color w:val="000000"/>
                <w:sz w:val="24"/>
              </w:rPr>
              <w:t>February 16, 2024</w:t>
            </w:r>
          </w:p>
        </w:tc>
        <w:tc>
          <w:tcPr>
            <w:tcW w:w="75" w:type="dxa"/>
            <w:tcBorders/>
          </w:tcPr>
          <w:p>
            <w:pPr>
              <w:pStyle w:val="TableContents"/>
              <w:bidi w:val="0"/>
              <w:spacing w:before="0" w:after="283"/>
              <w:jc w:val="left"/>
              <w:rPr>
                <w:sz w:val="4"/>
                <w:szCs w:val="4"/>
              </w:rPr>
            </w:pPr>
            <w:r>
              <w:rPr>
                <w:sz w:val="4"/>
                <w:szCs w:val="4"/>
              </w:rPr>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bookmarkStart w:id="71" w:name="exhibit31-1.htm"/>
      <w:bookmarkStart w:id="72" w:name="ksexhibit311"/>
      <w:bookmarkEnd w:id="71"/>
      <w:bookmarkEnd w:id="72"/>
      <w:r>
        <w:rPr>
          <w:rFonts w:ascii="Times New Roman;Times;serif" w:hAnsi="Times New Roman;Times;serif"/>
          <w:b w:val="false"/>
          <w:i w:val="false"/>
          <w:caps w:val="false"/>
          <w:smallCaps w:val="false"/>
          <w:color w:val="000000"/>
          <w:spacing w:val="0"/>
          <w:sz w:val="24"/>
        </w:rPr>
        <w:t>Exhibit 31.1</w:t>
      </w:r>
      <w:r>
        <w:br w:type="page"/>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CERTIFICATIONS</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I, Joel Smejkal, certify that:</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73" w:name="z6136e23e8f904d0db4fdc19d6bd0ada7"/>
      <w:bookmarkStart w:id="74" w:name="z6136e23e8f904d0db4fdc19d6bd0ada7"/>
      <w:bookmarkEnd w:id="74"/>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I have reviewed this Annual Report on Form 10-K of Vishay Intertechnology, Inc.;</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2.</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3.</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75" w:name="z374e0299b907427796251c4b6a7fec81"/>
      <w:bookmarkStart w:id="76" w:name="z374e0299b907427796251c4b6a7fec81"/>
      <w:bookmarkEnd w:id="76"/>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5.</w:t>
            </w:r>
          </w:p>
        </w:tc>
        <w:tc>
          <w:tcPr>
            <w:tcW w:w="9984"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(b) Any fraud, whether or not material, that involves management or other employees who have a significant role in the registrant's internal control over financial reporting.</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Date: February 16, 2024</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u w:val="single"/>
        </w:rPr>
      </w:pPr>
      <w:r>
        <w:rPr>
          <w:rFonts w:ascii="Times New Roman;Times;serif" w:hAnsi="Times New Roman;Times;serif"/>
          <w:b w:val="false"/>
          <w:i w:val="false"/>
          <w:caps w:val="false"/>
          <w:smallCaps w:val="false"/>
          <w:color w:val="000000"/>
          <w:spacing w:val="0"/>
          <w:sz w:val="24"/>
          <w:u w:val="single"/>
        </w:rPr>
        <w:t>/s/ Joel Smejkal</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Joel Smejkal</w:t>
      </w:r>
    </w:p>
    <w:p>
      <w:pPr>
        <w:pStyle w:val="TextBody"/>
        <w:widowControl/>
        <w:bidi w:val="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Chief Executive Officer</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bookmarkStart w:id="77" w:name="exhibit31-2.htm"/>
      <w:bookmarkStart w:id="78" w:name="ksexhibit312"/>
      <w:bookmarkEnd w:id="77"/>
      <w:bookmarkEnd w:id="78"/>
      <w:r>
        <w:rPr>
          <w:rFonts w:ascii="Times New Roman;Times;serif" w:hAnsi="Times New Roman;Times;serif"/>
          <w:b w:val="false"/>
          <w:i w:val="false"/>
          <w:caps w:val="false"/>
          <w:smallCaps w:val="false"/>
          <w:color w:val="000000"/>
          <w:spacing w:val="0"/>
          <w:sz w:val="24"/>
        </w:rPr>
        <w:t>Exhibit 31.2</w:t>
      </w:r>
      <w:r>
        <w:br w:type="page"/>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CERTIFICATIONS</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I, Lori Lipcaman, certify that:</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I have reviewed this Annual Report on Form 10-K of Vishay Intertechnology, Inc.;</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2.</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3.</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998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5.</w:t>
            </w:r>
          </w:p>
        </w:tc>
        <w:tc>
          <w:tcPr>
            <w:tcW w:w="9984"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(b) Any fraud, whether or not material, that involves management or other employees who have a significant role in the registrant's internal control over financial reporting.</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Date: February 16, 2024</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u w:val="single"/>
        </w:rPr>
      </w:pPr>
      <w:r>
        <w:rPr>
          <w:rFonts w:ascii="Times New Roman;Times;serif" w:hAnsi="Times New Roman;Times;serif"/>
          <w:b w:val="false"/>
          <w:i w:val="false"/>
          <w:caps w:val="false"/>
          <w:smallCaps w:val="false"/>
          <w:color w:val="000000"/>
          <w:spacing w:val="0"/>
          <w:sz w:val="24"/>
          <w:u w:val="single"/>
        </w:rPr>
        <w:t>/s/ Lori Lipcaman</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Lori Lipcaman</w:t>
      </w:r>
    </w:p>
    <w:p>
      <w:pPr>
        <w:pStyle w:val="TextBody"/>
        <w:widowControl/>
        <w:bidi w:val="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Chief Financial Officer</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bookmarkStart w:id="79" w:name="exhibit32-1.htm"/>
      <w:bookmarkStart w:id="80" w:name="ksexhibit321"/>
      <w:bookmarkEnd w:id="79"/>
      <w:bookmarkEnd w:id="80"/>
      <w:r>
        <w:rPr>
          <w:rFonts w:ascii="Times New Roman;Times;serif" w:hAnsi="Times New Roman;Times;serif"/>
          <w:b w:val="false"/>
          <w:i w:val="false"/>
          <w:caps w:val="false"/>
          <w:smallCaps w:val="false"/>
          <w:color w:val="000000"/>
          <w:spacing w:val="0"/>
          <w:sz w:val="24"/>
        </w:rPr>
        <w:t>Exhibit 32.1</w:t>
      </w:r>
      <w:r>
        <w:br w:type="page"/>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CERTIFICATION PURSUANT TO</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18 U.S.C. SECTION 1350,</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AS ADOPTED PURSUANT TO</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SECTION 906 OF THE SARBANES-OXLEY ACT OF 2002</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In connection with the Annual Report of Vishay Intertechnology, Inc. (the "Company") on Form 10-K for the year ended December 31, 2023 as filed with the Securities and Exchange Commission on the date hereof (the "Report"), I, Joel Smejkal, Chief Executive Officer of the Company, certify, pursuant to 18 U.S.C. section 1350, as adopted pursuant to section 906 of the Sarbanes-Oxley Act of 2002, that:</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81" w:name="b28dd3c7662e4ac2a37b195a2ee6e15e"/>
      <w:bookmarkStart w:id="82" w:name="b28dd3c7662e4ac2a37b195a2ee6e15e"/>
      <w:bookmarkEnd w:id="82"/>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color w:val="000000"/>
                <w:sz w:val="24"/>
              </w:rPr>
            </w:pPr>
            <w:r>
              <w:rPr>
                <w:rFonts w:ascii="Times New Roman;Times;serif" w:hAnsi="Times New Roman;Times;serif"/>
                <w:color w:val="000000"/>
                <w:sz w:val="24"/>
              </w:rPr>
              <w:t>(1)</w:t>
            </w:r>
          </w:p>
        </w:tc>
        <w:tc>
          <w:tcPr>
            <w:tcW w:w="9910" w:type="dxa"/>
            <w:tcBorders/>
            <w:vAlign w:val="center"/>
          </w:tcPr>
          <w:p>
            <w:pPr>
              <w:pStyle w:val="TableContents"/>
              <w:bidi w:val="0"/>
              <w:spacing w:before="0" w:after="283"/>
              <w:jc w:val="both"/>
              <w:rPr>
                <w:rFonts w:ascii="Times New Roman;Times;serif" w:hAnsi="Times New Roman;Times;serif"/>
                <w:color w:val="000000"/>
                <w:sz w:val="24"/>
              </w:rPr>
            </w:pPr>
            <w:r>
              <w:rPr>
                <w:rFonts w:ascii="Times New Roman;Times;serif" w:hAnsi="Times New Roman;Times;serif"/>
                <w:color w:val="000000"/>
                <w:sz w:val="24"/>
              </w:rPr>
              <w:t>The Report fully complies with the requirements of section 13(a) or 15(d) of the Securities Exchange Act of 1934; and</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83" w:name="6590bdc02dce42efb1cccbc1380f7924"/>
      <w:bookmarkStart w:id="84" w:name="6590bdc02dce42efb1cccbc1380f7924"/>
      <w:bookmarkEnd w:id="84"/>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color w:val="000000"/>
                <w:sz w:val="24"/>
              </w:rPr>
            </w:pPr>
            <w:r>
              <w:rPr>
                <w:rFonts w:ascii="Times New Roman;Times;serif" w:hAnsi="Times New Roman;Times;serif"/>
                <w:color w:val="000000"/>
                <w:sz w:val="24"/>
              </w:rPr>
              <w:t>(2)</w:t>
            </w:r>
          </w:p>
        </w:tc>
        <w:tc>
          <w:tcPr>
            <w:tcW w:w="9923" w:type="dxa"/>
            <w:tcBorders/>
            <w:vAlign w:val="center"/>
          </w:tcPr>
          <w:p>
            <w:pPr>
              <w:pStyle w:val="TableContents"/>
              <w:bidi w:val="0"/>
              <w:spacing w:before="0" w:after="283"/>
              <w:jc w:val="both"/>
              <w:rPr>
                <w:rFonts w:ascii="Times New Roman;Times;serif" w:hAnsi="Times New Roman;Times;serif"/>
                <w:color w:val="000000"/>
                <w:sz w:val="24"/>
              </w:rPr>
            </w:pPr>
            <w:r>
              <w:rPr>
                <w:rFonts w:ascii="Times New Roman;Times;serif" w:hAnsi="Times New Roman;Times;serif"/>
                <w:color w:val="000000"/>
                <w:sz w:val="24"/>
              </w:rPr>
              <w:t>The information contained in the Report fairly presents, in all material respects, the financial condition and results of operations of the Company.</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u w:val="single"/>
        </w:rPr>
      </w:pPr>
      <w:r>
        <w:rPr>
          <w:rFonts w:ascii="Times New Roman;Times;serif" w:hAnsi="Times New Roman;Times;serif"/>
          <w:b w:val="false"/>
          <w:i w:val="false"/>
          <w:caps w:val="false"/>
          <w:smallCaps w:val="false"/>
          <w:color w:val="000000"/>
          <w:spacing w:val="0"/>
          <w:sz w:val="24"/>
          <w:u w:val="single"/>
        </w:rPr>
        <w:t>/s/ Joel Smejkal</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Joel Smejkal</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Chief Executive Officer</w:t>
      </w:r>
    </w:p>
    <w:p>
      <w:pPr>
        <w:pStyle w:val="TextBody"/>
        <w:widowControl/>
        <w:bidi w:val="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February 16, 2024</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bookmarkStart w:id="85" w:name="exhibit32-2.htm"/>
      <w:bookmarkStart w:id="86" w:name="ksexhibit322"/>
      <w:bookmarkEnd w:id="85"/>
      <w:bookmarkEnd w:id="86"/>
      <w:r>
        <w:rPr>
          <w:rFonts w:ascii="Times New Roman;Times;serif" w:hAnsi="Times New Roman;Times;serif"/>
          <w:b w:val="false"/>
          <w:i w:val="false"/>
          <w:caps w:val="false"/>
          <w:smallCaps w:val="false"/>
          <w:color w:val="000000"/>
          <w:spacing w:val="0"/>
          <w:sz w:val="24"/>
        </w:rPr>
        <w:t>Exhibit 32.2</w:t>
      </w:r>
      <w:r>
        <w:br w:type="page"/>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CERTIFICATION PURSUANT TO</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18 U.S.C. SECTION 1350,</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AS ADOPTED PURSUANT TO</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SECTION 906 OF THE SARBANES-OXLEY ACT OF 2002</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In connection with the Annual Report of Vishay Intertechnology, Inc. (the "Company") on Form 10-K for the year ended December 31, 2023 as filed with the Securities and Exchange Commission on the date hereof (the "Report"), I, Lori Lipcaman, Chief Financial Officer of the Company, certify, pursuant to 18 U.S.C. section 1350, as adopted pursuant to section 906 of the Sarbanes-Oxley Act of 2002, that:</w:t>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87" w:name="0a4895e7ce754cbd8938112bd361965b"/>
      <w:bookmarkStart w:id="88" w:name="0a4895e7ce754cbd8938112bd361965b"/>
      <w:bookmarkEnd w:id="88"/>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color w:val="000000"/>
                <w:sz w:val="24"/>
              </w:rPr>
            </w:pPr>
            <w:r>
              <w:rPr>
                <w:rFonts w:ascii="Times New Roman;Times;serif" w:hAnsi="Times New Roman;Times;serif"/>
                <w:color w:val="000000"/>
                <w:sz w:val="24"/>
              </w:rPr>
              <w:t>(1)</w:t>
            </w:r>
          </w:p>
        </w:tc>
        <w:tc>
          <w:tcPr>
            <w:tcW w:w="9910" w:type="dxa"/>
            <w:tcBorders/>
            <w:vAlign w:val="center"/>
          </w:tcPr>
          <w:p>
            <w:pPr>
              <w:pStyle w:val="TableContents"/>
              <w:bidi w:val="0"/>
              <w:spacing w:before="0" w:after="283"/>
              <w:jc w:val="both"/>
              <w:rPr>
                <w:rFonts w:ascii="Times New Roman;Times;serif" w:hAnsi="Times New Roman;Times;serif"/>
                <w:color w:val="000000"/>
                <w:sz w:val="24"/>
              </w:rPr>
            </w:pPr>
            <w:r>
              <w:rPr>
                <w:rFonts w:ascii="Times New Roman;Times;serif" w:hAnsi="Times New Roman;Times;serif"/>
                <w:color w:val="000000"/>
                <w:sz w:val="24"/>
              </w:rPr>
              <w:t>The Report fully complies with the requirements of section 13(a) or 15(d) of the Securities Exchange Act of 1934; and</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Normal"/>
        <w:bidi w:val="0"/>
        <w:spacing w:before="0" w:after="0"/>
        <w:ind w:left="0" w:right="0" w:hanging="0"/>
        <w:jc w:val="left"/>
        <w:rPr>
          <w:sz w:val="4"/>
          <w:szCs w:val="4"/>
        </w:rPr>
      </w:pPr>
      <w:r>
        <w:rPr>
          <w:sz w:val="4"/>
          <w:szCs w:val="4"/>
        </w:rPr>
      </w:r>
      <w:bookmarkStart w:id="89" w:name="a8425e89ab43464ea88dfcb48afa52e1"/>
      <w:bookmarkStart w:id="90" w:name="a8425e89ab43464ea88dfcb48afa52e1"/>
      <w:bookmarkEnd w:id="90"/>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color w:val="000000"/>
                <w:sz w:val="24"/>
              </w:rPr>
            </w:pPr>
            <w:r>
              <w:rPr>
                <w:rFonts w:ascii="Times New Roman;Times;serif" w:hAnsi="Times New Roman;Times;serif"/>
                <w:color w:val="000000"/>
                <w:sz w:val="24"/>
              </w:rPr>
              <w:t>(2)</w:t>
            </w:r>
          </w:p>
        </w:tc>
        <w:tc>
          <w:tcPr>
            <w:tcW w:w="9923" w:type="dxa"/>
            <w:tcBorders/>
            <w:vAlign w:val="center"/>
          </w:tcPr>
          <w:p>
            <w:pPr>
              <w:pStyle w:val="TableContents"/>
              <w:bidi w:val="0"/>
              <w:spacing w:before="0" w:after="283"/>
              <w:jc w:val="both"/>
              <w:rPr>
                <w:rFonts w:ascii="Times New Roman;Times;serif" w:hAnsi="Times New Roman;Times;serif"/>
                <w:color w:val="000000"/>
                <w:sz w:val="24"/>
              </w:rPr>
            </w:pPr>
            <w:r>
              <w:rPr>
                <w:rFonts w:ascii="Times New Roman;Times;serif" w:hAnsi="Times New Roman;Times;serif"/>
                <w:color w:val="000000"/>
                <w:sz w:val="24"/>
              </w:rPr>
              <w:t>The information contained in the Report fairly presents, in all material respects, the financial condition and results of operations of the Company.</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u w:val="single"/>
        </w:rPr>
      </w:pPr>
      <w:r>
        <w:rPr>
          <w:rFonts w:ascii="Times New Roman;Times;serif" w:hAnsi="Times New Roman;Times;serif"/>
          <w:b w:val="false"/>
          <w:i w:val="false"/>
          <w:caps w:val="false"/>
          <w:smallCaps w:val="false"/>
          <w:color w:val="000000"/>
          <w:spacing w:val="0"/>
          <w:sz w:val="24"/>
          <w:u w:val="single"/>
        </w:rPr>
        <w:t>/s/ Lori Lipcaman</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Lori Lipcaman</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Chief Financial Officer</w:t>
      </w:r>
    </w:p>
    <w:p>
      <w:pPr>
        <w:pStyle w:val="TextBody"/>
        <w:widowControl/>
        <w:bidi w:val="0"/>
        <w:ind w:left="0" w:right="0" w:hanging="0"/>
        <w:jc w:val="left"/>
        <w:rPr>
          <w:rFonts w:ascii="Times New Roman;Times;serif" w:hAnsi="Times New Roman;Times;serif"/>
          <w:b w:val="false"/>
          <w:i w:val="false"/>
          <w:caps w:val="false"/>
          <w:smallCaps w:val="false"/>
          <w:color w:val="000000"/>
          <w:spacing w:val="0"/>
          <w:sz w:val="24"/>
        </w:rPr>
      </w:pPr>
      <w:r>
        <w:rPr>
          <w:rFonts w:ascii="Times New Roman;Times;serif" w:hAnsi="Times New Roman;Times;serif"/>
          <w:b w:val="false"/>
          <w:i w:val="false"/>
          <w:caps w:val="false"/>
          <w:smallCaps w:val="false"/>
          <w:color w:val="000000"/>
          <w:spacing w:val="0"/>
          <w:sz w:val="24"/>
        </w:rPr>
        <w:t>February 16, 2024</w:t>
      </w:r>
    </w:p>
    <w:p>
      <w:pPr>
        <w:pStyle w:val="TextBody"/>
        <w:bidi w:val="0"/>
        <w:spacing w:before="0" w:after="0"/>
        <w:jc w:val="right"/>
        <w:rPr>
          <w:rFonts w:ascii="Times New Roman;Times;serif" w:hAnsi="Times New Roman;Times;serif"/>
          <w:b/>
          <w:color w:val="000000"/>
          <w:sz w:val="24"/>
        </w:rPr>
      </w:pPr>
      <w:bookmarkStart w:id="91" w:name="exhibit10-66.htm"/>
      <w:bookmarkStart w:id="92" w:name="ksexhibit1066"/>
      <w:bookmarkEnd w:id="91"/>
      <w:bookmarkEnd w:id="92"/>
      <w:r>
        <w:rPr>
          <w:rFonts w:ascii="Times New Roman;Times;serif" w:hAnsi="Times New Roman;Times;serif"/>
          <w:b/>
          <w:color w:val="000000"/>
          <w:sz w:val="24"/>
        </w:rPr>
        <w:t>Exhibit 10.66</w:t>
      </w:r>
      <w:r>
        <w:br w:type="page"/>
      </w:r>
    </w:p>
    <w:p>
      <w:pPr>
        <w:pStyle w:val="TextBody"/>
        <w:bidi w:val="0"/>
        <w:spacing w:before="0" w:after="0"/>
        <w:jc w:val="left"/>
        <w:rPr/>
      </w:pPr>
      <w:r>
        <w:rPr/>
      </w:r>
    </w:p>
    <w:p>
      <w:pPr>
        <w:pStyle w:val="TextBody"/>
        <w:bidi w:val="0"/>
        <w:spacing w:before="0" w:after="240"/>
        <w:jc w:val="center"/>
        <w:rPr>
          <w:rFonts w:ascii="Times New Roman;Times;serif" w:hAnsi="Times New Roman;Times;serif"/>
          <w:b/>
          <w:color w:val="000000"/>
          <w:sz w:val="24"/>
        </w:rPr>
      </w:pPr>
      <w:bookmarkStart w:id="93" w:name="OLE_LINK2"/>
      <w:bookmarkEnd w:id="93"/>
      <w:r>
        <w:rPr>
          <w:rFonts w:ascii="Times New Roman;Times;serif" w:hAnsi="Times New Roman;Times;serif"/>
          <w:b/>
          <w:color w:val="000000"/>
          <w:sz w:val="24"/>
        </w:rPr>
        <w:t>VISHAY INTERTECHNOLOGY, INC. 2023 LONG-TERM INCENTIVE PLAN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NOTICE OF GRANT OF PHANTOM STOCK UNITS AND</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AWARD AGREEMENT</w:t>
      </w:r>
    </w:p>
    <w:p>
      <w:pPr>
        <w:pStyle w:val="TextBody"/>
        <w:bidi w:val="0"/>
        <w:spacing w:before="0" w:after="240"/>
        <w:ind w:left="0" w:right="0" w:firstLine="720"/>
        <w:jc w:val="both"/>
        <w:rPr>
          <w:rFonts w:ascii="Times New Roman;Times;serif" w:hAnsi="Times New Roman;Times;serif"/>
          <w:color w:val="000000"/>
          <w:sz w:val="24"/>
        </w:rPr>
      </w:pPr>
      <w:bookmarkStart w:id="94" w:name="T1"/>
      <w:bookmarkEnd w:id="94"/>
      <w:r>
        <w:rPr>
          <w:rFonts w:ascii="Times New Roman;Times;serif" w:hAnsi="Times New Roman;Times;serif"/>
          <w:color w:val="000000"/>
          <w:sz w:val="24"/>
        </w:rPr>
        <w:t>Vishay Intertechnology, Inc., a Delaware corporation, pursuant to its 2023 Long-Term Incentive Plan, hereby grants to the individual listed below (the “</w:t>
      </w:r>
      <w:r>
        <w:rPr>
          <w:rFonts w:ascii="Times New Roman;Times;serif" w:hAnsi="Times New Roman;Times;serif"/>
          <w:color w:val="000000"/>
          <w:sz w:val="24"/>
          <w:u w:val="single"/>
        </w:rPr>
        <w:t>Participant</w:t>
      </w:r>
      <w:r>
        <w:rPr>
          <w:rFonts w:ascii="Times New Roman;Times;serif" w:hAnsi="Times New Roman;Times;serif"/>
          <w:color w:val="000000"/>
          <w:sz w:val="24"/>
        </w:rPr>
        <w:t xml:space="preserve">”) </w:t>
      </w:r>
      <w:bookmarkStart w:id="95" w:name="T3"/>
      <w:bookmarkEnd w:id="95"/>
      <w:r>
        <w:rPr>
          <w:rFonts w:ascii="Times New Roman;Times;serif" w:hAnsi="Times New Roman;Times;serif"/>
          <w:color w:val="000000"/>
          <w:sz w:val="24"/>
        </w:rPr>
        <w:t>this award of Phantom Stock Units</w:t>
      </w:r>
      <w:bookmarkStart w:id="96" w:name="T4"/>
      <w:bookmarkEnd w:id="96"/>
      <w:r>
        <w:rPr>
          <w:rFonts w:ascii="Times New Roman;Times;serif" w:hAnsi="Times New Roman;Times;serif"/>
          <w:color w:val="000000"/>
          <w:sz w:val="24"/>
        </w:rPr>
        <w:t xml:space="preserve">.  The Phantom Stock Units described in this </w:t>
      </w:r>
      <w:bookmarkStart w:id="97" w:name="T5"/>
      <w:bookmarkEnd w:id="97"/>
      <w:r>
        <w:rPr>
          <w:rFonts w:ascii="Times New Roman;Times;serif" w:hAnsi="Times New Roman;Times;serif"/>
          <w:color w:val="000000"/>
          <w:sz w:val="24"/>
        </w:rPr>
        <w:t>Notice of Grant of Phantom Stock Units (the “</w:t>
      </w:r>
      <w:r>
        <w:rPr>
          <w:rFonts w:ascii="Times New Roman;Times;serif" w:hAnsi="Times New Roman;Times;serif"/>
          <w:color w:val="000000"/>
          <w:sz w:val="24"/>
          <w:u w:val="single"/>
        </w:rPr>
        <w:t>Notice</w:t>
      </w:r>
      <w:r>
        <w:rPr>
          <w:rFonts w:ascii="Times New Roman;Times;serif" w:hAnsi="Times New Roman;Times;serif"/>
          <w:color w:val="000000"/>
          <w:sz w:val="24"/>
        </w:rPr>
        <w:t xml:space="preserve">”) are subject to the terms and conditions set forth in the </w:t>
      </w:r>
      <w:bookmarkStart w:id="98" w:name="T6"/>
      <w:bookmarkEnd w:id="98"/>
      <w:r>
        <w:rPr>
          <w:rFonts w:ascii="Times New Roman;Times;serif" w:hAnsi="Times New Roman;Times;serif"/>
          <w:color w:val="000000"/>
          <w:sz w:val="24"/>
        </w:rPr>
        <w:t>Award Agreement attached hereto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(the “</w:t>
      </w:r>
      <w:r>
        <w:rPr>
          <w:rFonts w:ascii="Times New Roman;Times;serif" w:hAnsi="Times New Roman;Times;serif"/>
          <w:color w:val="000000"/>
          <w:sz w:val="24"/>
          <w:u w:val="single"/>
        </w:rPr>
        <w:t>Agreement</w:t>
      </w:r>
      <w:r>
        <w:rPr>
          <w:rFonts w:ascii="Times New Roman;Times;serif" w:hAnsi="Times New Roman;Times;serif"/>
          <w:color w:val="000000"/>
          <w:sz w:val="24"/>
        </w:rPr>
        <w:t>”) and the Plan, each of which is incorporated herein by reference. Unless otherwise defined herein, capitalized terms used in this Notice and the Agreement will have the meanings defined in the Plan.</w:t>
      </w:r>
    </w:p>
    <w:p>
      <w:pPr>
        <w:pStyle w:val="Normal"/>
        <w:bidi w:val="0"/>
        <w:spacing w:before="0" w:after="0"/>
        <w:jc w:val="left"/>
        <w:rPr>
          <w:sz w:val="4"/>
          <w:szCs w:val="4"/>
        </w:rPr>
      </w:pPr>
      <w:r>
        <w:rPr>
          <w:sz w:val="4"/>
          <w:szCs w:val="4"/>
        </w:rPr>
      </w:r>
      <w:bookmarkStart w:id="99" w:name="zf9107e5033064e1f9a72213326550967"/>
      <w:bookmarkStart w:id="100" w:name="zf9107e5033064e1f9a72213326550967"/>
      <w:bookmarkEnd w:id="100"/>
    </w:p>
    <w:tbl>
      <w:tblPr>
        <w:tblW w:w="10205" w:type="dxa"/>
        <w:jc w:val="left"/>
        <w:tblInd w:w="-15" w:type="dxa"/>
        <w:tblLayout w:type="fixed"/>
        <w:tblCellMar>
          <w:top w:w="28" w:type="dxa"/>
          <w:left w:w="28" w:type="dxa"/>
          <w:bottom w:w="28" w:type="dxa"/>
          <w:right w:w="28" w:type="dxa"/>
        </w:tblCellMar>
      </w:tblPr>
      <w:tblGrid>
        <w:gridCol w:w="2769"/>
        <w:gridCol w:w="7436"/>
      </w:tblGrid>
      <w:tr>
        <w:trPr/>
        <w:tc>
          <w:tcPr>
            <w:tcW w:w="276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Participant:</w:t>
            </w:r>
          </w:p>
        </w:tc>
        <w:tc>
          <w:tcPr>
            <w:tcW w:w="74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276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Grant Date:</w:t>
            </w:r>
          </w:p>
        </w:tc>
        <w:tc>
          <w:tcPr>
            <w:tcW w:w="74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276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Total Number of Phantom Stock Units:</w:t>
            </w:r>
          </w:p>
        </w:tc>
        <w:tc>
          <w:tcPr>
            <w:tcW w:w="74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276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Vesting Conditions:</w:t>
            </w:r>
          </w:p>
        </w:tc>
        <w:tc>
          <w:tcPr>
            <w:tcW w:w="74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Subject to the continued service of the Participant through the applicable vesting date, the Phantom Stock Units shall vest as follows:</w:t>
            </w:r>
          </w:p>
          <w:p>
            <w:pPr>
              <w:pStyle w:val="TableContents"/>
              <w:bidi w:val="0"/>
              <w:spacing w:before="0" w:after="0"/>
              <w:jc w:val="left"/>
              <w:rPr/>
            </w:pPr>
            <w:r>
              <w:rPr/>
              <w:t> </w:t>
            </w:r>
          </w:p>
        </w:tc>
      </w:tr>
    </w:tbl>
    <w:p>
      <w:pPr>
        <w:pStyle w:val="TextBody"/>
        <w:bidi w:val="0"/>
        <w:spacing w:before="240" w:after="240"/>
        <w:jc w:val="left"/>
        <w:rPr/>
      </w:pPr>
      <w:r>
        <w:rPr/>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4"/>
        </w:rPr>
        <w:t>By signing below, the Participant agrees to be bound by the terms and conditions of the Plan, the Agreement and this Notice. This document may be executed, including by electronic means, in multiple counterparts, each of which will be deemed an original, and all of which together will be deemed a single instrument.</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rFonts w:ascii="Times New Roman;Times;serif" w:hAnsi="Times New Roman;Times;serif"/>
          <w:b/>
          <w:color w:val="000000"/>
          <w:sz w:val="24"/>
        </w:rPr>
      </w:pPr>
      <w:r>
        <w:rPr>
          <w:rFonts w:ascii="Times New Roman;Times;serif" w:hAnsi="Times New Roman;Times;serif"/>
          <w:b/>
          <w:color w:val="000000"/>
          <w:sz w:val="24"/>
        </w:rPr>
        <w:t>VISHAY INTERTECHNOLOGY, INC.</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Sign: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Name: 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Title: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Date: _______________________________</w:t>
      </w:r>
    </w:p>
    <w:p>
      <w:pPr>
        <w:pStyle w:val="TextBody"/>
        <w:bidi w:val="0"/>
        <w:spacing w:before="120" w:after="120"/>
        <w:jc w:val="left"/>
        <w:rPr>
          <w:rFonts w:ascii="Times New Roman;Times;serif" w:hAnsi="Times New Roman;Times;serif"/>
          <w:b/>
          <w:color w:val="000000"/>
          <w:sz w:val="24"/>
        </w:rPr>
      </w:pPr>
      <w:r>
        <w:rPr>
          <w:rFonts w:ascii="Times New Roman;Times;serif" w:hAnsi="Times New Roman;Times;serif"/>
          <w:b/>
          <w:color w:val="000000"/>
          <w:sz w:val="24"/>
        </w:rPr>
        <w:t>PARTICIPANT</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Sign: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Name: 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Date: _______________________________</w:t>
      </w:r>
    </w:p>
    <w:p>
      <w:pPr>
        <w:pStyle w:val="TextBody"/>
        <w:bidi w:val="0"/>
        <w:spacing w:before="0" w:after="0"/>
        <w:jc w:val="left"/>
        <w:rPr/>
      </w:pPr>
      <w:r>
        <w:rPr/>
      </w:r>
    </w:p>
    <w:p>
      <w:pPr>
        <w:pStyle w:val="TextBody"/>
        <w:bidi w:val="0"/>
        <w:spacing w:before="240" w:after="240"/>
        <w:jc w:val="left"/>
        <w:rPr/>
      </w:pPr>
      <w:r>
        <w:rPr/>
      </w:r>
    </w:p>
    <w:p>
      <w:pPr>
        <w:pStyle w:val="HorizontalLine"/>
        <w:pBdr>
          <w:bottom w:val="single" w:sz="12" w:space="0" w:color="808080"/>
        </w:pBdr>
        <w:bidi w:val="0"/>
        <w:spacing w:before="240" w:after="24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EXHIBIT A</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 xml:space="preserve">TO </w:t>
      </w:r>
      <w:bookmarkStart w:id="101" w:name="z_Hlk86352588"/>
      <w:bookmarkEnd w:id="101"/>
      <w:r>
        <w:rPr>
          <w:rFonts w:ascii="Times New Roman;Times;serif" w:hAnsi="Times New Roman;Times;serif"/>
          <w:b/>
          <w:color w:val="000000"/>
          <w:sz w:val="24"/>
        </w:rPr>
        <w:t>NOTICE OF GRANT OF PHANTOM STOCK UNITS</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AWARD AGREEMENT</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UNDER THE</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VISHAY INTERTECHNOLOGY, INC. 2023 LONG-TERM INCENTIVE PLAN</w:t>
      </w:r>
    </w:p>
    <w:p>
      <w:pPr>
        <w:pStyle w:val="TextBody"/>
        <w:bidi w:val="0"/>
        <w:spacing w:before="24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1. </w:t>
      </w:r>
      <w:r>
        <w:rPr>
          <w:rFonts w:ascii="Times New Roman;Times;serif" w:hAnsi="Times New Roman;Times;serif"/>
          <w:color w:val="000000"/>
          <w:sz w:val="24"/>
          <w:u w:val="single"/>
        </w:rPr>
        <w:t>Award of Phantom Stock Units</w:t>
      </w:r>
      <w:r>
        <w:rPr>
          <w:rFonts w:ascii="Times New Roman;Times;serif" w:hAnsi="Times New Roman;Times;serif"/>
          <w:color w:val="000000"/>
          <w:sz w:val="24"/>
        </w:rPr>
        <w:t>.  Effective as of the Grant Date set forth in the Notice, the Company has granted to the Participant the number of Phantom Stock Units set forth in the Notice (this “</w:t>
      </w:r>
      <w:r>
        <w:rPr>
          <w:rFonts w:ascii="Times New Roman;Times;serif" w:hAnsi="Times New Roman;Times;serif"/>
          <w:color w:val="000000"/>
          <w:sz w:val="24"/>
          <w:u w:val="single"/>
        </w:rPr>
        <w:t>Award</w:t>
      </w:r>
      <w:r>
        <w:rPr>
          <w:rFonts w:ascii="Times New Roman;Times;serif" w:hAnsi="Times New Roman;Times;serif"/>
          <w:color w:val="000000"/>
          <w:sz w:val="24"/>
        </w:rPr>
        <w:t>”), subject to the restrictions and on the terms and conditions set forth in the Notice, the Plan and this Agreement. Each Phantom Stock Unit represents the right to receive one Share at the times and subject to the conditions set forth herein.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2. </w:t>
      </w:r>
      <w:r>
        <w:rPr>
          <w:rFonts w:ascii="Times New Roman;Times;serif" w:hAnsi="Times New Roman;Times;serif"/>
          <w:color w:val="000000"/>
          <w:sz w:val="24"/>
          <w:u w:val="single"/>
        </w:rPr>
        <w:t>Vesting of Phantom Stock Units</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(a) </w:t>
      </w:r>
      <w:bookmarkStart w:id="102" w:name="z_cp_text_1_107"/>
      <w:bookmarkEnd w:id="102"/>
      <w:r>
        <w:rPr>
          <w:rFonts w:ascii="Times New Roman;Times;serif" w:hAnsi="Times New Roman;Times;serif"/>
          <w:color w:val="000000"/>
          <w:sz w:val="24"/>
        </w:rPr>
        <w:t>Subject to the continued service of the Participant with the Company through the relevant vesting date(s) or event(s), the Phantom Stock Units will become vested in such amounts and at such times as set forth in the Notice.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(b) </w:t>
      </w:r>
      <w:bookmarkStart w:id="103" w:name="z_cp_text_1_92"/>
      <w:bookmarkStart w:id="104" w:name="z_cp_text_2_91"/>
      <w:bookmarkEnd w:id="103"/>
      <w:bookmarkEnd w:id="104"/>
      <w:r>
        <w:rPr>
          <w:rFonts w:ascii="Times New Roman;Times;serif" w:hAnsi="Times New Roman;Times;serif"/>
          <w:color w:val="000000"/>
          <w:sz w:val="24"/>
        </w:rPr>
        <w:t>Solely for purposes of this Agreement, service with the Company will be deemed to include service with an Affiliate of the Company (for only so long as such entity remains an Affiliate of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(c) Upon the cessation of the Participant’s service with the Company for any reason, any then unvested Phantom Stock Units subject hereto (determined after giving effect to any acceleration of vesting occurring upon such termination, whether occurring pursuant to the Participant’s employment agreement, in the discretion of the Committee or otherwise) will be forfeited automatically.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3. </w:t>
      </w:r>
      <w:r>
        <w:rPr>
          <w:rFonts w:ascii="Times New Roman;Times;serif" w:hAnsi="Times New Roman;Times;serif"/>
          <w:color w:val="000000"/>
          <w:sz w:val="24"/>
          <w:u w:val="single"/>
        </w:rPr>
        <w:t>Settlement of Phantom Stock Units</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(a) </w:t>
      </w:r>
      <w:bookmarkStart w:id="105" w:name="C19"/>
      <w:bookmarkStart w:id="106" w:name="z_Ref139462342"/>
      <w:bookmarkEnd w:id="105"/>
      <w:bookmarkEnd w:id="106"/>
      <w:r>
        <w:rPr>
          <w:rFonts w:ascii="Times New Roman;Times;serif" w:hAnsi="Times New Roman;Times;serif"/>
          <w:color w:val="000000"/>
          <w:sz w:val="24"/>
        </w:rPr>
        <w:t>Subject to the requirements of the Plan and this Agreement, one Share will be issued with respect to each vested Phantom Stock Unit subject hereto within 30 days following the earlier of (i) the Participant’s “separation of service” within the meaning of Treas. Reg. § 1.409A-1(h) or any successor regulation, and (ii) a Change in Control that constitutes a “change in control event” within the meaning of Treas. Reg. § 1.409A-3(i)(5) or any successor regulation.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(b) The Participant shall not have any rights of a stockholder of the Company with respect to the Shares underlying the Phantom Stock Units until such Shares are issued pursuant to Section 3(a) hereof. However, if the Company declares and pays a cash dividend or distribution with respect to its Shares, the Phantom Stock Units then outstanding hereunder will be increased by a number of additional Phantom Stock Units determined by dividing (A) the total dividend or distribution that would be payable with respect to a number of Shares equal to the number of Phantom Stock Units outstanding hereunder on the dividend or distribution record date, divided by (B) the Fair Market Value on the date the dividend or distribution is paid. Any additional Phantom Stock Units credited under this paragraph will be subject to the same terms and conditions (including the same vesting and delivery schedule) as the Phantom Stock Units giving rise to the crediting of such additional Phantom Stock Units.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(c) Notwithstanding any other provision of this Agreement to the contrary:</w:t>
      </w:r>
    </w:p>
    <w:p>
      <w:pPr>
        <w:pStyle w:val="Normal"/>
        <w:bidi w:val="0"/>
        <w:spacing w:before="0" w:after="0"/>
        <w:jc w:val="left"/>
        <w:rPr>
          <w:sz w:val="4"/>
          <w:szCs w:val="4"/>
        </w:rPr>
      </w:pPr>
      <w:r>
        <w:rPr>
          <w:sz w:val="4"/>
          <w:szCs w:val="4"/>
        </w:rPr>
      </w:r>
      <w:bookmarkStart w:id="107" w:name="z1ca871415dcb42a6a90e9b138ec5684c"/>
      <w:bookmarkStart w:id="108" w:name="z1ca871415dcb42a6a90e9b138ec5684c"/>
      <w:bookmarkEnd w:id="108"/>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w:t>
            </w:r>
          </w:p>
        </w:tc>
        <w:tc>
          <w:tcPr>
            <w:tcW w:w="10028"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no Shares will be delivered in connection with the Award, unless and until the Participant has complied with all applicable provisions of the Hart-Scott-Rodino Antitrust Improvements Act of 1976, as amended (the “</w:t>
            </w:r>
            <w:r>
              <w:rPr>
                <w:rFonts w:ascii="Times New Roman;Times;serif" w:hAnsi="Times New Roman;Times;serif"/>
                <w:sz w:val="24"/>
                <w:u w:val="single"/>
              </w:rPr>
              <w:t>HSR Act</w:t>
            </w:r>
            <w:r>
              <w:rPr>
                <w:rFonts w:ascii="Times New Roman;Times;serif" w:hAnsi="Times New Roman;Times;serif"/>
                <w:sz w:val="24"/>
              </w:rPr>
              <w:t xml:space="preserve">”). If the delivery of Shares in connection with the Award is delayed pursuant to the preceding sentence, the delivery shall occur on the first day that the Participant has complied with all applicable provisions of the HSR Act; </w:t>
            </w:r>
            <w:r>
              <w:rPr>
                <w:rFonts w:ascii="Times New Roman;Times;serif" w:hAnsi="Times New Roman;Times;serif"/>
                <w:i/>
                <w:sz w:val="24"/>
              </w:rPr>
              <w:t>provided</w:t>
            </w:r>
            <w:r>
              <w:rPr>
                <w:rFonts w:ascii="Times New Roman;Times;serif" w:hAnsi="Times New Roman;Times;serif"/>
                <w:sz w:val="24"/>
              </w:rPr>
              <w:t>, however, that if the Participant has not complied with all applicable provisions of the HSR Act by the last day of the calendar year in which such Shares are otherwise deliverable, such Shares and all rights of the Participant under this Agreement will be immediately and automatically forfeited;</w:t>
            </w:r>
          </w:p>
        </w:tc>
      </w:tr>
    </w:tbl>
    <w:p>
      <w:pPr>
        <w:pStyle w:val="Normal"/>
        <w:bidi w:val="0"/>
        <w:spacing w:before="0" w:after="0"/>
        <w:jc w:val="left"/>
        <w:rPr>
          <w:sz w:val="4"/>
          <w:szCs w:val="4"/>
        </w:rPr>
      </w:pPr>
      <w:r>
        <w:rPr>
          <w:sz w:val="4"/>
          <w:szCs w:val="4"/>
        </w:rPr>
      </w:r>
      <w:bookmarkStart w:id="109" w:name="z2b0086963d294530a44c73e181469b0a"/>
      <w:bookmarkStart w:id="110" w:name="z2b0086963d294530a44c73e181469b0a"/>
      <w:bookmarkEnd w:id="110"/>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w:t>
            </w:r>
          </w:p>
        </w:tc>
        <w:tc>
          <w:tcPr>
            <w:tcW w:w="9963"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 the extent compliance with the requirements of Treas. Reg. §1.409A-3(i)(2) (or any successor provision) is necessary to avoid the application of an additional tax under Section 409A of the Code, any issuance of Shares hereunder that would otherwise be made upon the Participant’s separation from service will be deferred and delivered to the Participant immediately after the six-month period following that separation from service (or if sooner, immediately after the Participant’s death);</w:t>
            </w:r>
          </w:p>
        </w:tc>
      </w:tr>
    </w:tbl>
    <w:p>
      <w:pPr>
        <w:pStyle w:val="Normal"/>
        <w:bidi w:val="0"/>
        <w:spacing w:before="0" w:after="0"/>
        <w:jc w:val="left"/>
        <w:rPr>
          <w:sz w:val="4"/>
          <w:szCs w:val="4"/>
        </w:rPr>
      </w:pPr>
      <w:r>
        <w:rPr>
          <w:sz w:val="4"/>
          <w:szCs w:val="4"/>
        </w:rPr>
      </w:r>
      <w:bookmarkStart w:id="111" w:name="z1cadcb11bf5847b3b6ebabae3fc5fc1b"/>
      <w:bookmarkStart w:id="112" w:name="z1cadcb11bf5847b3b6ebabae3fc5fc1b"/>
      <w:bookmarkEnd w:id="112"/>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w:t>
            </w:r>
          </w:p>
        </w:tc>
        <w:tc>
          <w:tcPr>
            <w:tcW w:w="9892"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 the extent provided in Treas. Reg. § 1.409A-2(b)(7)(ii) or any successor provision, the Company may delay settlement of Phantom Stock Units if it reasonably determines that such settlement would violate federal securities laws or any other applicable law; and</w:t>
            </w:r>
          </w:p>
        </w:tc>
      </w:tr>
    </w:tbl>
    <w:p>
      <w:pPr>
        <w:pStyle w:val="Normal"/>
        <w:bidi w:val="0"/>
        <w:spacing w:before="0" w:after="0"/>
        <w:jc w:val="left"/>
        <w:rPr>
          <w:sz w:val="4"/>
          <w:szCs w:val="4"/>
        </w:rPr>
      </w:pPr>
      <w:r>
        <w:rPr>
          <w:sz w:val="4"/>
          <w:szCs w:val="4"/>
        </w:rPr>
      </w:r>
      <w:bookmarkStart w:id="113" w:name="z097bf8894e504bb4a81dc715f5527b13"/>
      <w:bookmarkStart w:id="114" w:name="z097bf8894e504bb4a81dc715f5527b13"/>
      <w:bookmarkEnd w:id="114"/>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(iv)</w:t>
            </w:r>
          </w:p>
        </w:tc>
        <w:tc>
          <w:tcPr>
            <w:tcW w:w="9886"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the Company may unilaterally accelerate payment hereunder in connection with a </w:t>
            </w:r>
            <w:bookmarkStart w:id="115" w:name="z_Ref7447904"/>
            <w:bookmarkEnd w:id="115"/>
            <w:r>
              <w:rPr>
                <w:rFonts w:ascii="Times New Roman;Times;serif" w:hAnsi="Times New Roman;Times;serif"/>
                <w:sz w:val="24"/>
              </w:rPr>
              <w:t>termination of this arrangement conducted in a manner consistent with the requirements of Treas. Reg. § 1.409A-3(j)(4)(ix).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rFonts w:ascii="Times New Roman;Times;serif" w:hAnsi="Times New Roman;Times;serif" w:eastAsia="Times New Roman;Times;serif" w:cs="Times New Roman;Times;serif"/>
          <w:b w:val="false"/>
          <w:i w:val="false"/>
          <w:caps w:val="false"/>
          <w:smallCaps w:val="false"/>
          <w:color w:val="000000"/>
          <w:sz w:val="20"/>
          <w:szCs w:val="24"/>
        </w:rPr>
      </w:pPr>
      <w:r>
        <w:rPr>
          <w:rFonts w:eastAsia="Times New Roman;Times;serif" w:cs="Times New Roman;Times;serif" w:ascii="Times New Roman;Times;serif" w:hAnsi="Times New Roman;Times;serif"/>
          <w:b w:val="false"/>
          <w:i w:val="false"/>
          <w:caps w:val="false"/>
          <w:smallCaps w:val="false"/>
          <w:color w:val="000000"/>
          <w:sz w:val="20"/>
          <w:szCs w:val="24"/>
        </w:rPr>
        <w:t>1</w:t>
      </w:r>
    </w:p>
    <w:p>
      <w:pPr>
        <w:pStyle w:val="HorizontalLine"/>
        <w:pBdr>
          <w:bottom w:val="single" w:sz="12" w:space="0" w:color="808080"/>
        </w:pBdr>
        <w:bidi w:val="0"/>
        <w:spacing w:before="240" w:after="240"/>
        <w:jc w:val="left"/>
        <w:rPr/>
      </w:pPr>
      <w:r>
        <w:rPr/>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4. </w:t>
      </w:r>
      <w:r>
        <w:rPr>
          <w:rFonts w:ascii="Times New Roman;Times;serif" w:hAnsi="Times New Roman;Times;serif"/>
          <w:color w:val="000000"/>
          <w:sz w:val="24"/>
          <w:u w:val="single"/>
        </w:rPr>
        <w:t>Non-Transferability of Phantom Stock Units</w:t>
      </w:r>
      <w:r>
        <w:rPr>
          <w:rFonts w:ascii="Times New Roman;Times;serif" w:hAnsi="Times New Roman;Times;serif"/>
          <w:color w:val="000000"/>
          <w:sz w:val="24"/>
        </w:rPr>
        <w:t>.  The Phantom Stock Units are subject to restrictions on transfer as set forth in Section 20 of the Plan.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5. </w:t>
      </w:r>
      <w:bookmarkStart w:id="116" w:name="z_cp_text_1_250"/>
      <w:bookmarkEnd w:id="116"/>
      <w:r>
        <w:rPr>
          <w:rFonts w:ascii="Times New Roman;Times;serif" w:hAnsi="Times New Roman;Times;serif"/>
          <w:color w:val="000000"/>
          <w:sz w:val="24"/>
          <w:u w:val="single"/>
        </w:rPr>
        <w:t>Section 409A</w:t>
      </w:r>
      <w:r>
        <w:rPr>
          <w:rFonts w:ascii="Times New Roman;Times;serif" w:hAnsi="Times New Roman;Times;serif"/>
          <w:color w:val="000000"/>
          <w:sz w:val="24"/>
        </w:rPr>
        <w:t xml:space="preserve">.  </w:t>
      </w:r>
      <w:bookmarkStart w:id="117" w:name="z_Ref508621484"/>
      <w:bookmarkEnd w:id="117"/>
      <w:r>
        <w:rPr>
          <w:rFonts w:ascii="Times New Roman;Times;serif" w:hAnsi="Times New Roman;Times;serif"/>
          <w:color w:val="000000"/>
          <w:sz w:val="24"/>
        </w:rPr>
        <w:t>The Award is intended to comply with Section 409A of the Code and should be interpreted accordingly.  Nonetheless, the Company does not guarantee the tax treatment of the Award.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6. </w:t>
      </w:r>
      <w:r>
        <w:rPr>
          <w:rFonts w:ascii="Times New Roman;Times;serif" w:hAnsi="Times New Roman;Times;serif"/>
          <w:color w:val="000000"/>
          <w:sz w:val="24"/>
          <w:u w:val="single"/>
        </w:rPr>
        <w:t>No Continuation of Service</w:t>
      </w:r>
      <w:r>
        <w:rPr>
          <w:rFonts w:ascii="Times New Roman;Times;serif" w:hAnsi="Times New Roman;Times;serif"/>
          <w:color w:val="000000"/>
          <w:sz w:val="24"/>
        </w:rPr>
        <w:t>.  Neither the Plan nor this Agreement will confer upon the Participant any right to continue in the employment or service of the Company or any of its Affiliates, or limit in any respect the right of the Company or its Affiliates to discharge the Participant at any time, with or without Cause.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7. </w:t>
      </w:r>
      <w:r>
        <w:rPr>
          <w:rFonts w:ascii="Times New Roman;Times;serif" w:hAnsi="Times New Roman;Times;serif"/>
          <w:color w:val="000000"/>
          <w:sz w:val="24"/>
          <w:u w:val="single"/>
        </w:rPr>
        <w:t>The Plan</w:t>
      </w:r>
      <w:r>
        <w:rPr>
          <w:rFonts w:ascii="Times New Roman;Times;serif" w:hAnsi="Times New Roman;Times;serif"/>
          <w:color w:val="000000"/>
          <w:sz w:val="24"/>
        </w:rPr>
        <w:t>.  The Participant has received a copy of the Plan, has read the Plan and is familiar with its terms, and hereby accepts the Award subject to the terms and provisions of the Plan. Pursuant to the Plan, the Committee is authorized to interpret the Plan, and to prescribe administrative rules, guidelines and practices governing the Plan as it deems appropriate. The Participant hereby agrees to accept as binding, conclusive and final all decisions or interpretations of the Committee with respect to questions arising under the Plan, the Notice or this Agreement.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8. </w:t>
      </w:r>
      <w:bookmarkStart w:id="118" w:name="z_Hlk86405589"/>
      <w:bookmarkStart w:id="119" w:name="z_Ref124766486"/>
      <w:bookmarkEnd w:id="118"/>
      <w:bookmarkEnd w:id="119"/>
      <w:r>
        <w:rPr>
          <w:rFonts w:ascii="Times New Roman;Times;serif" w:hAnsi="Times New Roman;Times;serif"/>
          <w:color w:val="000000"/>
          <w:sz w:val="24"/>
          <w:u w:val="single"/>
        </w:rPr>
        <w:t>Clawback Provisions</w:t>
      </w:r>
      <w:r>
        <w:rPr>
          <w:rFonts w:ascii="Times New Roman;Times;serif" w:hAnsi="Times New Roman;Times;serif"/>
          <w:color w:val="000000"/>
          <w:sz w:val="24"/>
        </w:rPr>
        <w:t>. In consideration for the grant of the Award, the Participant agrees to be subject to (i) any applicable compensation, clawback, recoupment or similar policies of the Company or its Affiliates in effect from time to time, whether adopted before or after the Grant Date, and (ii) such other clawback rules as may be required by Applicable Law ((i) and (ii) together, the “</w:t>
      </w:r>
      <w:r>
        <w:rPr>
          <w:rFonts w:ascii="Times New Roman;Times;serif" w:hAnsi="Times New Roman;Times;serif"/>
          <w:color w:val="000000"/>
          <w:sz w:val="24"/>
          <w:u w:val="single"/>
        </w:rPr>
        <w:t>Clawback Provisions</w:t>
      </w:r>
      <w:r>
        <w:rPr>
          <w:rFonts w:ascii="Times New Roman;Times;serif" w:hAnsi="Times New Roman;Times;serif"/>
          <w:color w:val="000000"/>
          <w:sz w:val="24"/>
        </w:rPr>
        <w:t>”). The Participant understands that the Clawback Provisions are not limited to amounts payable in connection with the Award.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9. </w:t>
      </w:r>
      <w:r>
        <w:rPr>
          <w:rFonts w:ascii="Times New Roman;Times;serif" w:hAnsi="Times New Roman;Times;serif"/>
          <w:color w:val="000000"/>
          <w:sz w:val="24"/>
          <w:u w:val="single"/>
        </w:rPr>
        <w:t>Other Company Policies</w:t>
      </w:r>
      <w:r>
        <w:rPr>
          <w:rFonts w:ascii="Times New Roman;Times;serif" w:hAnsi="Times New Roman;Times;serif"/>
          <w:color w:val="000000"/>
          <w:sz w:val="24"/>
        </w:rPr>
        <w:t>.  The Participant agrees, in consideration for the grant of the Award, to be subject to any policies of the Company and its Affiliates regarding stock ownership, securities trading and hedging or pledging of securities that may be in effect from time to time.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10. </w:t>
      </w:r>
      <w:r>
        <w:rPr>
          <w:rFonts w:ascii="Times New Roman;Times;serif" w:hAnsi="Times New Roman;Times;serif"/>
          <w:color w:val="000000"/>
          <w:sz w:val="24"/>
          <w:u w:val="single"/>
        </w:rPr>
        <w:t>Entire Agreement</w:t>
      </w:r>
      <w:r>
        <w:rPr>
          <w:rFonts w:ascii="Times New Roman;Times;serif" w:hAnsi="Times New Roman;Times;serif"/>
          <w:color w:val="000000"/>
          <w:sz w:val="24"/>
        </w:rPr>
        <w:t>.  The Notice and this Agreement, together with the Plan, represent the entire agreement between the parties with respect to the subject matter hereof and supersede any prior agreement, written or otherwise, relating to the subject matter hereof.</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11. </w:t>
      </w:r>
      <w:r>
        <w:rPr>
          <w:rFonts w:ascii="Times New Roman;Times;serif" w:hAnsi="Times New Roman;Times;serif"/>
          <w:color w:val="000000"/>
          <w:sz w:val="24"/>
          <w:u w:val="single"/>
        </w:rPr>
        <w:t>Acknowledgment of Non-Reliance</w:t>
      </w:r>
      <w:r>
        <w:rPr>
          <w:rFonts w:ascii="Times New Roman;Times;serif" w:hAnsi="Times New Roman;Times;serif"/>
          <w:color w:val="000000"/>
          <w:sz w:val="24"/>
        </w:rPr>
        <w:t>.  Except for those representations and warranties expressly set forth in this Agreement, the Participant hereby disclaims reliance on any and all representations, warranties, or statements of any nature or kind, express or implied, including, but not limited to, the accuracy or completeness of such representations, warranties, or statements.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12. </w:t>
      </w:r>
      <w:r>
        <w:rPr>
          <w:rFonts w:ascii="Times New Roman;Times;serif" w:hAnsi="Times New Roman;Times;serif"/>
          <w:color w:val="000000"/>
          <w:sz w:val="24"/>
          <w:u w:val="single"/>
        </w:rPr>
        <w:t>Amendment</w:t>
      </w:r>
      <w:r>
        <w:rPr>
          <w:rFonts w:ascii="Times New Roman;Times;serif" w:hAnsi="Times New Roman;Times;serif"/>
          <w:color w:val="000000"/>
          <w:sz w:val="24"/>
        </w:rPr>
        <w:t>.  This Agreement may only be amended by a writing signed by each of the parties hereto; provided that the Company may amend this Agreement without the Participant’s consent, if the amendment does not materially impair the Participant’s rights hereunder.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13. </w:t>
      </w:r>
      <w:bookmarkStart w:id="120" w:name="z_Hlk124861016"/>
      <w:bookmarkEnd w:id="120"/>
      <w:r>
        <w:rPr>
          <w:rFonts w:ascii="Times New Roman;Times;serif" w:hAnsi="Times New Roman;Times;serif"/>
          <w:color w:val="000000"/>
          <w:sz w:val="24"/>
          <w:u w:val="single"/>
        </w:rPr>
        <w:t>Choice of Law</w:t>
      </w:r>
      <w:r>
        <w:rPr>
          <w:rFonts w:ascii="Times New Roman;Times;serif" w:hAnsi="Times New Roman;Times;serif"/>
          <w:color w:val="000000"/>
          <w:sz w:val="24"/>
        </w:rPr>
        <w:t>.  This Agreement, the interpretation and enforcement thereof and all claims arising out of or relating to this Agreement or the transactions contemplated by this Agreement, whether sounding in tort, contract or otherwise, shall be governed solely and exclusively by, and construed in accordance with, the laws and judicial decisions of the State of Delaware without giving effect to any choice or conflict of law provision or rule that would cause the application of the laws and judicial decisions of any jurisdiction other than the State of Delaware.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14. </w:t>
      </w:r>
      <w:r>
        <w:rPr>
          <w:rFonts w:ascii="Times New Roman;Times;serif" w:hAnsi="Times New Roman;Times;serif"/>
          <w:color w:val="000000"/>
          <w:sz w:val="24"/>
          <w:u w:val="single"/>
        </w:rPr>
        <w:t>Forum Selection</w:t>
      </w:r>
      <w:r>
        <w:rPr>
          <w:rFonts w:ascii="Times New Roman;Times;serif" w:hAnsi="Times New Roman;Times;serif"/>
          <w:color w:val="000000"/>
          <w:sz w:val="24"/>
        </w:rPr>
        <w:t>.  All actions and proceedings arising out of or relating to this Agreement, or the transactions contemplated by this Agreement, shall be heard and determined solely and exclusively in the Delaware Court of Chancery and any state appellate court therefrom within the State of Delaware (unless the Delaware Court of Chancery shall decline to accept jurisdiction over a particular matter, in which case, any such actions or proceedings shall be heard and determined in any state or federal court within the State of Delaware).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15. </w:t>
      </w:r>
      <w:bookmarkStart w:id="121" w:name="z_Ref103769869"/>
      <w:bookmarkEnd w:id="121"/>
      <w:r>
        <w:rPr>
          <w:rFonts w:ascii="Times New Roman;Times;serif" w:hAnsi="Times New Roman;Times;serif"/>
          <w:color w:val="000000"/>
          <w:sz w:val="24"/>
          <w:u w:val="single"/>
        </w:rPr>
        <w:t>Waiver of Jury Trial</w:t>
      </w:r>
      <w:r>
        <w:rPr>
          <w:rFonts w:ascii="Times New Roman;Times;serif" w:hAnsi="Times New Roman;Times;serif"/>
          <w:color w:val="000000"/>
          <w:sz w:val="24"/>
        </w:rPr>
        <w:t>.  Each party hereby waives its right to a jury trial of any and all claims or cause of actions based upon or arising out of this Agreement or the transactions contemplated by this Agreement.  Each party hereby acknowledges and agrees that the waiver contained in this Section 15 is made knowingly and voluntarily.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16. </w:t>
      </w:r>
      <w:r>
        <w:rPr>
          <w:rFonts w:ascii="Times New Roman;Times;serif" w:hAnsi="Times New Roman;Times;serif"/>
          <w:color w:val="000000"/>
          <w:sz w:val="24"/>
          <w:u w:val="single"/>
        </w:rPr>
        <w:t>Headings</w:t>
      </w:r>
      <w:r>
        <w:rPr>
          <w:rFonts w:ascii="Times New Roman;Times;serif" w:hAnsi="Times New Roman;Times;serif"/>
          <w:color w:val="000000"/>
          <w:sz w:val="24"/>
        </w:rPr>
        <w:t>.  The headings in this Agreement are for convenience only. They form no part of the Agreement and will not affect its interpretation.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17. </w:t>
      </w:r>
      <w:r>
        <w:rPr>
          <w:rFonts w:ascii="Times New Roman;Times;serif" w:hAnsi="Times New Roman;Times;serif"/>
          <w:color w:val="000000"/>
          <w:sz w:val="24"/>
          <w:u w:val="single"/>
        </w:rPr>
        <w:t>Tax Withholding</w:t>
      </w:r>
      <w:r>
        <w:rPr>
          <w:rFonts w:ascii="Times New Roman;Times;serif" w:hAnsi="Times New Roman;Times;serif"/>
          <w:color w:val="000000"/>
          <w:sz w:val="24"/>
        </w:rPr>
        <w:t>.  The Participant acknowledges that the issuance of Shares hereunder will give rise to taxable income which may be subject to required withholding. In accordance with Section 21 of the Plan, the obligations of the Company hereunder are conditioned on the Participant timely paying, or otherwise making arrangements satisfactory to the Company regarding the timely satisfaction of, any such required withholding.</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18. </w:t>
      </w:r>
      <w:r>
        <w:rPr>
          <w:rFonts w:ascii="Times New Roman;Times;serif" w:hAnsi="Times New Roman;Times;serif"/>
          <w:color w:val="000000"/>
          <w:sz w:val="24"/>
          <w:u w:val="single"/>
        </w:rPr>
        <w:t>Electronic Delivery of Documents</w:t>
      </w:r>
      <w:r>
        <w:rPr>
          <w:rFonts w:ascii="Times New Roman;Times;serif" w:hAnsi="Times New Roman;Times;serif"/>
          <w:color w:val="000000"/>
          <w:sz w:val="24"/>
        </w:rPr>
        <w:t>.  The Participant authorizes the Company and its Affiliates to deliver electronically any prospectuses or other documentation related to the Phantom Stock Units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19. </w:t>
      </w:r>
      <w:r>
        <w:rPr>
          <w:rFonts w:ascii="Times New Roman;Times;serif" w:hAnsi="Times New Roman;Times;serif"/>
          <w:color w:val="000000"/>
          <w:sz w:val="24"/>
          <w:u w:val="single"/>
        </w:rPr>
        <w:t>Further Assurances</w:t>
      </w:r>
      <w:r>
        <w:rPr>
          <w:rFonts w:ascii="Times New Roman;Times;serif" w:hAnsi="Times New Roman;Times;serif"/>
          <w:color w:val="000000"/>
          <w:sz w:val="24"/>
        </w:rPr>
        <w:t>.  The Participant agrees, upon demand of the Company, to do all acts and execute, deliver and perform all additional documents, instruments and agreements which may be reasonably required by the Company to implement the provisions and purposes of this Agreement and the Plan.</w:t>
      </w:r>
    </w:p>
    <w:p>
      <w:pPr>
        <w:pStyle w:val="TextBody"/>
        <w:bidi w:val="0"/>
        <w:spacing w:before="0" w:after="0"/>
        <w:jc w:val="left"/>
        <w:rPr/>
      </w:pPr>
      <w:r>
        <w:rPr/>
      </w:r>
    </w:p>
    <w:p>
      <w:pPr>
        <w:pStyle w:val="TextBody"/>
        <w:bidi w:val="0"/>
        <w:spacing w:before="0" w:after="0"/>
        <w:jc w:val="left"/>
        <w:rPr/>
      </w:pPr>
      <w:r>
        <w:rPr/>
      </w:r>
    </w:p>
    <w:p>
      <w:pPr>
        <w:pStyle w:val="TextBody"/>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TextBody"/>
        <w:bidi w:val="0"/>
        <w:spacing w:before="0" w:after="0"/>
        <w:jc w:val="right"/>
        <w:rPr>
          <w:rFonts w:ascii="Times New Roman;Times;serif" w:hAnsi="Times New Roman;Times;serif"/>
          <w:b/>
          <w:color w:val="000000"/>
          <w:sz w:val="24"/>
        </w:rPr>
      </w:pPr>
      <w:bookmarkStart w:id="122" w:name="exhibit10-67.htm"/>
      <w:bookmarkStart w:id="123" w:name="ksexhibit1067"/>
      <w:bookmarkEnd w:id="122"/>
      <w:bookmarkEnd w:id="123"/>
      <w:r>
        <w:rPr>
          <w:rFonts w:ascii="Times New Roman;Times;serif" w:hAnsi="Times New Roman;Times;serif"/>
          <w:b/>
          <w:color w:val="000000"/>
          <w:sz w:val="24"/>
        </w:rPr>
        <w:t>Exhibit 10.67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rFonts w:ascii="Times New Roman;Times;serif" w:hAnsi="Times New Roman;Times;serif"/>
          <w:b/>
          <w:color w:val="000000"/>
          <w:sz w:val="24"/>
        </w:rPr>
      </w:pPr>
      <w:bookmarkStart w:id="124" w:name="OLE_LINK24"/>
      <w:bookmarkEnd w:id="124"/>
      <w:r>
        <w:rPr>
          <w:rFonts w:ascii="Times New Roman;Times;serif" w:hAnsi="Times New Roman;Times;serif"/>
          <w:b/>
          <w:color w:val="000000"/>
          <w:sz w:val="24"/>
        </w:rPr>
        <w:t>VISHAY INTERTECHNOLOGY, INC. 2023 LONG-TERM INCENTIVE PLAN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NOTICE OF GRANT OF TIME-BASED RESTRICTED STOCK UNITS AND</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AWARD AGREEMENT</w:t>
      </w:r>
    </w:p>
    <w:p>
      <w:pPr>
        <w:pStyle w:val="TextBody"/>
        <w:bidi w:val="0"/>
        <w:spacing w:before="0" w:after="240"/>
        <w:ind w:left="0" w:right="0" w:firstLine="720"/>
        <w:jc w:val="both"/>
        <w:rPr>
          <w:rFonts w:ascii="Times New Roman;Times;serif" w:hAnsi="Times New Roman;Times;serif"/>
          <w:color w:val="000000"/>
          <w:sz w:val="24"/>
        </w:rPr>
      </w:pPr>
      <w:bookmarkStart w:id="125" w:name="T11"/>
      <w:bookmarkEnd w:id="125"/>
      <w:r>
        <w:rPr>
          <w:rFonts w:ascii="Times New Roman;Times;serif" w:hAnsi="Times New Roman;Times;serif"/>
          <w:color w:val="000000"/>
          <w:sz w:val="24"/>
        </w:rPr>
        <w:t>Vishay Intertechnology, Inc., a Delaware corporation, pursuant to its 2023 Long-Term Incentive Plan, hereby grants to the individual listed below (the “</w:t>
      </w:r>
      <w:r>
        <w:rPr>
          <w:rFonts w:ascii="Times New Roman;Times;serif" w:hAnsi="Times New Roman;Times;serif"/>
          <w:color w:val="000000"/>
          <w:sz w:val="24"/>
          <w:u w:val="single"/>
        </w:rPr>
        <w:t>Participant</w:t>
      </w:r>
      <w:r>
        <w:rPr>
          <w:rFonts w:ascii="Times New Roman;Times;serif" w:hAnsi="Times New Roman;Times;serif"/>
          <w:color w:val="000000"/>
          <w:sz w:val="24"/>
        </w:rPr>
        <w:t xml:space="preserve">”) </w:t>
      </w:r>
      <w:bookmarkStart w:id="126" w:name="T31"/>
      <w:bookmarkEnd w:id="126"/>
      <w:r>
        <w:rPr>
          <w:rFonts w:ascii="Times New Roman;Times;serif" w:hAnsi="Times New Roman;Times;serif"/>
          <w:color w:val="000000"/>
          <w:sz w:val="24"/>
        </w:rPr>
        <w:t>this award of Restricted Stock Units. The</w:t>
      </w:r>
      <w:bookmarkStart w:id="127" w:name="T41"/>
      <w:bookmarkEnd w:id="127"/>
      <w:r>
        <w:rPr>
          <w:rFonts w:ascii="Times New Roman;Times;serif" w:hAnsi="Times New Roman;Times;serif"/>
          <w:color w:val="000000"/>
          <w:sz w:val="24"/>
        </w:rPr>
        <w:t xml:space="preserve"> Restricted Stock Units described in this </w:t>
      </w:r>
      <w:bookmarkStart w:id="128" w:name="T51"/>
      <w:bookmarkEnd w:id="128"/>
      <w:r>
        <w:rPr>
          <w:rFonts w:ascii="Times New Roman;Times;serif" w:hAnsi="Times New Roman;Times;serif"/>
          <w:color w:val="000000"/>
          <w:sz w:val="24"/>
        </w:rPr>
        <w:t>Notice of Grant of Restricted Stock Units (the “</w:t>
      </w:r>
      <w:r>
        <w:rPr>
          <w:rFonts w:ascii="Times New Roman;Times;serif" w:hAnsi="Times New Roman;Times;serif"/>
          <w:color w:val="000000"/>
          <w:sz w:val="24"/>
          <w:u w:val="single"/>
        </w:rPr>
        <w:t>Notice</w:t>
      </w:r>
      <w:r>
        <w:rPr>
          <w:rFonts w:ascii="Times New Roman;Times;serif" w:hAnsi="Times New Roman;Times;serif"/>
          <w:color w:val="000000"/>
          <w:sz w:val="24"/>
        </w:rPr>
        <w:t xml:space="preserve">”) are subject to the terms and conditions set forth in the </w:t>
      </w:r>
      <w:bookmarkStart w:id="129" w:name="T61"/>
      <w:bookmarkEnd w:id="129"/>
      <w:r>
        <w:rPr>
          <w:rFonts w:ascii="Times New Roman;Times;serif" w:hAnsi="Times New Roman;Times;serif"/>
          <w:color w:val="000000"/>
          <w:sz w:val="24"/>
        </w:rPr>
        <w:t>Award Agreement attached hereto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(the “</w:t>
      </w:r>
      <w:r>
        <w:rPr>
          <w:rFonts w:ascii="Times New Roman;Times;serif" w:hAnsi="Times New Roman;Times;serif"/>
          <w:color w:val="000000"/>
          <w:sz w:val="24"/>
          <w:u w:val="single"/>
        </w:rPr>
        <w:t>Agreement</w:t>
      </w:r>
      <w:r>
        <w:rPr>
          <w:rFonts w:ascii="Times New Roman;Times;serif" w:hAnsi="Times New Roman;Times;serif"/>
          <w:color w:val="000000"/>
          <w:sz w:val="24"/>
        </w:rPr>
        <w:t>”) and the Plan, each of which is incorporated herein by reference. Unless otherwise defined herein, capitalized terms used in this Notice and the Agreement will have the meanings defined in the Plan.</w:t>
      </w:r>
    </w:p>
    <w:p>
      <w:pPr>
        <w:pStyle w:val="Normal"/>
        <w:bidi w:val="0"/>
        <w:spacing w:before="0" w:after="0"/>
        <w:jc w:val="left"/>
        <w:rPr>
          <w:sz w:val="4"/>
          <w:szCs w:val="4"/>
        </w:rPr>
      </w:pPr>
      <w:r>
        <w:rPr>
          <w:sz w:val="4"/>
          <w:szCs w:val="4"/>
        </w:rPr>
      </w:r>
      <w:bookmarkStart w:id="130" w:name="zfafb5375605440e3b48bd00f7a2c8f4c"/>
      <w:bookmarkStart w:id="131" w:name="zfafb5375605440e3b48bd00f7a2c8f4c"/>
      <w:bookmarkEnd w:id="131"/>
    </w:p>
    <w:tbl>
      <w:tblPr>
        <w:tblW w:w="4220" w:type="dxa"/>
        <w:jc w:val="left"/>
        <w:tblInd w:w="-15" w:type="dxa"/>
        <w:tblLayout w:type="fixed"/>
        <w:tblCellMar>
          <w:top w:w="28" w:type="dxa"/>
          <w:left w:w="28" w:type="dxa"/>
          <w:bottom w:w="28" w:type="dxa"/>
          <w:right w:w="28" w:type="dxa"/>
        </w:tblCellMar>
      </w:tblPr>
      <w:tblGrid>
        <w:gridCol w:w="4145"/>
        <w:gridCol w:w="75"/>
      </w:tblGrid>
      <w:tr>
        <w:trPr/>
        <w:tc>
          <w:tcPr>
            <w:tcW w:w="4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Participant:</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4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Grant Date:</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4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Total Number of Restricted Stock Units:</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r>
        <w:trPr/>
        <w:tc>
          <w:tcPr>
            <w:tcW w:w="4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sz w:val="24"/>
              </w:rPr>
            </w:pPr>
            <w:r>
              <w:rPr>
                <w:rFonts w:ascii="Times New Roman;Times;serif" w:hAnsi="Times New Roman;Times;serif"/>
                <w:b/>
                <w:sz w:val="24"/>
              </w:rPr>
              <w:t>Scheduled Vesting Date:</w:t>
            </w:r>
          </w:p>
        </w:tc>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r>
    </w:tbl>
    <w:p>
      <w:pPr>
        <w:pStyle w:val="TextBody"/>
        <w:bidi w:val="0"/>
        <w:spacing w:before="240" w:after="240"/>
        <w:jc w:val="left"/>
        <w:rPr/>
      </w:pPr>
      <w:r>
        <w:rPr/>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4"/>
        </w:rPr>
        <w:t>By signing below, the Participant agrees to be bound by the terms and conditions of the Plan, the Agreement and this Notice. This document may be executed, including by electronic means, in multiple counterparts, each of which will be deemed an original, and all of which together will be deemed a single instrument.</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rFonts w:ascii="Times New Roman;Times;serif" w:hAnsi="Times New Roman;Times;serif"/>
          <w:b/>
          <w:color w:val="000000"/>
          <w:sz w:val="24"/>
        </w:rPr>
      </w:pPr>
      <w:r>
        <w:rPr>
          <w:rFonts w:ascii="Times New Roman;Times;serif" w:hAnsi="Times New Roman;Times;serif"/>
          <w:b/>
          <w:color w:val="000000"/>
          <w:sz w:val="24"/>
        </w:rPr>
        <w:t>VISHAY INTERTECHNOLOGY, INC.</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Sign: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Name: 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Title: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Date: _______________________________</w:t>
      </w:r>
    </w:p>
    <w:p>
      <w:pPr>
        <w:pStyle w:val="TextBody"/>
        <w:bidi w:val="0"/>
        <w:spacing w:before="120" w:after="120"/>
        <w:jc w:val="left"/>
        <w:rPr>
          <w:rFonts w:ascii="Times New Roman;Times;serif" w:hAnsi="Times New Roman;Times;serif"/>
          <w:b/>
          <w:color w:val="000000"/>
          <w:sz w:val="24"/>
        </w:rPr>
      </w:pPr>
      <w:r>
        <w:rPr>
          <w:rFonts w:ascii="Times New Roman;Times;serif" w:hAnsi="Times New Roman;Times;serif"/>
          <w:b/>
          <w:color w:val="000000"/>
          <w:sz w:val="24"/>
        </w:rPr>
        <w:t>PARTICIPANT</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Sign: _______________________________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Name: ______________________________</w:t>
      </w:r>
    </w:p>
    <w:p>
      <w:pPr>
        <w:pStyle w:val="TextBody"/>
        <w:bidi w:val="0"/>
        <w:spacing w:before="120" w:after="283"/>
        <w:jc w:val="left"/>
        <w:rPr>
          <w:rFonts w:ascii="Times New Roman;Times;serif" w:hAnsi="Times New Roman;Times;serif"/>
          <w:color w:val="000000"/>
          <w:sz w:val="24"/>
        </w:rPr>
      </w:pPr>
      <w:r>
        <w:rPr>
          <w:rFonts w:ascii="Times New Roman;Times;serif" w:hAnsi="Times New Roman;Times;serif"/>
          <w:color w:val="000000"/>
          <w:sz w:val="24"/>
        </w:rPr>
        <w:t>Date: _______________________________</w:t>
      </w:r>
    </w:p>
    <w:p>
      <w:pPr>
        <w:pStyle w:val="TextBody"/>
        <w:bidi w:val="0"/>
        <w:spacing w:before="0" w:after="0"/>
        <w:jc w:val="left"/>
        <w:rPr/>
      </w:pPr>
      <w:r>
        <w:rPr/>
      </w:r>
    </w:p>
    <w:p>
      <w:pPr>
        <w:pStyle w:val="TextBody"/>
        <w:bidi w:val="0"/>
        <w:spacing w:before="240" w:after="240"/>
        <w:jc w:val="left"/>
        <w:rPr/>
      </w:pPr>
      <w:r>
        <w:rPr/>
      </w:r>
    </w:p>
    <w:p>
      <w:pPr>
        <w:pStyle w:val="HorizontalLine"/>
        <w:pBdr>
          <w:bottom w:val="single" w:sz="12" w:space="0" w:color="808080"/>
        </w:pBdr>
        <w:bidi w:val="0"/>
        <w:spacing w:before="240" w:after="24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EXHIBIT A</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 xml:space="preserve">TO </w:t>
      </w:r>
      <w:bookmarkStart w:id="132" w:name="z_Hlk863525881"/>
      <w:bookmarkEnd w:id="132"/>
      <w:r>
        <w:rPr>
          <w:rFonts w:ascii="Times New Roman;Times;serif" w:hAnsi="Times New Roman;Times;serif"/>
          <w:b/>
          <w:color w:val="000000"/>
          <w:sz w:val="24"/>
        </w:rPr>
        <w:t>NOTICE OF GRANT OF TIME-BASED RESTRICTED STOCK UNITS</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AWARD AGREEMENT</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UNDER THE</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VISHAY INTERTECHNOLOGY, INC. 2023 LONG-TERM INCENTIVE PLAN</w:t>
      </w:r>
    </w:p>
    <w:p>
      <w:pPr>
        <w:pStyle w:val="TextBody"/>
        <w:bidi w:val="0"/>
        <w:spacing w:before="24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1. </w:t>
      </w:r>
      <w:r>
        <w:rPr>
          <w:rFonts w:ascii="Times New Roman;Times;serif" w:hAnsi="Times New Roman;Times;serif"/>
          <w:color w:val="000000"/>
          <w:sz w:val="24"/>
          <w:u w:val="single"/>
        </w:rPr>
        <w:t>Award of Restricted Stock Units</w:t>
      </w:r>
      <w:r>
        <w:rPr>
          <w:rFonts w:ascii="Times New Roman;Times;serif" w:hAnsi="Times New Roman;Times;serif"/>
          <w:color w:val="000000"/>
          <w:sz w:val="24"/>
        </w:rPr>
        <w:t>.  Effective as of the Grant Date set forth in the Notice, the Company has granted to the Participant the number of Restricted Stock Units set forth in the Notice (this “</w:t>
      </w:r>
      <w:r>
        <w:rPr>
          <w:rFonts w:ascii="Times New Roman;Times;serif" w:hAnsi="Times New Roman;Times;serif"/>
          <w:color w:val="000000"/>
          <w:sz w:val="24"/>
          <w:u w:val="single"/>
        </w:rPr>
        <w:t>Award</w:t>
      </w:r>
      <w:r>
        <w:rPr>
          <w:rFonts w:ascii="Times New Roman;Times;serif" w:hAnsi="Times New Roman;Times;serif"/>
          <w:color w:val="000000"/>
          <w:sz w:val="24"/>
        </w:rPr>
        <w:t>”), subject to the restrictions and on the terms and conditions set forth in the Notice, the Plan and this Agreement. Each Restricted Stock Unit represents the right to receive one Share at the times and subject to the conditions set forth herein.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2. </w:t>
      </w:r>
      <w:r>
        <w:rPr>
          <w:rFonts w:ascii="Times New Roman;Times;serif" w:hAnsi="Times New Roman;Times;serif"/>
          <w:color w:val="000000"/>
          <w:sz w:val="24"/>
          <w:u w:val="single"/>
        </w:rPr>
        <w:t>Vesting of Restricted Stock Units</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(a) </w:t>
      </w:r>
      <w:bookmarkStart w:id="133" w:name="z_cp_text_1_1071"/>
      <w:bookmarkEnd w:id="133"/>
      <w:r>
        <w:rPr>
          <w:rFonts w:ascii="Times New Roman;Times;serif" w:hAnsi="Times New Roman;Times;serif"/>
          <w:color w:val="000000"/>
          <w:sz w:val="24"/>
        </w:rPr>
        <w:t>The Restricted Stock Units subject hereto will become vested in full on the earlier of the Scheduled Vesting Date identified in the Notice or a Change in Control, provided in either case that the Participant remains in continuous service with the Company through that time. Solely for purposes of this Agreement, service with the Company will be deemed to include service with an Affiliate of the Company (for only so long as such entity remains an Affiliate of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(b) </w:t>
      </w:r>
      <w:bookmarkStart w:id="134" w:name="z_Ref68768634"/>
      <w:bookmarkStart w:id="135" w:name="z_cp_text_1_921"/>
      <w:bookmarkStart w:id="136" w:name="z_cp_text_2_911"/>
      <w:bookmarkEnd w:id="134"/>
      <w:bookmarkEnd w:id="135"/>
      <w:bookmarkEnd w:id="136"/>
      <w:r>
        <w:rPr>
          <w:rFonts w:ascii="Times New Roman;Times;serif" w:hAnsi="Times New Roman;Times;serif"/>
          <w:color w:val="000000"/>
          <w:sz w:val="24"/>
        </w:rPr>
        <w:t xml:space="preserve">If the Participant’s membership on the Board ceases prior to the Scheduled Vesting Date and such cessation is a “separation from service” (within the meaning of Treas. Reg. § 1.409A-1(h) or any successor provision) and not </w:t>
      </w:r>
      <w:bookmarkStart w:id="137" w:name="z_Hlk153817152"/>
      <w:bookmarkEnd w:id="137"/>
      <w:r>
        <w:rPr>
          <w:rFonts w:ascii="Times New Roman;Times;serif" w:hAnsi="Times New Roman;Times;serif"/>
          <w:color w:val="000000"/>
          <w:sz w:val="24"/>
        </w:rPr>
        <w:t>a removal for Cause, then a pro-rata number of the Restricted Stock Units subject hereto will vest upon such cessation (with such pro-ration being determined based on the portion of the period between the Grant Date and the Scheduled Vesting Date actually served by the Participant).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(c) Upon the cessation of the Participant’s service with the Company for any reason, any then unvested portion of the Restricted Stock Units subject hereto (determined after giving effect to any acceleration of vesting occurring upon such cessation, whether occurring hereunder, in the discretion of the Board or otherwise) will be forfeited automatically.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3. </w:t>
      </w:r>
      <w:r>
        <w:rPr>
          <w:rFonts w:ascii="Times New Roman;Times;serif" w:hAnsi="Times New Roman;Times;serif"/>
          <w:color w:val="000000"/>
          <w:sz w:val="24"/>
          <w:u w:val="single"/>
        </w:rPr>
        <w:t>Settlement of Restricted Stock Units</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(a) </w:t>
      </w:r>
      <w:bookmarkStart w:id="138" w:name="C191"/>
      <w:bookmarkEnd w:id="138"/>
      <w:r>
        <w:rPr>
          <w:rFonts w:ascii="Times New Roman;Times;serif" w:hAnsi="Times New Roman;Times;serif"/>
          <w:color w:val="000000"/>
          <w:sz w:val="24"/>
        </w:rPr>
        <w:t>One Share will be delivered with respect to each vested Restricted Stock Unit subject hereto within 30 days following the earlier of the applicable Scheduled Vesting Date or the Participant’s separation from service (within the meaning of Treas. Reg. § 1.409A-1(h) or any successor regulation), subject to the requirements of the Plan and this Agreement. For avoidance of doubt, vesting in connection with a Change in Control (as described in Section 2(a) hereof) will not itself alter the time that Shares are issued hereunder.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(b) Restricted Stock Units constitute an unfunded and unsecured obligation of the Company. The Participant shall not have any rights of a stockholder of the Company with respect to Shares underlying Restricted Stock Units unless and until those Restricted Stock Units become vested and are settled by the issuance of Shares.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(c) Notwithstanding any other provision of this Agreement to the contrary:</w:t>
      </w:r>
    </w:p>
    <w:p>
      <w:pPr>
        <w:pStyle w:val="Normal"/>
        <w:bidi w:val="0"/>
        <w:spacing w:before="0" w:after="0"/>
        <w:jc w:val="left"/>
        <w:rPr>
          <w:sz w:val="4"/>
          <w:szCs w:val="4"/>
        </w:rPr>
      </w:pPr>
      <w:r>
        <w:rPr>
          <w:sz w:val="4"/>
          <w:szCs w:val="4"/>
        </w:rPr>
      </w:r>
      <w:bookmarkStart w:id="139" w:name="z428242b8f9174435b92bdd550cd24cfc"/>
      <w:bookmarkStart w:id="140" w:name="z428242b8f9174435b92bdd550cd24cfc"/>
      <w:bookmarkEnd w:id="140"/>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w:t>
            </w:r>
          </w:p>
        </w:tc>
        <w:tc>
          <w:tcPr>
            <w:tcW w:w="10028"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no Shares will be delivered in connection with the Award, unless and until the Participant has complied with all applicable provisions of the Hart-Scott-Rodino Antitrust Improvements Act of 1976, as amended (the “</w:t>
            </w:r>
            <w:r>
              <w:rPr>
                <w:rFonts w:ascii="Times New Roman;Times;serif" w:hAnsi="Times New Roman;Times;serif"/>
                <w:sz w:val="24"/>
                <w:u w:val="single"/>
              </w:rPr>
              <w:t>HSR Act</w:t>
            </w:r>
            <w:r>
              <w:rPr>
                <w:rFonts w:ascii="Times New Roman;Times;serif" w:hAnsi="Times New Roman;Times;serif"/>
                <w:sz w:val="24"/>
              </w:rPr>
              <w:t xml:space="preserve">”). If the delivery of Shares in connection with the Award is delayed pursuant to the preceding sentence, the delivery shall occur on the first day that the Participant has complied with all applicable provisions of the HSR Act; </w:t>
            </w:r>
            <w:r>
              <w:rPr>
                <w:rFonts w:ascii="Times New Roman;Times;serif" w:hAnsi="Times New Roman;Times;serif"/>
                <w:i/>
                <w:sz w:val="24"/>
              </w:rPr>
              <w:t>provided</w:t>
            </w:r>
            <w:r>
              <w:rPr>
                <w:rFonts w:ascii="Times New Roman;Times;serif" w:hAnsi="Times New Roman;Times;serif"/>
                <w:sz w:val="24"/>
              </w:rPr>
              <w:t>, however, that if the Participant has not complied with all applicable provisions of the HSR Act by the last day of the calendar year in which such Shares are otherwise deliverable, such Shares and all rights of the Participant under this Agreement will be immediately and automatically forfeited;</w:t>
            </w:r>
          </w:p>
        </w:tc>
      </w:tr>
    </w:tbl>
    <w:p>
      <w:pPr>
        <w:pStyle w:val="Normal"/>
        <w:bidi w:val="0"/>
        <w:spacing w:before="0" w:after="0"/>
        <w:jc w:val="left"/>
        <w:rPr>
          <w:sz w:val="4"/>
          <w:szCs w:val="4"/>
        </w:rPr>
      </w:pPr>
      <w:r>
        <w:rPr>
          <w:sz w:val="4"/>
          <w:szCs w:val="4"/>
        </w:rPr>
      </w:r>
      <w:bookmarkStart w:id="141" w:name="zb20e1d6b4e784688b64df11c8055f455"/>
      <w:bookmarkStart w:id="142" w:name="zb20e1d6b4e784688b64df11c8055f455"/>
      <w:bookmarkEnd w:id="142"/>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w:t>
            </w:r>
          </w:p>
        </w:tc>
        <w:tc>
          <w:tcPr>
            <w:tcW w:w="9962"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 the extent compliance with the requirements of Treas. Reg. §1.409A-3(i)(2) (or any successor provision) is necessary to avoid the application of an additional tax under Section 409A of the Code, any issuance of Shares hereunder that would otherwise be made upon the Participant’s separation from service will be deferred and delivered to the Participant immediately after the six-month period following that separation from service;</w:t>
            </w:r>
          </w:p>
        </w:tc>
      </w:tr>
    </w:tbl>
    <w:p>
      <w:pPr>
        <w:pStyle w:val="Normal"/>
        <w:bidi w:val="0"/>
        <w:spacing w:before="0" w:after="0"/>
        <w:jc w:val="left"/>
        <w:rPr>
          <w:sz w:val="4"/>
          <w:szCs w:val="4"/>
        </w:rPr>
      </w:pPr>
      <w:r>
        <w:rPr>
          <w:sz w:val="4"/>
          <w:szCs w:val="4"/>
        </w:rPr>
      </w:r>
      <w:bookmarkStart w:id="143" w:name="zeae29a5cd9e74d86a6663752c58c7fd5"/>
      <w:bookmarkStart w:id="144" w:name="zeae29a5cd9e74d86a6663752c58c7fd5"/>
      <w:bookmarkEnd w:id="144"/>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w:t>
            </w:r>
          </w:p>
        </w:tc>
        <w:tc>
          <w:tcPr>
            <w:tcW w:w="9895"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 the extent provided in Prop. Treas. Reg. § 1.409A-1(b)(4)(ii), Treas. Reg. § 1.409A-2(b)(7)(ii) or any successor provision, the Company may delay settlement of Restricted Stock Units if it reasonably determines that such settlement would violate federal securities laws or any other applicable law; and</w:t>
            </w:r>
          </w:p>
        </w:tc>
      </w:tr>
    </w:tbl>
    <w:p>
      <w:pPr>
        <w:pStyle w:val="Normal"/>
        <w:bidi w:val="0"/>
        <w:spacing w:before="0" w:after="0"/>
        <w:jc w:val="left"/>
        <w:rPr>
          <w:sz w:val="4"/>
          <w:szCs w:val="4"/>
        </w:rPr>
      </w:pPr>
      <w:r>
        <w:rPr>
          <w:sz w:val="4"/>
          <w:szCs w:val="4"/>
        </w:rPr>
      </w:r>
      <w:bookmarkStart w:id="145" w:name="z32b75f155a8746e79569b038d970a862"/>
      <w:bookmarkStart w:id="146" w:name="z32b75f155a8746e79569b038d970a862"/>
      <w:bookmarkEnd w:id="146"/>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(iv)</w:t>
            </w:r>
          </w:p>
        </w:tc>
        <w:tc>
          <w:tcPr>
            <w:tcW w:w="9886" w:type="dxa"/>
            <w:tcBorders/>
            <w:vAlign w:val="center"/>
          </w:tcPr>
          <w:p>
            <w:pPr>
              <w:pStyle w:val="TableContents"/>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the Company may unilaterally accelerate payment hereunder in connection with a </w:t>
            </w:r>
            <w:bookmarkStart w:id="147" w:name="z_Ref74479041"/>
            <w:bookmarkEnd w:id="147"/>
            <w:r>
              <w:rPr>
                <w:rFonts w:ascii="Times New Roman;Times;serif" w:hAnsi="Times New Roman;Times;serif"/>
                <w:sz w:val="24"/>
              </w:rPr>
              <w:t>termination of this arrangement conducted in a manner consistent with the requirements of Treas. Reg. § 1.409A-3(j)(4)(ix).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bookmarkStart w:id="148" w:name="BRPFPageFooter"/>
      <w:bookmarkStart w:id="149" w:name="BRPFPageFooter"/>
      <w:bookmarkEnd w:id="14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rFonts w:ascii="Times New Roman;Times;serif" w:hAnsi="Times New Roman;Times;serif" w:eastAsia="Times New Roman;Times;serif" w:cs="Times New Roman;Times;serif"/>
          <w:b w:val="false"/>
          <w:i w:val="false"/>
          <w:caps w:val="false"/>
          <w:smallCaps w:val="false"/>
          <w:color w:val="000000"/>
          <w:sz w:val="20"/>
          <w:szCs w:val="24"/>
        </w:rPr>
      </w:pPr>
      <w:r>
        <w:rPr>
          <w:rFonts w:eastAsia="Times New Roman;Times;serif" w:cs="Times New Roman;Times;serif" w:ascii="Times New Roman;Times;serif" w:hAnsi="Times New Roman;Times;serif"/>
          <w:b w:val="false"/>
          <w:i w:val="false"/>
          <w:caps w:val="false"/>
          <w:smallCaps w:val="false"/>
          <w:color w:val="000000"/>
          <w:sz w:val="20"/>
          <w:szCs w:val="24"/>
        </w:rPr>
        <w:t>1</w:t>
      </w:r>
    </w:p>
    <w:p>
      <w:pPr>
        <w:pStyle w:val="HorizontalLine"/>
        <w:pBdr>
          <w:bottom w:val="single" w:sz="12" w:space="0" w:color="808080"/>
        </w:pBdr>
        <w:bidi w:val="0"/>
        <w:spacing w:before="240" w:after="240"/>
        <w:jc w:val="left"/>
        <w:rPr/>
      </w:pPr>
      <w:r>
        <w:rPr/>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4. </w:t>
      </w:r>
      <w:r>
        <w:rPr>
          <w:rFonts w:ascii="Times New Roman;Times;serif" w:hAnsi="Times New Roman;Times;serif"/>
          <w:color w:val="000000"/>
          <w:sz w:val="24"/>
          <w:u w:val="single"/>
        </w:rPr>
        <w:t>Non-Transferability of Restricted Stock Units</w:t>
      </w:r>
      <w:r>
        <w:rPr>
          <w:rFonts w:ascii="Times New Roman;Times;serif" w:hAnsi="Times New Roman;Times;serif"/>
          <w:color w:val="000000"/>
          <w:sz w:val="24"/>
        </w:rPr>
        <w:t>.  The Restricted Stock Units are subject to restrictions on transfer as set forth in Section 20 of the Plan.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5. </w:t>
      </w:r>
      <w:bookmarkStart w:id="150" w:name="z_cp_text_1_2501"/>
      <w:bookmarkEnd w:id="150"/>
      <w:r>
        <w:rPr>
          <w:rFonts w:ascii="Times New Roman;Times;serif" w:hAnsi="Times New Roman;Times;serif"/>
          <w:color w:val="000000"/>
          <w:sz w:val="24"/>
          <w:u w:val="single"/>
        </w:rPr>
        <w:t>Section 409A</w:t>
      </w:r>
      <w:r>
        <w:rPr>
          <w:rFonts w:ascii="Times New Roman;Times;serif" w:hAnsi="Times New Roman;Times;serif"/>
          <w:color w:val="000000"/>
          <w:sz w:val="24"/>
        </w:rPr>
        <w:t xml:space="preserve">.  </w:t>
      </w:r>
      <w:bookmarkStart w:id="151" w:name="z_Ref5086214841"/>
      <w:bookmarkEnd w:id="151"/>
      <w:r>
        <w:rPr>
          <w:rFonts w:ascii="Times New Roman;Times;serif" w:hAnsi="Times New Roman;Times;serif"/>
          <w:color w:val="000000"/>
          <w:sz w:val="24"/>
        </w:rPr>
        <w:t>The Award is intended to comply with or be exempt from Section 409A of the Code and should be interpreted accordingly.  Nonetheless, the Company does not guarantee the tax treatment of the Award.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6. </w:t>
      </w:r>
      <w:r>
        <w:rPr>
          <w:rFonts w:ascii="Times New Roman;Times;serif" w:hAnsi="Times New Roman;Times;serif"/>
          <w:color w:val="000000"/>
          <w:sz w:val="24"/>
          <w:u w:val="single"/>
        </w:rPr>
        <w:t>No Continuation of Service</w:t>
      </w:r>
      <w:r>
        <w:rPr>
          <w:rFonts w:ascii="Times New Roman;Times;serif" w:hAnsi="Times New Roman;Times;serif"/>
          <w:color w:val="000000"/>
          <w:sz w:val="24"/>
        </w:rPr>
        <w:t>.  Neither the Plan nor this Agreement will confer upon the Participant any right to continue in the employment or service of the Company or any of its Affiliates, or limit in any respect the right of the Company or its Affiliates to discharge the Participant at any time, with or without Cause.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7. </w:t>
      </w:r>
      <w:r>
        <w:rPr>
          <w:rFonts w:ascii="Times New Roman;Times;serif" w:hAnsi="Times New Roman;Times;serif"/>
          <w:color w:val="000000"/>
          <w:sz w:val="24"/>
          <w:u w:val="single"/>
        </w:rPr>
        <w:t>The Plan</w:t>
      </w:r>
      <w:r>
        <w:rPr>
          <w:rFonts w:ascii="Times New Roman;Times;serif" w:hAnsi="Times New Roman;Times;serif"/>
          <w:color w:val="000000"/>
          <w:sz w:val="24"/>
        </w:rPr>
        <w:t>.  The Participant has received a copy of the Plan, has read the Plan and is familiar with its terms, and hereby accepts the Award subject to the terms and provisions of the Plan. Pursuant to the Plan, the Committee is authorized to interpret the Plan, and to prescribe administrative rules, guidelines and practices governing the Plan as it deems appropriate. The Participant hereby agrees to accept as binding, conclusive and final all decisions or interpretations of the Committee with respect to questions arising under the Plan, the Notice or this Agreement.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8. </w:t>
      </w:r>
      <w:bookmarkStart w:id="152" w:name="z_Hlk864055891"/>
      <w:bookmarkStart w:id="153" w:name="z_Ref1247664861"/>
      <w:bookmarkEnd w:id="152"/>
      <w:bookmarkEnd w:id="153"/>
      <w:r>
        <w:rPr>
          <w:rFonts w:ascii="Times New Roman;Times;serif" w:hAnsi="Times New Roman;Times;serif"/>
          <w:color w:val="000000"/>
          <w:sz w:val="24"/>
          <w:u w:val="single"/>
        </w:rPr>
        <w:t>Clawback Provisions</w:t>
      </w:r>
      <w:r>
        <w:rPr>
          <w:rFonts w:ascii="Times New Roman;Times;serif" w:hAnsi="Times New Roman;Times;serif"/>
          <w:color w:val="000000"/>
          <w:sz w:val="24"/>
        </w:rPr>
        <w:t>. In consideration for the grant of the Award, the Participant agrees to be subject to (i) any compensation, clawback, recoupment or similar policies of the Company or its Affiliates covering the Participant that may be in effect from time to time, whether adopted before or after the Grant Date, and (ii) such other clawbacks as may be required by Applicable Law ((i) and (ii) together, the “</w:t>
      </w:r>
      <w:r>
        <w:rPr>
          <w:rFonts w:ascii="Times New Roman;Times;serif" w:hAnsi="Times New Roman;Times;serif"/>
          <w:color w:val="000000"/>
          <w:sz w:val="24"/>
          <w:u w:val="single"/>
        </w:rPr>
        <w:t>Clawback Provisions</w:t>
      </w:r>
      <w:r>
        <w:rPr>
          <w:rFonts w:ascii="Times New Roman;Times;serif" w:hAnsi="Times New Roman;Times;serif"/>
          <w:color w:val="000000"/>
          <w:sz w:val="24"/>
        </w:rPr>
        <w:t>”). The Participant understands that the Clawback Provisions are not limited in their application to the Award, or to amounts received in connection with the Award.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9. </w:t>
      </w:r>
      <w:r>
        <w:rPr>
          <w:rFonts w:ascii="Times New Roman;Times;serif" w:hAnsi="Times New Roman;Times;serif"/>
          <w:color w:val="000000"/>
          <w:sz w:val="24"/>
          <w:u w:val="single"/>
        </w:rPr>
        <w:t>Other Company Policies</w:t>
      </w:r>
      <w:r>
        <w:rPr>
          <w:rFonts w:ascii="Times New Roman;Times;serif" w:hAnsi="Times New Roman;Times;serif"/>
          <w:color w:val="000000"/>
          <w:sz w:val="24"/>
        </w:rPr>
        <w:t>.  The Participant agrees, in consideration for the grant of the Award, to be subject to any policies of the Company and its Affiliates regarding stock ownership, securities trading and hedging or pledging of securities that may be in effect from time to time.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10. </w:t>
      </w:r>
      <w:r>
        <w:rPr>
          <w:rFonts w:ascii="Times New Roman;Times;serif" w:hAnsi="Times New Roman;Times;serif"/>
          <w:color w:val="000000"/>
          <w:sz w:val="24"/>
          <w:u w:val="single"/>
        </w:rPr>
        <w:t>Entire Agreement</w:t>
      </w:r>
      <w:r>
        <w:rPr>
          <w:rFonts w:ascii="Times New Roman;Times;serif" w:hAnsi="Times New Roman;Times;serif"/>
          <w:color w:val="000000"/>
          <w:sz w:val="24"/>
        </w:rPr>
        <w:t>.  The Notice and this Agreement, together with the Plan, represent the entire agreement between the parties with respect to the subject matter hereof and supersede any prior agreement, written or otherwise, relating to the subject matter hereof.</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11. </w:t>
      </w:r>
      <w:r>
        <w:rPr>
          <w:rFonts w:ascii="Times New Roman;Times;serif" w:hAnsi="Times New Roman;Times;serif"/>
          <w:color w:val="000000"/>
          <w:sz w:val="24"/>
          <w:u w:val="single"/>
        </w:rPr>
        <w:t>Acknowledgment of Non-Reliance</w:t>
      </w:r>
      <w:r>
        <w:rPr>
          <w:rFonts w:ascii="Times New Roman;Times;serif" w:hAnsi="Times New Roman;Times;serif"/>
          <w:color w:val="000000"/>
          <w:sz w:val="24"/>
        </w:rPr>
        <w:t>.  Except for those representations and warranties expressly set forth in this Agreement, the Participant hereby disclaims reliance on any and all representations, warranties, or statements of any nature or kind, express or implied, including, but not limited to, the accuracy or completeness of such representations, warranties, or statements.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12. </w:t>
      </w:r>
      <w:r>
        <w:rPr>
          <w:rFonts w:ascii="Times New Roman;Times;serif" w:hAnsi="Times New Roman;Times;serif"/>
          <w:color w:val="000000"/>
          <w:sz w:val="24"/>
          <w:u w:val="single"/>
        </w:rPr>
        <w:t>Amendment</w:t>
      </w:r>
      <w:r>
        <w:rPr>
          <w:rFonts w:ascii="Times New Roman;Times;serif" w:hAnsi="Times New Roman;Times;serif"/>
          <w:color w:val="000000"/>
          <w:sz w:val="24"/>
        </w:rPr>
        <w:t>.  This Agreement may only be amended by a writing signed by each of the parties hereto; provided that the Company may amend this Agreement without the Participant’s consent, if the amendment does not materially impair the Participant’s rights hereunder.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13. </w:t>
      </w:r>
      <w:bookmarkStart w:id="154" w:name="z_Hlk1248610161"/>
      <w:bookmarkEnd w:id="154"/>
      <w:r>
        <w:rPr>
          <w:rFonts w:ascii="Times New Roman;Times;serif" w:hAnsi="Times New Roman;Times;serif"/>
          <w:color w:val="000000"/>
          <w:sz w:val="24"/>
          <w:u w:val="single"/>
        </w:rPr>
        <w:t>Choice of Law</w:t>
      </w:r>
      <w:r>
        <w:rPr>
          <w:rFonts w:ascii="Times New Roman;Times;serif" w:hAnsi="Times New Roman;Times;serif"/>
          <w:color w:val="000000"/>
          <w:sz w:val="24"/>
        </w:rPr>
        <w:t>.  This Agreement, the interpretation and enforcement thereof and all claims arising out of or relating to this Agreement or the transactions contemplated by this Agreement, whether sounding in tort, contract or otherwise, shall be governed solely and exclusively by, and construed in accordance with, the laws and judicial decisions of the State of Delaware without giving effect to any choice or conflict of law provision or rule that would cause the application of the laws and judicial decisions of any jurisdiction other than the State of Delaware.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14. </w:t>
      </w:r>
      <w:r>
        <w:rPr>
          <w:rFonts w:ascii="Times New Roman;Times;serif" w:hAnsi="Times New Roman;Times;serif"/>
          <w:color w:val="000000"/>
          <w:sz w:val="24"/>
          <w:u w:val="single"/>
        </w:rPr>
        <w:t>Forum Selection</w:t>
      </w:r>
      <w:r>
        <w:rPr>
          <w:rFonts w:ascii="Times New Roman;Times;serif" w:hAnsi="Times New Roman;Times;serif"/>
          <w:color w:val="000000"/>
          <w:sz w:val="24"/>
        </w:rPr>
        <w:t>.  All actions and proceedings arising out of or relating to this Agreement, or the transactions contemplated by this Agreement, shall be heard and determined solely and exclusively in the Delaware Court of Chancery and any state appellate court therefrom within the State of Delaware (unless the Delaware Court of Chancery shall decline to accept jurisdiction over a particular matter, in which case, any such actions or proceeding shall be heard and determined exclusively in any state or federal court within the State of Delaware).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15. </w:t>
      </w:r>
      <w:bookmarkStart w:id="155" w:name="z_Ref1037698691"/>
      <w:bookmarkEnd w:id="155"/>
      <w:r>
        <w:rPr>
          <w:rFonts w:ascii="Times New Roman;Times;serif" w:hAnsi="Times New Roman;Times;serif"/>
          <w:color w:val="000000"/>
          <w:sz w:val="24"/>
          <w:u w:val="single"/>
        </w:rPr>
        <w:t>Waiver of Jury Trial</w:t>
      </w:r>
      <w:r>
        <w:rPr>
          <w:rFonts w:ascii="Times New Roman;Times;serif" w:hAnsi="Times New Roman;Times;serif"/>
          <w:color w:val="000000"/>
          <w:sz w:val="24"/>
        </w:rPr>
        <w:t>.  Each party hereby waives its right to a jury trial of any and all claims or cause of actions based upon or arising out of this Agreement or the transactions contemplated by this Agreement.  Each party hereby acknowledges and agrees that the waiver contained in this Section 15 is made knowingly and voluntarily.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16. </w:t>
      </w:r>
      <w:r>
        <w:rPr>
          <w:rFonts w:ascii="Times New Roman;Times;serif" w:hAnsi="Times New Roman;Times;serif"/>
          <w:color w:val="000000"/>
          <w:sz w:val="24"/>
          <w:u w:val="single"/>
        </w:rPr>
        <w:t>Headings</w:t>
      </w:r>
      <w:r>
        <w:rPr>
          <w:rFonts w:ascii="Times New Roman;Times;serif" w:hAnsi="Times New Roman;Times;serif"/>
          <w:color w:val="000000"/>
          <w:sz w:val="24"/>
        </w:rPr>
        <w:t>.  The headings in this Agreement are for convenience only. They form no part of the Agreement and will not affect its interpretation.</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17. </w:t>
      </w:r>
      <w:r>
        <w:rPr>
          <w:rFonts w:ascii="Times New Roman;Times;serif" w:hAnsi="Times New Roman;Times;serif"/>
          <w:color w:val="000000"/>
          <w:sz w:val="24"/>
          <w:u w:val="single"/>
        </w:rPr>
        <w:t>Tax Withholding</w:t>
      </w:r>
      <w:r>
        <w:rPr>
          <w:rFonts w:ascii="Times New Roman;Times;serif" w:hAnsi="Times New Roman;Times;serif"/>
          <w:color w:val="000000"/>
          <w:sz w:val="24"/>
        </w:rPr>
        <w:t>.  The Participant acknowledges that the issuance of Shares hereunder will give rise to taxable income which may be subject to required withholding. In accordance with Section 21 of the Plan, the obligations of the Company hereunder are conditioned on the Participant timely paying, or otherwise making arrangements satisfactory to the Company regarding the timely satisfaction of, any such required withholding.</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18. </w:t>
      </w:r>
      <w:r>
        <w:rPr>
          <w:rFonts w:ascii="Times New Roman;Times;serif" w:hAnsi="Times New Roman;Times;serif"/>
          <w:color w:val="000000"/>
          <w:sz w:val="24"/>
          <w:u w:val="single"/>
        </w:rPr>
        <w:t>Electronic Delivery of Documents</w:t>
      </w:r>
      <w:r>
        <w:rPr>
          <w:rFonts w:ascii="Times New Roman;Times;serif" w:hAnsi="Times New Roman;Times;serif"/>
          <w:color w:val="000000"/>
          <w:sz w:val="24"/>
        </w:rPr>
        <w:t>.  The Participant authorizes the Company and its Affiliates to deliver electronically any prospectuses or other documentation related to the Restricted Stock Units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19. </w:t>
      </w:r>
      <w:r>
        <w:rPr>
          <w:rFonts w:ascii="Times New Roman;Times;serif" w:hAnsi="Times New Roman;Times;serif"/>
          <w:color w:val="000000"/>
          <w:sz w:val="24"/>
          <w:u w:val="single"/>
        </w:rPr>
        <w:t>Further Assurances</w:t>
      </w:r>
      <w:r>
        <w:rPr>
          <w:rFonts w:ascii="Times New Roman;Times;serif" w:hAnsi="Times New Roman;Times;serif"/>
          <w:color w:val="000000"/>
          <w:sz w:val="24"/>
        </w:rPr>
        <w:t>.  The Participant agrees, upon demand of the Company, to do all acts and execute, deliver and perform all additional documents, instruments and agreements which may be reasonably required by the Company to implement the provisions and purposes of this Agreement and the Plan.</w:t>
      </w:r>
    </w:p>
    <w:p>
      <w:pPr>
        <w:pStyle w:val="TextBody"/>
        <w:bidi w:val="0"/>
        <w:spacing w:before="0" w:after="0"/>
        <w:jc w:val="left"/>
        <w:rPr/>
      </w:pPr>
      <w:r>
        <w:rPr/>
      </w:r>
    </w:p>
    <w:p>
      <w:pPr>
        <w:pStyle w:val="TextBody"/>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TextBody"/>
        <w:bidi w:val="0"/>
        <w:spacing w:before="0" w:after="0"/>
        <w:jc w:val="right"/>
        <w:rPr>
          <w:rFonts w:ascii="Times New Roman;Times;serif" w:hAnsi="Times New Roman;Times;serif"/>
          <w:b/>
          <w:color w:val="000000"/>
          <w:sz w:val="24"/>
        </w:rPr>
      </w:pPr>
      <w:bookmarkStart w:id="156" w:name="exhibit97-1.htm"/>
      <w:bookmarkStart w:id="157" w:name="ksexhibit971"/>
      <w:bookmarkEnd w:id="156"/>
      <w:bookmarkEnd w:id="157"/>
      <w:r>
        <w:rPr>
          <w:rFonts w:ascii="Times New Roman;Times;serif" w:hAnsi="Times New Roman;Times;serif"/>
          <w:b/>
          <w:color w:val="000000"/>
          <w:sz w:val="24"/>
        </w:rPr>
        <w:t>Exhibit 97.1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9144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0"/>
                    <a:stretch>
                      <a:fillRect/>
                    </a:stretch>
                  </pic:blipFill>
                  <pic:spPr bwMode="auto">
                    <a:xfrm>
                      <a:off x="0" y="0"/>
                      <a:ext cx="914400" cy="762000"/>
                    </a:xfrm>
                    <a:prstGeom prst="rect">
                      <a:avLst/>
                    </a:prstGeom>
                  </pic:spPr>
                </pic:pic>
              </a:graphicData>
            </a:graphic>
          </wp:inline>
        </w:drawing>
      </w:r>
    </w:p>
    <w:p>
      <w:pPr>
        <w:pStyle w:val="TextBody"/>
        <w:bidi w:val="0"/>
        <w:spacing w:before="0" w:after="240"/>
        <w:ind w:left="2390" w:right="0" w:hanging="0"/>
        <w:jc w:val="center"/>
        <w:rPr>
          <w:rFonts w:ascii="Times New Roman;Times;serif" w:hAnsi="Times New Roman;Times;serif"/>
          <w:b/>
          <w:color w:val="000000"/>
          <w:sz w:val="24"/>
        </w:rPr>
      </w:pPr>
      <w:r>
        <w:rPr>
          <w:rFonts w:ascii="Times New Roman;Times;serif" w:hAnsi="Times New Roman;Times;serif"/>
          <w:b/>
          <w:color w:val="000000"/>
          <w:sz w:val="24"/>
        </w:rPr>
        <w:t>VISHAY INTERTECHNOLOGY, INC.</w:t>
      </w:r>
    </w:p>
    <w:p>
      <w:pPr>
        <w:pStyle w:val="TextBody"/>
        <w:bidi w:val="0"/>
        <w:spacing w:before="0" w:after="240"/>
        <w:ind w:left="2390" w:right="0" w:hanging="0"/>
        <w:jc w:val="center"/>
        <w:rPr>
          <w:rFonts w:ascii="Times New Roman;Times;serif" w:hAnsi="Times New Roman;Times;serif"/>
          <w:b/>
          <w:color w:val="000000"/>
          <w:sz w:val="24"/>
        </w:rPr>
      </w:pPr>
      <w:r>
        <w:rPr>
          <w:rFonts w:ascii="Times New Roman;Times;serif" w:hAnsi="Times New Roman;Times;serif"/>
          <w:b/>
          <w:color w:val="000000"/>
          <w:sz w:val="24"/>
        </w:rPr>
        <w:t>DODD-FRANK CLAWBACK POLICY</w:t>
      </w:r>
    </w:p>
    <w:p>
      <w:pPr>
        <w:pStyle w:val="TextBody"/>
        <w:bidi w:val="0"/>
        <w:spacing w:before="0" w:after="240"/>
        <w:jc w:val="left"/>
        <w:rPr/>
      </w:pPr>
      <w:r>
        <w:rPr/>
      </w:r>
    </w:p>
    <w:p>
      <w:pPr>
        <w:pStyle w:val="TextBody"/>
        <w:bidi w:val="0"/>
        <w:spacing w:before="0" w:after="24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The Compensation Committee (the “</w:t>
      </w:r>
      <w:r>
        <w:rPr>
          <w:rFonts w:ascii="Times New Roman;Times;serif" w:hAnsi="Times New Roman;Times;serif"/>
          <w:color w:val="000000"/>
          <w:sz w:val="24"/>
          <w:u w:val="single"/>
        </w:rPr>
        <w:t>Compensation Committee</w:t>
      </w:r>
      <w:r>
        <w:rPr>
          <w:rFonts w:ascii="Times New Roman;Times;serif" w:hAnsi="Times New Roman;Times;serif"/>
          <w:color w:val="000000"/>
          <w:sz w:val="24"/>
        </w:rPr>
        <w:t>”) of the Board of Directors (the “</w:t>
      </w:r>
      <w:r>
        <w:rPr>
          <w:rFonts w:ascii="Times New Roman;Times;serif" w:hAnsi="Times New Roman;Times;serif"/>
          <w:color w:val="000000"/>
          <w:sz w:val="24"/>
          <w:u w:val="single"/>
        </w:rPr>
        <w:t>Board</w:t>
      </w:r>
      <w:r>
        <w:rPr>
          <w:rFonts w:ascii="Times New Roman;Times;serif" w:hAnsi="Times New Roman;Times;serif"/>
          <w:color w:val="000000"/>
          <w:sz w:val="24"/>
        </w:rPr>
        <w:t>”) of Vishay Intertechnology, Inc., a Delaware corporation (the “</w:t>
      </w:r>
      <w:r>
        <w:rPr>
          <w:rFonts w:ascii="Times New Roman;Times;serif" w:hAnsi="Times New Roman;Times;serif"/>
          <w:color w:val="000000"/>
          <w:sz w:val="24"/>
          <w:u w:val="single"/>
        </w:rPr>
        <w:t>Company</w:t>
      </w:r>
      <w:r>
        <w:rPr>
          <w:rFonts w:ascii="Times New Roman;Times;serif" w:hAnsi="Times New Roman;Times;serif"/>
          <w:color w:val="000000"/>
          <w:sz w:val="24"/>
        </w:rPr>
        <w:t>”) has adopted the following Dodd-Frank Clawback Policy (this “</w:t>
      </w:r>
      <w:r>
        <w:rPr>
          <w:rFonts w:ascii="Times New Roman;Times;serif" w:hAnsi="Times New Roman;Times;serif"/>
          <w:color w:val="000000"/>
          <w:sz w:val="24"/>
          <w:u w:val="single"/>
        </w:rPr>
        <w:t>Policy</w:t>
      </w:r>
      <w:r>
        <w:rPr>
          <w:rFonts w:ascii="Times New Roman;Times;serif" w:hAnsi="Times New Roman;Times;serif"/>
          <w:color w:val="000000"/>
          <w:sz w:val="24"/>
        </w:rPr>
        <w:t>”) on August 15, 2023 effective as of October 2, 2023 (the “</w:t>
      </w:r>
      <w:r>
        <w:rPr>
          <w:rFonts w:ascii="Times New Roman;Times;serif" w:hAnsi="Times New Roman;Times;serif"/>
          <w:color w:val="000000"/>
          <w:sz w:val="24"/>
          <w:u w:val="single"/>
        </w:rPr>
        <w:t>Effective Date</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1.</w:t>
      </w:r>
      <w:r>
        <w:rPr>
          <w:rFonts w:ascii="Times New Roman;Times;serif" w:hAnsi="Times New Roman;Times;serif"/>
          <w:color w:val="000000"/>
          <w:sz w:val="24"/>
        </w:rPr>
        <w:t> </w:t>
      </w:r>
      <w:r>
        <w:rPr>
          <w:rFonts w:ascii="Times New Roman;Times;serif" w:hAnsi="Times New Roman;Times;serif"/>
          <w:b/>
          <w:color w:val="000000"/>
          <w:sz w:val="24"/>
        </w:rPr>
        <w:t>Purpose</w:t>
      </w:r>
      <w:r>
        <w:rPr>
          <w:rFonts w:ascii="Times New Roman;Times;serif" w:hAnsi="Times New Roman;Times;serif"/>
          <w:color w:val="000000"/>
          <w:sz w:val="24"/>
        </w:rPr>
        <w:t>. The purpose of this Policy is to provide for the recoupment of certain incentive compensation pursuant to Section 954 of the Dodd-Frank Wall Street Reform and Consumer Protection Act of 2010, in the manner required by Section 10D of the Securities Exchange Act of 1934, as amended (the “</w:t>
      </w:r>
      <w:r>
        <w:rPr>
          <w:rFonts w:ascii="Times New Roman;Times;serif" w:hAnsi="Times New Roman;Times;serif"/>
          <w:color w:val="000000"/>
          <w:sz w:val="24"/>
          <w:u w:val="single"/>
        </w:rPr>
        <w:t>Exchange Act</w:t>
      </w:r>
      <w:r>
        <w:rPr>
          <w:rFonts w:ascii="Times New Roman;Times;serif" w:hAnsi="Times New Roman;Times;serif"/>
          <w:color w:val="000000"/>
          <w:sz w:val="24"/>
        </w:rPr>
        <w:t>”), Rule 10D-1 promulgated thereunder, and the Applicable Listing Standards (as defined below) (collectively, the “</w:t>
      </w:r>
      <w:r>
        <w:rPr>
          <w:rFonts w:ascii="Times New Roman;Times;serif" w:hAnsi="Times New Roman;Times;serif"/>
          <w:color w:val="000000"/>
          <w:sz w:val="24"/>
          <w:u w:val="single"/>
        </w:rPr>
        <w:t>Dodd-Frank Rules</w:t>
      </w:r>
      <w:r>
        <w:rPr>
          <w:rFonts w:ascii="Times New Roman;Times;serif" w:hAnsi="Times New Roman;Times;serif"/>
          <w:color w:val="000000"/>
          <w:sz w:val="24"/>
        </w:rPr>
        <w: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2.</w:t>
      </w:r>
      <w:r>
        <w:rPr>
          <w:rFonts w:ascii="Times New Roman;Times;serif" w:hAnsi="Times New Roman;Times;serif"/>
          <w:color w:val="000000"/>
          <w:sz w:val="24"/>
        </w:rPr>
        <w:t> </w:t>
      </w:r>
      <w:r>
        <w:rPr>
          <w:rFonts w:ascii="Times New Roman;Times;serif" w:hAnsi="Times New Roman;Times;serif"/>
          <w:b/>
          <w:color w:val="000000"/>
          <w:sz w:val="24"/>
        </w:rPr>
        <w:t>Administration</w:t>
      </w:r>
      <w:r>
        <w:rPr>
          <w:rFonts w:ascii="Times New Roman;Times;serif" w:hAnsi="Times New Roman;Times;serif"/>
          <w:color w:val="000000"/>
          <w:sz w:val="24"/>
        </w:rPr>
        <w:t>. This Policy shall be administered by the Compensation Committee. Any determinations made by the Compensation Committee shall be final and binding on all affected individuals.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3.</w:t>
      </w:r>
      <w:r>
        <w:rPr>
          <w:rFonts w:ascii="Times New Roman;Times;serif" w:hAnsi="Times New Roman;Times;serif"/>
          <w:color w:val="000000"/>
          <w:sz w:val="24"/>
        </w:rPr>
        <w:t> </w:t>
      </w:r>
      <w:r>
        <w:rPr>
          <w:rFonts w:ascii="Times New Roman;Times;serif" w:hAnsi="Times New Roman;Times;serif"/>
          <w:b/>
          <w:color w:val="000000"/>
          <w:sz w:val="24"/>
        </w:rPr>
        <w:t>Definitions</w:t>
      </w:r>
      <w:r>
        <w:rPr>
          <w:rFonts w:ascii="Times New Roman;Times;serif" w:hAnsi="Times New Roman;Times;serif"/>
          <w:color w:val="000000"/>
          <w:sz w:val="24"/>
        </w:rPr>
        <w:t>. For purposes of this Policy, the following capitalized terms shall have the meanings set forth below.</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a) “</w:t>
      </w:r>
      <w:r>
        <w:rPr>
          <w:rFonts w:ascii="Times New Roman;Times;serif" w:hAnsi="Times New Roman;Times;serif"/>
          <w:b/>
          <w:color w:val="000000"/>
          <w:sz w:val="24"/>
        </w:rPr>
        <w:t>Accounting Restatement</w:t>
      </w:r>
      <w:r>
        <w:rPr>
          <w:rFonts w:ascii="Times New Roman;Times;serif" w:hAnsi="Times New Roman;Times;serif"/>
          <w:color w:val="000000"/>
          <w:sz w:val="24"/>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(i.e., a “Big R” restatement), or (ii) that would result in a material misstatement if the error were corrected in the current period or left uncorrected in the current period (i.e., a “little r” restatement).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b) “</w:t>
      </w:r>
      <w:r>
        <w:rPr>
          <w:rFonts w:ascii="Times New Roman;Times;serif" w:hAnsi="Times New Roman;Times;serif"/>
          <w:b/>
          <w:color w:val="000000"/>
          <w:sz w:val="24"/>
        </w:rPr>
        <w:t>Affiliate</w:t>
      </w:r>
      <w:r>
        <w:rPr>
          <w:rFonts w:ascii="Times New Roman;Times;serif" w:hAnsi="Times New Roman;Times;serif"/>
          <w:color w:val="000000"/>
          <w:sz w:val="24"/>
        </w:rPr>
        <w:t>” shall mean each entity that directly or indirectly controls, is controlled by, or is under common control with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c) “</w:t>
      </w:r>
      <w:r>
        <w:rPr>
          <w:rFonts w:ascii="Times New Roman;Times;serif" w:hAnsi="Times New Roman;Times;serif"/>
          <w:b/>
          <w:color w:val="000000"/>
          <w:sz w:val="24"/>
        </w:rPr>
        <w:t>Applicable Exchange</w:t>
      </w:r>
      <w:r>
        <w:rPr>
          <w:rFonts w:ascii="Times New Roman;Times;serif" w:hAnsi="Times New Roman;Times;serif"/>
          <w:color w:val="000000"/>
          <w:sz w:val="24"/>
        </w:rPr>
        <w:t>” shall mean (i) The Nasdaq Stock Market, if the Company’s securities are listed on such national stock exchange, or (ii) the New York Stock Exchange, if the Company’s securities are listed on such national stock exchange.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d) “</w:t>
      </w:r>
      <w:r>
        <w:rPr>
          <w:rFonts w:ascii="Times New Roman;Times;serif" w:hAnsi="Times New Roman;Times;serif"/>
          <w:b/>
          <w:color w:val="000000"/>
          <w:sz w:val="24"/>
        </w:rPr>
        <w:t>Applicable Listing Standards</w:t>
      </w:r>
      <w:r>
        <w:rPr>
          <w:rFonts w:ascii="Times New Roman;Times;serif" w:hAnsi="Times New Roman;Times;serif"/>
          <w:color w:val="000000"/>
          <w:sz w:val="24"/>
        </w:rPr>
        <w:t>” shall mean (i) Nasdaq Listing Rule 5608, if the Company’s securities are listed on The Nasdaq Stock Market, or (ii) Section 303A.14 of the New York Stock Exchange Listed Company Manual, if the Company’s securities are listed on the New York Stock Exchange.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e) “</w:t>
      </w:r>
      <w:r>
        <w:rPr>
          <w:rFonts w:ascii="Times New Roman;Times;serif" w:hAnsi="Times New Roman;Times;serif"/>
          <w:b/>
          <w:color w:val="000000"/>
          <w:sz w:val="24"/>
        </w:rPr>
        <w:t>Clawback Eligible Incentive Compensation</w:t>
      </w:r>
      <w:r>
        <w:rPr>
          <w:rFonts w:ascii="Times New Roman;Times;serif" w:hAnsi="Times New Roman;Times;serif"/>
          <w:color w:val="000000"/>
          <w:sz w:val="24"/>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 For the avoidance of doubt, Incentive-Based Compensation Received by a Covered Executive on or after the Effective Date could, by the terms of this Policy, include amounts approved, awarded, or granted prior to such date.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f) “</w:t>
      </w:r>
      <w:r>
        <w:rPr>
          <w:rFonts w:ascii="Times New Roman;Times;serif" w:hAnsi="Times New Roman;Times;serif"/>
          <w:b/>
          <w:color w:val="000000"/>
          <w:sz w:val="24"/>
        </w:rPr>
        <w:t>Clawback Period</w:t>
      </w:r>
      <w:r>
        <w:rPr>
          <w:rFonts w:ascii="Times New Roman;Times;serif" w:hAnsi="Times New Roman;Times;serif"/>
          <w:color w:val="000000"/>
          <w:sz w:val="24"/>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g) “</w:t>
      </w:r>
      <w:r>
        <w:rPr>
          <w:rFonts w:ascii="Times New Roman;Times;serif" w:hAnsi="Times New Roman;Times;serif"/>
          <w:b/>
          <w:color w:val="000000"/>
          <w:sz w:val="24"/>
        </w:rPr>
        <w:t>Company Group</w:t>
      </w:r>
      <w:r>
        <w:rPr>
          <w:rFonts w:ascii="Times New Roman;Times;serif" w:hAnsi="Times New Roman;Times;serif"/>
          <w:color w:val="000000"/>
          <w:sz w:val="24"/>
        </w:rPr>
        <w:t>” shall mean the Company and its Affiliates.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h) “</w:t>
      </w:r>
      <w:r>
        <w:rPr>
          <w:rFonts w:ascii="Times New Roman;Times;serif" w:hAnsi="Times New Roman;Times;serif"/>
          <w:b/>
          <w:color w:val="000000"/>
          <w:sz w:val="24"/>
        </w:rPr>
        <w:t>Covered Executive</w:t>
      </w:r>
      <w:r>
        <w:rPr>
          <w:rFonts w:ascii="Times New Roman;Times;serif" w:hAnsi="Times New Roman;Times;serif"/>
          <w:color w:val="000000"/>
          <w:sz w:val="24"/>
        </w:rPr>
        <w:t>” shall mean any “executive officer” of the Company as defined under the Dodd-Frank Rules, and, for the avoidance of doubt, includes each individual identified as an executive officer of the Company in accordance with Item 401(b) of Regulation S-K under the Exchange Act.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 “</w:t>
      </w:r>
      <w:r>
        <w:rPr>
          <w:rFonts w:ascii="Times New Roman;Times;serif" w:hAnsi="Times New Roman;Times;serif"/>
          <w:b/>
          <w:color w:val="000000"/>
          <w:sz w:val="24"/>
        </w:rPr>
        <w:t>Erroneously Awarded Compensation</w:t>
      </w:r>
      <w:r>
        <w:rPr>
          <w:rFonts w:ascii="Times New Roman;Times;serif" w:hAnsi="Times New Roman;Times;serif"/>
          <w:color w:val="000000"/>
          <w:sz w:val="24"/>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pStyle w:val="TextBody"/>
        <w:bidi w:val="0"/>
        <w:spacing w:before="240" w:after="240"/>
        <w:jc w:val="left"/>
        <w:rPr/>
      </w:pPr>
      <w:r>
        <w:rPr/>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Dodd-Frank Clawback Policy</w:t>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Effective October 2, 2023 | PAGE 1</w:t>
      </w:r>
    </w:p>
    <w:p>
      <w:pPr>
        <w:pStyle w:val="TextBody"/>
        <w:bidi w:val="0"/>
        <w:spacing w:before="240" w:after="240"/>
        <w:jc w:val="left"/>
        <w:rPr/>
      </w:pPr>
      <w:r>
        <w:rPr/>
      </w:r>
    </w:p>
    <w:p>
      <w:pPr>
        <w:pStyle w:val="HorizontalLine"/>
        <w:pBdr>
          <w:bottom w:val="single" w:sz="12" w:space="0" w:color="808080"/>
        </w:pBdr>
        <w:bidi w:val="0"/>
        <w:spacing w:before="240" w:after="240"/>
        <w:jc w:val="left"/>
        <w:rPr/>
      </w:pPr>
      <w:r>
        <w:rPr/>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j) “</w:t>
      </w:r>
      <w:r>
        <w:rPr>
          <w:rFonts w:ascii="Times New Roman;Times;serif" w:hAnsi="Times New Roman;Times;serif"/>
          <w:b/>
          <w:color w:val="000000"/>
          <w:sz w:val="24"/>
        </w:rPr>
        <w:t>Financial Reporting Measures</w:t>
      </w:r>
      <w:r>
        <w:rPr>
          <w:rFonts w:ascii="Times New Roman;Times;serif" w:hAnsi="Times New Roman;Times;serif"/>
          <w:color w:val="000000"/>
          <w:sz w:val="24"/>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w:t>
      </w:r>
      <w:r>
        <w:rPr>
          <w:rFonts w:ascii="Times New Roman;Times;serif" w:hAnsi="Times New Roman;Times;serif"/>
          <w:color w:val="000000"/>
          <w:sz w:val="24"/>
          <w:u w:val="single"/>
        </w:rPr>
        <w:t>SEC</w:t>
      </w:r>
      <w:r>
        <w:rPr>
          <w:rFonts w:ascii="Times New Roman;Times;serif" w:hAnsi="Times New Roman;Times;serif"/>
          <w:color w:val="000000"/>
          <w:sz w:val="24"/>
        </w:rPr>
        <w:t>”) in order to be considered a Financial Reporting Measure.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k) “</w:t>
      </w:r>
      <w:r>
        <w:rPr>
          <w:rFonts w:ascii="Times New Roman;Times;serif" w:hAnsi="Times New Roman;Times;serif"/>
          <w:b/>
          <w:color w:val="000000"/>
          <w:sz w:val="24"/>
        </w:rPr>
        <w:t>Incentive-Based Compensation</w:t>
      </w:r>
      <w:r>
        <w:rPr>
          <w:rFonts w:ascii="Times New Roman;Times;serif" w:hAnsi="Times New Roman;Times;serif"/>
          <w:color w:val="000000"/>
          <w:sz w:val="24"/>
        </w:rPr>
        <w:t>” shall mean any compensation that is granted, earned or vested based wholly or in part upon the attainment of a Financial Reporting Measure.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l) “</w:t>
      </w:r>
      <w:r>
        <w:rPr>
          <w:rFonts w:ascii="Times New Roman;Times;serif" w:hAnsi="Times New Roman;Times;serif"/>
          <w:b/>
          <w:color w:val="000000"/>
          <w:sz w:val="24"/>
        </w:rPr>
        <w:t>Received</w:t>
      </w:r>
      <w:r>
        <w:rPr>
          <w:rFonts w:ascii="Times New Roman;Times;serif" w:hAnsi="Times New Roman;Times;serif"/>
          <w:color w:val="000000"/>
          <w:sz w:val="24"/>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m) “</w:t>
      </w:r>
      <w:r>
        <w:rPr>
          <w:rFonts w:ascii="Times New Roman;Times;serif" w:hAnsi="Times New Roman;Times;serif"/>
          <w:b/>
          <w:color w:val="000000"/>
          <w:sz w:val="24"/>
        </w:rPr>
        <w:t>Restatement Trigger Date</w:t>
      </w:r>
      <w:r>
        <w:rPr>
          <w:rFonts w:ascii="Times New Roman;Times;serif" w:hAnsi="Times New Roman;Times;serif"/>
          <w:color w:val="000000"/>
          <w:sz w:val="24"/>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4.</w:t>
      </w:r>
      <w:r>
        <w:rPr>
          <w:rFonts w:ascii="Times New Roman;Times;serif" w:hAnsi="Times New Roman;Times;serif"/>
          <w:color w:val="000000"/>
          <w:sz w:val="24"/>
        </w:rPr>
        <w:t> </w:t>
      </w:r>
      <w:bookmarkStart w:id="158" w:name="z_Ref133842189"/>
      <w:bookmarkEnd w:id="158"/>
      <w:r>
        <w:rPr>
          <w:rFonts w:ascii="Times New Roman;Times;serif" w:hAnsi="Times New Roman;Times;serif"/>
          <w:b/>
          <w:color w:val="000000"/>
          <w:sz w:val="24"/>
        </w:rPr>
        <w:t>Recoupment of Erroneously Awarded Compensation</w:t>
      </w:r>
      <w:r>
        <w:rPr>
          <w:rFonts w:ascii="Times New Roman;Times;serif" w:hAnsi="Times New Roman;Times;serif"/>
          <w:color w:val="000000"/>
          <w:sz w:val="24"/>
        </w:rPr>
        <w:t>. Upon the occurrence of a Restatement Trigger Date, the Company shall recoup Erroneously Awarded Compensation reasonably promptly, in the manner described below. For the avoidance of doubt, the Company’s obligation to recover Erroneously Awarded Compensation under this Policy is not dependent on if or when restated financial statements are filed following the Restatement Trigger Date.</w:t>
      </w:r>
    </w:p>
    <w:p>
      <w:pPr>
        <w:pStyle w:val="Normal"/>
        <w:bidi w:val="0"/>
        <w:spacing w:before="0" w:after="0"/>
        <w:jc w:val="left"/>
        <w:rPr>
          <w:sz w:val="4"/>
          <w:szCs w:val="4"/>
        </w:rPr>
      </w:pPr>
      <w:r>
        <w:rPr>
          <w:sz w:val="4"/>
          <w:szCs w:val="4"/>
        </w:rPr>
      </w:r>
      <w:bookmarkStart w:id="159" w:name="z6575e287eb154cde819acb30ac45ad99"/>
      <w:bookmarkStart w:id="160" w:name="z6575e287eb154cde819acb30ac45ad99"/>
      <w:bookmarkEnd w:id="160"/>
    </w:p>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before="0" w:after="240"/>
              <w:ind w:left="360" w:right="0" w:hanging="0"/>
              <w:jc w:val="left"/>
              <w:rPr>
                <w:rFonts w:ascii="Times New Roman;Times;serif" w:hAnsi="Times New Roman;Times;serif"/>
                <w:b/>
                <w:sz w:val="24"/>
              </w:rPr>
            </w:pPr>
            <w:r>
              <w:rPr>
                <w:rFonts w:ascii="Times New Roman;Times;serif" w:hAnsi="Times New Roman;Times;serif"/>
                <w:b/>
                <w:sz w:val="24"/>
              </w:rPr>
              <w:t>a)</w:t>
            </w:r>
          </w:p>
        </w:tc>
        <w:tc>
          <w:tcPr>
            <w:tcW w:w="8330" w:type="dxa"/>
            <w:tcBorders/>
            <w:vAlign w:val="center"/>
          </w:tcPr>
          <w:p>
            <w:pPr>
              <w:pStyle w:val="TableContents"/>
              <w:bidi w:val="0"/>
              <w:spacing w:before="0" w:after="240"/>
              <w:jc w:val="both"/>
              <w:rPr>
                <w:rFonts w:ascii="Times New Roman;Times;serif" w:hAnsi="Times New Roman;Times;serif"/>
                <w:sz w:val="24"/>
              </w:rPr>
            </w:pPr>
            <w:bookmarkStart w:id="161" w:name="z_Ref135022273"/>
            <w:bookmarkEnd w:id="161"/>
            <w:r>
              <w:rPr>
                <w:rFonts w:ascii="Times New Roman;Times;serif" w:hAnsi="Times New Roman;Times;serif"/>
                <w:b/>
                <w:sz w:val="24"/>
              </w:rPr>
              <w:t xml:space="preserve">Process. </w:t>
            </w:r>
            <w:r>
              <w:rPr>
                <w:rFonts w:ascii="Times New Roman;Times;serif" w:hAnsi="Times New Roman;Times;serif"/>
                <w:sz w:val="24"/>
              </w:rPr>
              <w:t>The Compensation Committee shall use the following process for recoupment:</w:t>
            </w:r>
          </w:p>
        </w:tc>
      </w:tr>
    </w:tbl>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 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Applicable Exchange).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ii. Second, the Compensation Committee will provide each affected Covered Executive with a written notice stating the amount of the Erroneously Awarded Compensation, a demand for recoupment, and the means of recoupment that the Company will accept.</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b)</w:t>
      </w:r>
      <w:r>
        <w:rPr>
          <w:rFonts w:ascii="Times New Roman;Times;serif" w:hAnsi="Times New Roman;Times;serif"/>
          <w:color w:val="000000"/>
          <w:sz w:val="24"/>
        </w:rPr>
        <w:t> </w:t>
      </w:r>
      <w:bookmarkStart w:id="162" w:name="z_Ref133842394"/>
      <w:bookmarkEnd w:id="162"/>
      <w:r>
        <w:rPr>
          <w:rFonts w:ascii="Times New Roman;Times;serif" w:hAnsi="Times New Roman;Times;serif"/>
          <w:b/>
          <w:color w:val="000000"/>
          <w:sz w:val="24"/>
        </w:rPr>
        <w:t xml:space="preserve">Means of Recoupment. </w:t>
      </w:r>
      <w:r>
        <w:rPr>
          <w:rFonts w:ascii="Times New Roman;Times;serif" w:hAnsi="Times New Roman;Times;serif"/>
          <w:color w:val="000000"/>
          <w:sz w:val="24"/>
        </w:rPr>
        <w:t>The Compensation Committee shall have discretion to determine the appropriate means of 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Internal Revenue Code of 1986, as amended (“</w:t>
      </w:r>
      <w:r>
        <w:rPr>
          <w:rFonts w:ascii="Times New Roman;Times;serif" w:hAnsi="Times New Roman;Times;serif"/>
          <w:color w:val="000000"/>
          <w:sz w:val="24"/>
          <w:u w:val="single"/>
        </w:rPr>
        <w:t>Section 409A</w:t>
      </w:r>
      <w:r>
        <w:rPr>
          <w:rFonts w:ascii="Times New Roman;Times;serif" w:hAnsi="Times New Roman;Times;serif"/>
          <w:color w:val="000000"/>
          <w:sz w:val="24"/>
        </w:rPr>
        <w:t>”),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and shall have no liability with respect thereto. For the avoidance of doubt, appropriate means of recoupment pursuant to this Section 4(b) may include amounts approved, awarded, or granted prior to the Effective Date.  Except as set forth in Section 4(d) below, in no event may the Company Group accept an amount that is less than the amount of Erroneously Awarded Compensation in satisfaction of a Covered Executive’s obligations hereunder.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c)</w:t>
      </w:r>
      <w:r>
        <w:rPr>
          <w:rFonts w:ascii="Times New Roman;Times;serif" w:hAnsi="Times New Roman;Times;serif"/>
          <w:color w:val="000000"/>
          <w:sz w:val="24"/>
        </w:rPr>
        <w:t> </w:t>
      </w:r>
      <w:r>
        <w:rPr>
          <w:rFonts w:ascii="Times New Roman;Times;serif" w:hAnsi="Times New Roman;Times;serif"/>
          <w:b/>
          <w:color w:val="000000"/>
          <w:sz w:val="24"/>
        </w:rPr>
        <w:t xml:space="preserve">Failure to Repay. </w:t>
      </w:r>
      <w:r>
        <w:rPr>
          <w:rFonts w:ascii="Times New Roman;Times;serif" w:hAnsi="Times New Roman;Times;serif"/>
          <w:color w:val="000000"/>
          <w:sz w:val="24"/>
        </w:rPr>
        <w:t>To the extent that a Covered Executive fails to repay all Erroneously Awarded Compensation to the Company Group when due (as determined in accordance with Section 4(a) above), the Company shall, or shall cause one or more other members of the Company Group to, take all actions reasonable and appropriate to recoup such Erroneously Awarded Compensation from the applicable Covered Executive. The applicable Covered Executive shall be required to reimburse the Company Group for any and all expenses reasonably incurred (including legal fees) by the Company Group in recouping such Erroneously Awarded Compensation.</w:t>
      </w:r>
    </w:p>
    <w:p>
      <w:pPr>
        <w:pStyle w:val="TextBody"/>
        <w:bidi w:val="0"/>
        <w:spacing w:before="240" w:after="240"/>
        <w:jc w:val="left"/>
        <w:rPr/>
      </w:pPr>
      <w:r>
        <w:rPr/>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Dodd-Frank Clawback Policy</w:t>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Effective October 2, 2023 | PAGE 2</w:t>
      </w:r>
    </w:p>
    <w:p>
      <w:pPr>
        <w:pStyle w:val="TextBody"/>
        <w:bidi w:val="0"/>
        <w:spacing w:before="240" w:after="240"/>
        <w:jc w:val="left"/>
        <w:rPr/>
      </w:pPr>
      <w:r>
        <w:rPr/>
      </w:r>
    </w:p>
    <w:p>
      <w:pPr>
        <w:pStyle w:val="HorizontalLine"/>
        <w:pBdr>
          <w:bottom w:val="single" w:sz="12" w:space="0" w:color="808080"/>
        </w:pBdr>
        <w:bidi w:val="0"/>
        <w:spacing w:before="240" w:after="240"/>
        <w:jc w:val="left"/>
        <w:rPr/>
      </w:pPr>
      <w:r>
        <w:rPr/>
      </w:r>
    </w:p>
    <w:p>
      <w:pPr>
        <w:pStyle w:val="TextBody"/>
        <w:bidi w:val="0"/>
        <w:spacing w:before="0" w:after="240"/>
        <w:ind w:left="0" w:right="0" w:hanging="0"/>
        <w:jc w:val="both"/>
        <w:rPr>
          <w:rFonts w:ascii="Times New Roman;Times;serif" w:hAnsi="Times New Roman;Times;serif"/>
          <w:color w:val="000000"/>
          <w:sz w:val="24"/>
        </w:rPr>
      </w:pPr>
      <w:bookmarkStart w:id="163" w:name="z_Ref133842161"/>
      <w:bookmarkEnd w:id="163"/>
      <w:r>
        <w:rPr>
          <w:rFonts w:ascii="Times New Roman;Times;serif" w:hAnsi="Times New Roman;Times;serif"/>
          <w:color w:val="000000"/>
          <w:sz w:val="24"/>
        </w:rPr>
        <w:t>d) </w:t>
      </w:r>
      <w:r>
        <w:rPr>
          <w:rFonts w:ascii="Times New Roman;Times;serif" w:hAnsi="Times New Roman;Times;serif"/>
          <w:b/>
          <w:color w:val="000000"/>
          <w:sz w:val="24"/>
        </w:rPr>
        <w:t xml:space="preserve">Exceptions. </w:t>
      </w:r>
      <w:r>
        <w:rPr>
          <w:rFonts w:ascii="Times New Roman;Times;serif" w:hAnsi="Times New Roman;Times;serif"/>
          <w:color w:val="000000"/>
          <w:sz w:val="24"/>
        </w:rPr>
        <w:t>Notwithstanding anything herein to the contrary, the Company shall not be required to recoup Erroneously Awarded Compensation if one of the following conditions is met and the Compensation Committee determines that recoupment would be impracticable:</w:t>
      </w:r>
      <w:bookmarkStart w:id="164" w:name="z_Hlk134176909"/>
      <w:bookmarkEnd w:id="164"/>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 The direct expense paid to a third party to assist in enforcing this Policy against a Covered Executive would exceed the amount to be recouped, after the Company has made a reasonable attempt to recoup the applicable Erroneously Awarded Compensation, documented such attempts, and provided such documentation to the Applicable Exchange;</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ii. </w:t>
      </w:r>
      <w:bookmarkStart w:id="165" w:name="z_Hlk134302786"/>
      <w:bookmarkEnd w:id="165"/>
      <w:r>
        <w:rPr>
          <w:rFonts w:ascii="Times New Roman;Times;serif" w:hAnsi="Times New Roman;Times;serif"/>
          <w:color w:val="000000"/>
          <w:sz w:val="24"/>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Applicable Exchange, that recoupment would result in such a violation and a copy of the opinion is provided to the Applicable Exchange; or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color w:val="000000"/>
          <w:sz w:val="24"/>
        </w:rPr>
        <w:t>iii. Recoupment would likely cause an otherwise tax-qualified retirement plan, under which benefits are broadly available to employees, to fail to meet the requirements of 26 U.S.C. 401(a)(13) or 26 U.S.C. 411(a) and regulations thereunder.</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5.</w:t>
      </w:r>
      <w:r>
        <w:rPr>
          <w:rFonts w:ascii="Times New Roman;Times;serif" w:hAnsi="Times New Roman;Times;serif"/>
          <w:color w:val="000000"/>
          <w:sz w:val="24"/>
        </w:rPr>
        <w:t> </w:t>
      </w:r>
      <w:r>
        <w:rPr>
          <w:rFonts w:ascii="Times New Roman;Times;serif" w:hAnsi="Times New Roman;Times;serif"/>
          <w:b/>
          <w:color w:val="000000"/>
          <w:sz w:val="24"/>
        </w:rPr>
        <w:t>Reporting and Disclosure</w:t>
      </w:r>
      <w:r>
        <w:rPr>
          <w:rFonts w:ascii="Times New Roman;Times;serif" w:hAnsi="Times New Roman;Times;serif"/>
          <w:color w:val="000000"/>
          <w:sz w:val="24"/>
        </w:rPr>
        <w:t>. The Company shall file all disclosures with respect to this Policy in accordance with the requirements of the Dodd-Frank Rules.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6.</w:t>
      </w:r>
      <w:r>
        <w:rPr>
          <w:rFonts w:ascii="Times New Roman;Times;serif" w:hAnsi="Times New Roman;Times;serif"/>
          <w:color w:val="000000"/>
          <w:sz w:val="24"/>
        </w:rPr>
        <w:t> </w:t>
      </w:r>
      <w:r>
        <w:rPr>
          <w:rFonts w:ascii="Times New Roman;Times;serif" w:hAnsi="Times New Roman;Times;serif"/>
          <w:b/>
          <w:color w:val="000000"/>
          <w:sz w:val="24"/>
        </w:rPr>
        <w:t>Indemnification Prohibition</w:t>
      </w:r>
      <w:r>
        <w:rPr>
          <w:rFonts w:ascii="Times New Roman;Times;serif" w:hAnsi="Times New Roman;Times;serif"/>
          <w:color w:val="000000"/>
          <w:sz w:val="24"/>
        </w:rPr>
        <w:t>. No member of the Company Group shall be permitted to indemnify any current or former 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7.</w:t>
      </w:r>
      <w:r>
        <w:rPr>
          <w:rFonts w:ascii="Times New Roman;Times;serif" w:hAnsi="Times New Roman;Times;serif"/>
          <w:color w:val="000000"/>
          <w:sz w:val="24"/>
        </w:rPr>
        <w:t> </w:t>
      </w:r>
      <w:r>
        <w:rPr>
          <w:rFonts w:ascii="Times New Roman;Times;serif" w:hAnsi="Times New Roman;Times;serif"/>
          <w:b/>
          <w:color w:val="000000"/>
          <w:sz w:val="24"/>
        </w:rPr>
        <w:t>Acknowledgmen</w:t>
      </w:r>
      <w:r>
        <w:rPr>
          <w:rFonts w:ascii="Times New Roman;Times;serif" w:hAnsi="Times New Roman;Times;serif"/>
          <w:color w:val="000000"/>
          <w:sz w:val="24"/>
        </w:rPr>
        <w:t xml:space="preserve">t. If required by the Compensation Committee, each Covered Executive shall be required to sign and return to the Company the acknowledgement form attached hereto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(or such other acknowledgement form authorized by the Compensation Committee) pursuant to which such Covered Executive will agree to be bound by the terms of, and comply with, this Policy.  However, for the avoidance of doubt, each Covered Executive will be fully bound by, and must comply with, the Policy, whether or not such Covered Executive has executed and returned an acknowledgment form to the Company.</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8.</w:t>
      </w:r>
      <w:r>
        <w:rPr>
          <w:rFonts w:ascii="Times New Roman;Times;serif" w:hAnsi="Times New Roman;Times;serif"/>
          <w:color w:val="000000"/>
          <w:sz w:val="24"/>
        </w:rPr>
        <w:t> </w:t>
      </w:r>
      <w:r>
        <w:rPr>
          <w:rFonts w:ascii="Times New Roman;Times;serif" w:hAnsi="Times New Roman;Times;serif"/>
          <w:b/>
          <w:color w:val="000000"/>
          <w:sz w:val="24"/>
        </w:rPr>
        <w:t>Interpretation</w:t>
      </w:r>
      <w:r>
        <w:rPr>
          <w:rFonts w:ascii="Times New Roman;Times;serif" w:hAnsi="Times New Roman;Times;serif"/>
          <w:color w:val="000000"/>
          <w:sz w:val="24"/>
        </w:rPr>
        <w:t>. The Compensation Committee is authorized to interpret and construe this Policy and to make all determinations necessary, appropriate, or advisable for the administration of this Policy.  The Compensation Committee intends that this Policy be interpreted consistent with the Dodd-Frank Rules.</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9.</w:t>
      </w:r>
      <w:r>
        <w:rPr>
          <w:rFonts w:ascii="Times New Roman;Times;serif" w:hAnsi="Times New Roman;Times;serif"/>
          <w:color w:val="000000"/>
          <w:sz w:val="24"/>
        </w:rPr>
        <w:t> </w:t>
      </w:r>
      <w:bookmarkStart w:id="166" w:name="z_Ref134028935"/>
      <w:bookmarkStart w:id="167" w:name="z_Ref133842443"/>
      <w:bookmarkEnd w:id="166"/>
      <w:bookmarkEnd w:id="167"/>
      <w:r>
        <w:rPr>
          <w:rFonts w:ascii="Times New Roman;Times;serif" w:hAnsi="Times New Roman;Times;serif"/>
          <w:b/>
          <w:color w:val="000000"/>
          <w:sz w:val="24"/>
        </w:rPr>
        <w:t>Amendment</w:t>
      </w:r>
      <w:r>
        <w:rPr>
          <w:rFonts w:ascii="Times New Roman;Times;serif" w:hAnsi="Times New Roman;Times;serif"/>
          <w:color w:val="000000"/>
          <w:sz w:val="24"/>
        </w:rPr>
        <w:t xml:space="preserve">; </w:t>
      </w:r>
      <w:r>
        <w:rPr>
          <w:rFonts w:ascii="Times New Roman;Times;serif" w:hAnsi="Times New Roman;Times;serif"/>
          <w:b/>
          <w:color w:val="000000"/>
          <w:sz w:val="24"/>
        </w:rPr>
        <w:t>Termination</w:t>
      </w:r>
      <w:r>
        <w:rPr>
          <w:rFonts w:ascii="Times New Roman;Times;serif" w:hAnsi="Times New Roman;Times;serif"/>
          <w:color w:val="000000"/>
          <w:sz w:val="24"/>
        </w:rPr>
        <w:t>. The Compensation Committee may amend or terminate this Policy from time to time in its discretion, including as and when it determines that it is legally required to do so by any federal securities laws, SEC rule or the rules of any national securities exchange or national securities association on which the Company’s securities are listed.</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10.</w:t>
      </w:r>
      <w:r>
        <w:rPr>
          <w:rFonts w:ascii="Times New Roman;Times;serif" w:hAnsi="Times New Roman;Times;serif"/>
          <w:color w:val="000000"/>
          <w:sz w:val="24"/>
        </w:rPr>
        <w:t> </w:t>
      </w:r>
      <w:r>
        <w:rPr>
          <w:rFonts w:ascii="Times New Roman;Times;serif" w:hAnsi="Times New Roman;Times;serif"/>
          <w:b/>
          <w:color w:val="000000"/>
          <w:sz w:val="24"/>
        </w:rPr>
        <w:t>Other Recoupment Rights</w:t>
      </w:r>
      <w:r>
        <w:rPr>
          <w:rFonts w:ascii="Times New Roman;Times;serif" w:hAnsi="Times New Roman;Times;serif"/>
          <w:color w:val="000000"/>
          <w:sz w:val="24"/>
        </w:rPr>
        <w:t>. The Compensation Committee intends that this Policy be applied to the fullest extent of the law. The Compensation Committee may require that any employment agreement, equity award, cash incentive award, or any other agreement entered into be conditioned upon the Covered Executive’s agreement to abide by the terms of this Policy. Any right of recoupment under this Policy is in addition to, and not in lieu of, any other remedies or rights of recoupment that may be available to the Company Group, whether arising under applicable law, regulation or rule, pursuant to the terms of any other policy of the Company Group, pursuant to any employment agreement, equity or compensatory plan, equity award, cash incentive award, or other agreement applicable to a Covered Executive, or otherwise (the “</w:t>
      </w:r>
      <w:r>
        <w:rPr>
          <w:rFonts w:ascii="Times New Roman;Times;serif" w:hAnsi="Times New Roman;Times;serif"/>
          <w:color w:val="000000"/>
          <w:sz w:val="24"/>
          <w:u w:val="single"/>
        </w:rPr>
        <w:t>Separate Clawback Rights</w:t>
      </w:r>
      <w:r>
        <w:rPr>
          <w:rFonts w:ascii="Times New Roman;Times;serif" w:hAnsi="Times New Roman;Times;serif"/>
          <w:color w:val="000000"/>
          <w:sz w:val="24"/>
        </w:rPr>
        <w:t>”). Notwithstanding the foregoing, this Policy replaces and supersedes the Company’s previous Clawback Policy effective November 19, 2019, but only with respect to Incentive-Based Compensation Received on or after the Effective Date. There shall be no duplication of recovery of the same Erroneously Awarded Compensation under this Policy and the Separate Clawback Rights, unless required by applicable law.</w:t>
      </w:r>
    </w:p>
    <w:p>
      <w:pPr>
        <w:pStyle w:val="TextBody"/>
        <w:bidi w:val="0"/>
        <w:spacing w:before="0" w:after="240"/>
        <w:ind w:left="0" w:right="0" w:hanging="0"/>
        <w:jc w:val="left"/>
        <w:rPr>
          <w:rFonts w:ascii="Times New Roman;Times;serif" w:hAnsi="Times New Roman;Times;serif"/>
          <w:color w:val="000000"/>
          <w:sz w:val="24"/>
        </w:rPr>
      </w:pPr>
      <w:r>
        <w:rPr>
          <w:rFonts w:ascii="Times New Roman;Times;serif" w:hAnsi="Times New Roman;Times;serif"/>
          <w:b/>
          <w:color w:val="000000"/>
          <w:sz w:val="24"/>
        </w:rPr>
        <w:t>11.</w:t>
      </w:r>
      <w:r>
        <w:rPr>
          <w:rFonts w:ascii="Times New Roman;Times;serif" w:hAnsi="Times New Roman;Times;serif"/>
          <w:color w:val="000000"/>
          <w:sz w:val="24"/>
        </w:rPr>
        <w:t> </w:t>
      </w:r>
      <w:r>
        <w:rPr>
          <w:rFonts w:ascii="Times New Roman;Times;serif" w:hAnsi="Times New Roman;Times;serif"/>
          <w:b/>
          <w:color w:val="000000"/>
          <w:sz w:val="24"/>
        </w:rPr>
        <w:t>Successors</w:t>
      </w:r>
      <w:r>
        <w:rPr>
          <w:rFonts w:ascii="Times New Roman;Times;serif" w:hAnsi="Times New Roman;Times;serif"/>
          <w:color w:val="000000"/>
          <w:sz w:val="24"/>
        </w:rPr>
        <w:t>. This Policy shall be binding and enforceable against all Covered Executives and their beneficiaries, heirs, executors, administrators or other legal representatives.</w:t>
      </w:r>
    </w:p>
    <w:p>
      <w:pPr>
        <w:pStyle w:val="TextBody"/>
        <w:bidi w:val="0"/>
        <w:spacing w:before="240" w:after="240"/>
        <w:jc w:val="left"/>
        <w:rPr/>
      </w:pPr>
      <w:r>
        <w:rPr/>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Dodd-Frank Clawback Policy</w:t>
      </w:r>
    </w:p>
    <w:p>
      <w:pPr>
        <w:pStyle w:val="TextBody"/>
        <w:bidi w:val="0"/>
        <w:spacing w:before="240" w:after="240"/>
        <w:jc w:val="center"/>
        <w:rPr>
          <w:rFonts w:ascii="Times New Roman;Times;serif" w:hAnsi="Times New Roman;Times;serif"/>
          <w:color w:val="000000"/>
          <w:sz w:val="24"/>
        </w:rPr>
      </w:pPr>
      <w:r>
        <w:rPr>
          <w:rFonts w:ascii="Times New Roman;Times;serif" w:hAnsi="Times New Roman;Times;serif"/>
          <w:color w:val="000000"/>
          <w:sz w:val="24"/>
        </w:rPr>
        <w:t>Effective October 2, 2023 | PAGE 3</w:t>
      </w:r>
    </w:p>
    <w:p>
      <w:pPr>
        <w:pStyle w:val="TextBody"/>
        <w:bidi w:val="0"/>
        <w:spacing w:before="240" w:after="240"/>
        <w:jc w:val="left"/>
        <w:rPr/>
      </w:pPr>
      <w:r>
        <w:rPr/>
      </w:r>
    </w:p>
    <w:p>
      <w:pPr>
        <w:pStyle w:val="HorizontalLine"/>
        <w:pBdr>
          <w:bottom w:val="single" w:sz="12" w:space="0" w:color="808080"/>
        </w:pBdr>
        <w:bidi w:val="0"/>
        <w:spacing w:before="240" w:after="240"/>
        <w:jc w:val="left"/>
        <w:rPr/>
      </w:pPr>
      <w:r>
        <w:rPr/>
      </w:r>
    </w:p>
    <w:p>
      <w:pPr>
        <w:pStyle w:val="TextBody"/>
        <w:bidi w:val="0"/>
        <w:spacing w:before="0" w:after="0"/>
        <w:jc w:val="left"/>
        <w:rPr/>
      </w:pPr>
      <w:r>
        <w:rPr/>
      </w:r>
    </w:p>
    <w:p>
      <w:pPr>
        <w:pStyle w:val="TextBody"/>
        <w:bidi w:val="0"/>
        <w:spacing w:before="15" w:after="220"/>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Exhibit A</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VISHAY INTERTECHNOLOGY, INC. DODD-FRANK CLAWBACK POLICY</w:t>
      </w:r>
    </w:p>
    <w:p>
      <w:pPr>
        <w:pStyle w:val="TextBody"/>
        <w:bidi w:val="0"/>
        <w:spacing w:before="0" w:after="240"/>
        <w:jc w:val="center"/>
        <w:rPr>
          <w:rFonts w:ascii="Times New Roman;Times;serif" w:hAnsi="Times New Roman;Times;serif"/>
          <w:b/>
          <w:color w:val="000000"/>
          <w:sz w:val="24"/>
        </w:rPr>
      </w:pPr>
      <w:r>
        <w:rPr>
          <w:rFonts w:ascii="Times New Roman;Times;serif" w:hAnsi="Times New Roman;Times;serif"/>
          <w:b/>
          <w:color w:val="000000"/>
          <w:sz w:val="24"/>
        </w:rPr>
        <w:t>ACKNOWLEDGEMENT FORM</w:t>
      </w:r>
    </w:p>
    <w:p>
      <w:pPr>
        <w:pStyle w:val="TextBody"/>
        <w:bidi w:val="0"/>
        <w:spacing w:before="0" w:after="240"/>
        <w:jc w:val="both"/>
        <w:rPr>
          <w:rFonts w:ascii="Times New Roman;Times;serif" w:hAnsi="Times New Roman;Times;serif"/>
          <w:color w:val="000000"/>
          <w:sz w:val="24"/>
        </w:rPr>
      </w:pPr>
      <w:r>
        <w:rPr>
          <w:rFonts w:ascii="Times New Roman;Times;serif" w:hAnsi="Times New Roman;Times;serif"/>
          <w:color w:val="000000"/>
          <w:sz w:val="24"/>
        </w:rPr>
        <w:t>By signing below, the undersigned acknowledges and confirms that the undersigned has received and reviewed a copy of the Vishay Intertechnology, Inc. Dodd-Frank Clawback Policy (the “</w:t>
      </w:r>
      <w:r>
        <w:rPr>
          <w:rFonts w:ascii="Times New Roman;Times;serif" w:hAnsi="Times New Roman;Times;serif"/>
          <w:color w:val="000000"/>
          <w:sz w:val="24"/>
          <w:u w:val="single"/>
        </w:rPr>
        <w:t>Policy</w:t>
      </w:r>
      <w:r>
        <w:rPr>
          <w:rFonts w:ascii="Times New Roman;Times;serif" w:hAnsi="Times New Roman;Times;serif"/>
          <w:color w:val="000000"/>
          <w:sz w:val="24"/>
        </w:rPr>
        <w:t>”). Capitalized terms used but not otherwise defined in this Acknowledgement Form (this “</w:t>
      </w:r>
      <w:r>
        <w:rPr>
          <w:rFonts w:ascii="Times New Roman;Times;serif" w:hAnsi="Times New Roman;Times;serif"/>
          <w:color w:val="000000"/>
          <w:sz w:val="24"/>
          <w:u w:val="single"/>
        </w:rPr>
        <w:t>Acknowledgement Form</w:t>
      </w:r>
      <w:r>
        <w:rPr>
          <w:rFonts w:ascii="Times New Roman;Times;serif" w:hAnsi="Times New Roman;Times;serif"/>
          <w:color w:val="000000"/>
          <w:sz w:val="24"/>
        </w:rPr>
        <w:t>”) shall have the meanings ascribed to such terms in the Policy.</w:t>
      </w:r>
    </w:p>
    <w:p>
      <w:pPr>
        <w:pStyle w:val="TextBody"/>
        <w:bidi w:val="0"/>
        <w:spacing w:before="0" w:after="240"/>
        <w:jc w:val="both"/>
        <w:rPr>
          <w:rFonts w:ascii="Times New Roman;Times;serif" w:hAnsi="Times New Roman;Times;serif"/>
          <w:color w:val="000000"/>
          <w:sz w:val="24"/>
        </w:rPr>
      </w:pPr>
      <w:r>
        <w:rPr>
          <w:rFonts w:ascii="Times New Roman;Times;serif" w:hAnsi="Times New Roman;Times;serif"/>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w:t>
      </w:r>
    </w:p>
    <w:p>
      <w:pPr>
        <w:pStyle w:val="TextBody"/>
        <w:bidi w:val="0"/>
        <w:spacing w:before="240" w:after="835"/>
        <w:jc w:val="left"/>
        <w:rPr/>
      </w:pPr>
      <w:r>
        <w:rPr/>
      </w:r>
    </w:p>
    <w:p>
      <w:pPr>
        <w:pStyle w:val="TextBody"/>
        <w:bidi w:val="0"/>
        <w:spacing w:before="0" w:after="240"/>
        <w:ind w:left="4680" w:right="0" w:hanging="0"/>
        <w:jc w:val="both"/>
        <w:rPr>
          <w:rFonts w:ascii="Times New Roman;Times;serif" w:hAnsi="Times New Roman;Times;serif"/>
          <w:color w:val="000000"/>
          <w:sz w:val="24"/>
        </w:rPr>
      </w:pPr>
      <w:r>
        <w:rPr>
          <w:rFonts w:ascii="Times New Roman;Times;serif" w:hAnsi="Times New Roman;Times;serif"/>
          <w:color w:val="000000"/>
          <w:sz w:val="24"/>
        </w:rPr>
        <w:t>Sign: __________________________</w:t>
      </w:r>
    </w:p>
    <w:p>
      <w:pPr>
        <w:pStyle w:val="TextBody"/>
        <w:bidi w:val="0"/>
        <w:spacing w:before="0" w:after="240"/>
        <w:ind w:left="4680" w:right="0" w:hanging="0"/>
        <w:jc w:val="both"/>
        <w:rPr>
          <w:rFonts w:ascii="Times New Roman;Times;serif" w:hAnsi="Times New Roman;Times;serif"/>
          <w:color w:val="000000"/>
          <w:sz w:val="24"/>
        </w:rPr>
      </w:pPr>
      <w:r>
        <w:rPr>
          <w:rFonts w:ascii="Times New Roman;Times;serif" w:hAnsi="Times New Roman;Times;serif"/>
          <w:color w:val="000000"/>
          <w:sz w:val="24"/>
        </w:rPr>
        <w:t>Name:      [Employee]</w:t>
      </w:r>
    </w:p>
    <w:p>
      <w:pPr>
        <w:pStyle w:val="TextBody"/>
        <w:bidi w:val="0"/>
        <w:spacing w:before="0" w:after="240"/>
        <w:jc w:val="left"/>
        <w:rPr/>
      </w:pPr>
      <w:r>
        <w:rPr/>
      </w:r>
    </w:p>
    <w:p>
      <w:pPr>
        <w:pStyle w:val="TextBody"/>
        <w:bidi w:val="0"/>
        <w:spacing w:before="0" w:after="240"/>
        <w:ind w:left="4680" w:right="0" w:hanging="0"/>
        <w:jc w:val="both"/>
        <w:rPr>
          <w:rFonts w:ascii="Times New Roman;Times;serif" w:hAnsi="Times New Roman;Times;serif"/>
          <w:color w:val="000000"/>
          <w:sz w:val="24"/>
        </w:rPr>
      </w:pPr>
      <w:r>
        <w:rPr>
          <w:rFonts w:ascii="Times New Roman;Times;serif" w:hAnsi="Times New Roman;Times;serif"/>
          <w:color w:val="000000"/>
          <w:sz w:val="24"/>
        </w:rPr>
        <w:t>Date: __________________________</w:t>
      </w:r>
    </w:p>
    <w:p>
      <w:pPr>
        <w:pStyle w:val="TextBody"/>
        <w:bidi w:val="0"/>
        <w:spacing w:before="0" w:after="0"/>
        <w:jc w:val="left"/>
        <w:rPr/>
      </w:pPr>
      <w:r>
        <w:rPr/>
      </w:r>
    </w:p>
    <w:p>
      <w:pPr>
        <w:pStyle w:val="TextBody"/>
        <w:bidi w:val="0"/>
        <w:spacing w:before="11" w:after="283"/>
        <w:jc w:val="left"/>
        <w:rPr/>
      </w:pPr>
      <w:r>
        <w:rPr/>
      </w:r>
    </w:p>
    <w:p>
      <w:pPr>
        <w:pStyle w:val="TextBody"/>
        <w:bidi w:val="0"/>
        <w:spacing w:before="11" w:after="283"/>
        <w:jc w:val="left"/>
        <w:rPr/>
      </w:pPr>
      <w:r>
        <w:rPr/>
      </w:r>
    </w:p>
    <w:p>
      <w:pPr>
        <w:pStyle w:val="TextBody"/>
        <w:bidi w:val="0"/>
        <w:spacing w:before="11" w:after="283"/>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Dodd-Frank Clawback Policy</w:t>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Effective October 2, 2023 | PAGE 4</w:t>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3730/000010373012000031/exhhibit3-1.htm" TargetMode="External"/><Relationship Id="rId4" Type="http://schemas.openxmlformats.org/officeDocument/2006/relationships/hyperlink" Target="https://www.sec.gov/Archives/edgar/data/103730/000010373012000031/exhhibit3-1.htm" TargetMode="External"/><Relationship Id="rId5" Type="http://schemas.openxmlformats.org/officeDocument/2006/relationships/hyperlink" Target="https://www.sec.gov/Archives/edgar/data/103730/000120677411001322/exhibit3-2.htm" TargetMode="External"/><Relationship Id="rId6" Type="http://schemas.openxmlformats.org/officeDocument/2006/relationships/hyperlink" Target="https://www.sec.gov/Archives/edgar/data/103730/000120677411001322/exhibit3-2.htm" TargetMode="External"/><Relationship Id="rId7" Type="http://schemas.openxmlformats.org/officeDocument/2006/relationships/hyperlink" Target="https://www.sec.gov/Archives/edgar/data/103730/000010373015000037/exhibit3-1.htm" TargetMode="External"/><Relationship Id="rId8" Type="http://schemas.openxmlformats.org/officeDocument/2006/relationships/hyperlink" Target="https://www.sec.gov/Archives/edgar/data/103730/000010373015000037/exhibit3-1.htm" TargetMode="External"/><Relationship Id="rId9" Type="http://schemas.openxmlformats.org/officeDocument/2006/relationships/hyperlink" Target="https://www.sec.gov/Archives/edgar/data/103730/000010373023000010/exhibit3-1.htm" TargetMode="External"/><Relationship Id="rId10" Type="http://schemas.openxmlformats.org/officeDocument/2006/relationships/hyperlink" Target="https://www.sec.gov/Archives/edgar/data/103730/000010373023000010/exhibit3-1.htm" TargetMode="External"/><Relationship Id="rId11" Type="http://schemas.openxmlformats.org/officeDocument/2006/relationships/hyperlink" Target="https://www.sec.gov/Archives/edgar/data/103730/000010373018000027/exhibit4-1.htm" TargetMode="External"/><Relationship Id="rId12" Type="http://schemas.openxmlformats.org/officeDocument/2006/relationships/hyperlink" Target="https://www.sec.gov/Archives/edgar/data/103730/000010373018000027/exhibit4-1.htm" TargetMode="External"/><Relationship Id="rId13" Type="http://schemas.openxmlformats.org/officeDocument/2006/relationships/hyperlink" Target="https://www.sec.gov/Archives/edgar/data/103730/000010373018000027/exhibit4-2.htm" TargetMode="External"/><Relationship Id="rId14" Type="http://schemas.openxmlformats.org/officeDocument/2006/relationships/hyperlink" Target="https://www.sec.gov/Archives/edgar/data/103730/000010373018000027/exhibit4-2.htm" TargetMode="External"/><Relationship Id="rId15" Type="http://schemas.openxmlformats.org/officeDocument/2006/relationships/hyperlink" Target="https://www.sec.gov/Archives/edgar/data/103730/000010373022000072/exhibit4-1.htm" TargetMode="External"/><Relationship Id="rId16" Type="http://schemas.openxmlformats.org/officeDocument/2006/relationships/hyperlink" Target="https://www.sec.gov/Archives/edgar/data/103730/000010373022000072/exhibit4-1.htm" TargetMode="External"/><Relationship Id="rId17" Type="http://schemas.openxmlformats.org/officeDocument/2006/relationships/hyperlink" Target="https://www.sec.gov/Archives/edgar/data/103730/000010373021000003/exhibit4-1.htm" TargetMode="External"/><Relationship Id="rId18" Type="http://schemas.openxmlformats.org/officeDocument/2006/relationships/hyperlink" Target="https://www.sec.gov/Archives/edgar/data/103730/000010373021000003/exhibit4-1.htm" TargetMode="External"/><Relationship Id="rId19" Type="http://schemas.openxmlformats.org/officeDocument/2006/relationships/hyperlink" Target="https://www.sec.gov/Archives/edgar/data/103730/000010373023000078/exhibit4-1.htm" TargetMode="External"/><Relationship Id="rId20" Type="http://schemas.openxmlformats.org/officeDocument/2006/relationships/hyperlink" Target="https://www.sec.gov/Archives/edgar/data/103730/000010373023000078/exhibit4-1.htm" TargetMode="External"/><Relationship Id="rId21" Type="http://schemas.openxmlformats.org/officeDocument/2006/relationships/hyperlink" Target="https://www.sec.gov/Archives/edgar/data/103730/000010373017000014/vishay_def14a.htm" TargetMode="External"/><Relationship Id="rId22" Type="http://schemas.openxmlformats.org/officeDocument/2006/relationships/hyperlink" Target="https://www.sec.gov/Archives/edgar/data/103730/000010373017000014/vishay_def14a.htm" TargetMode="External"/><Relationship Id="rId23" Type="http://schemas.openxmlformats.org/officeDocument/2006/relationships/hyperlink" Target="https://www.sec.gov/Archives/edgar/data/103730/000010373014000014/vishay_def14a.htm" TargetMode="External"/><Relationship Id="rId24" Type="http://schemas.openxmlformats.org/officeDocument/2006/relationships/hyperlink" Target="https://www.sec.gov/Archives/edgar/data/103730/000010373014000014/vishay_def14a.htm" TargetMode="External"/><Relationship Id="rId25" Type="http://schemas.openxmlformats.org/officeDocument/2006/relationships/hyperlink" Target="https://www.sec.gov/Archives/edgar/data/103730/000010373023000013/exhibit10-3.htm" TargetMode="External"/><Relationship Id="rId26" Type="http://schemas.openxmlformats.org/officeDocument/2006/relationships/hyperlink" Target="https://www.sec.gov/Archives/edgar/data/103730/000010373023000013/exhibit10-3.htm" TargetMode="External"/><Relationship Id="rId27" Type="http://schemas.openxmlformats.org/officeDocument/2006/relationships/hyperlink" Target="https://www.sec.gov/Archives/edgar/data/103730/000120677404001619/vi71325ex103.htm" TargetMode="External"/><Relationship Id="rId28" Type="http://schemas.openxmlformats.org/officeDocument/2006/relationships/hyperlink" Target="https://www.sec.gov/Archives/edgar/data/103730/000120677404001619/vi71325ex103.htm" TargetMode="External"/><Relationship Id="rId29" Type="http://schemas.openxmlformats.org/officeDocument/2006/relationships/hyperlink" Target="https://www.sec.gov/Archives/edgar/data/103730/000120677410001828/exhibit10-5.htm" TargetMode="External"/><Relationship Id="rId30" Type="http://schemas.openxmlformats.org/officeDocument/2006/relationships/hyperlink" Target="https://www.sec.gov/Archives/edgar/data/103730/000120677410001828/exhibit10-5.htm" TargetMode="External"/><Relationship Id="rId31" Type="http://schemas.openxmlformats.org/officeDocument/2006/relationships/hyperlink" Target="https://www.sec.gov/Archives/edgar/data/103730/000010373011000005/exhibit10-3.htm" TargetMode="External"/><Relationship Id="rId32" Type="http://schemas.openxmlformats.org/officeDocument/2006/relationships/hyperlink" Target="https://www.sec.gov/Archives/edgar/data/103730/000010373011000005/exhibit10-3.htm" TargetMode="External"/><Relationship Id="rId33" Type="http://schemas.openxmlformats.org/officeDocument/2006/relationships/hyperlink" Target="https://www.sec.gov/Archives/edgar/data/103730/000010373021000046/exhibit10-1.htm" TargetMode="External"/><Relationship Id="rId34" Type="http://schemas.openxmlformats.org/officeDocument/2006/relationships/hyperlink" Target="https://www.sec.gov/Archives/edgar/data/103730/000010373021000046/exhibit10-1.htm" TargetMode="External"/><Relationship Id="rId35" Type="http://schemas.openxmlformats.org/officeDocument/2006/relationships/hyperlink" Target="https://www.sec.gov/Archives/edgar/data/103730/000120677404001619/vi71325ex102.htm" TargetMode="External"/><Relationship Id="rId36" Type="http://schemas.openxmlformats.org/officeDocument/2006/relationships/hyperlink" Target="https://www.sec.gov/Archives/edgar/data/103730/000120677404001619/vi71325ex102.htm" TargetMode="External"/><Relationship Id="rId37" Type="http://schemas.openxmlformats.org/officeDocument/2006/relationships/hyperlink" Target="https://www.sec.gov/Archives/edgar/data/103730/000120677410001828/exhibit10-6.htm" TargetMode="External"/><Relationship Id="rId38" Type="http://schemas.openxmlformats.org/officeDocument/2006/relationships/hyperlink" Target="https://www.sec.gov/Archives/edgar/data/103730/000120677410001828/exhibit10-6.htm" TargetMode="External"/><Relationship Id="rId39" Type="http://schemas.openxmlformats.org/officeDocument/2006/relationships/hyperlink" Target="https://www.sec.gov/Archives/edgar/data/103730/000010373011000005/exhibit10-2.htm" TargetMode="External"/><Relationship Id="rId40" Type="http://schemas.openxmlformats.org/officeDocument/2006/relationships/hyperlink" Target="https://www.sec.gov/Archives/edgar/data/103730/000010373011000005/exhibit10-2.htm" TargetMode="External"/><Relationship Id="rId41" Type="http://schemas.openxmlformats.org/officeDocument/2006/relationships/hyperlink" Target="https://www.sec.gov/Archives/edgar/data/103730/000010373021000030/exhibit10-1.htm" TargetMode="External"/><Relationship Id="rId42" Type="http://schemas.openxmlformats.org/officeDocument/2006/relationships/hyperlink" Target="https://www.sec.gov/Archives/edgar/data/103730/000010373021000030/exhibit10-1.htm" TargetMode="External"/><Relationship Id="rId43" Type="http://schemas.openxmlformats.org/officeDocument/2006/relationships/hyperlink" Target="https://www.sec.gov/Archives/edgar/data/103730/000010373022000044/exhibit10-1.htm" TargetMode="External"/><Relationship Id="rId44" Type="http://schemas.openxmlformats.org/officeDocument/2006/relationships/hyperlink" Target="https://www.sec.gov/Archives/edgar/data/103730/000010373022000044/exhibit10-1.htm" TargetMode="External"/><Relationship Id="rId45" Type="http://schemas.openxmlformats.org/officeDocument/2006/relationships/hyperlink" Target="https://www.sec.gov/Archives/edgar/data/103730/000010373022000044/exhibit10-1.htm" TargetMode="External"/><Relationship Id="rId46" Type="http://schemas.openxmlformats.org/officeDocument/2006/relationships/hyperlink" Target="https://www.sec.gov/Archives/edgar/data/103730/000010373018000007/exhibit10-5.htm" TargetMode="External"/><Relationship Id="rId47" Type="http://schemas.openxmlformats.org/officeDocument/2006/relationships/hyperlink" Target="https://www.sec.gov/Archives/edgar/data/103730/000010373018000007/exhibit10-5.htm" TargetMode="External"/><Relationship Id="rId48" Type="http://schemas.openxmlformats.org/officeDocument/2006/relationships/hyperlink" Target="https://www.sec.gov/Archives/edgar/data/103730/000010373020000052/exhibit10-1.htm" TargetMode="External"/><Relationship Id="rId49" Type="http://schemas.openxmlformats.org/officeDocument/2006/relationships/hyperlink" Target="https://www.sec.gov/Archives/edgar/data/103730/000010373020000052/exhibit10-1.htm" TargetMode="External"/><Relationship Id="rId50" Type="http://schemas.openxmlformats.org/officeDocument/2006/relationships/hyperlink" Target="https://www.sec.gov/Archives/edgar/data/103730/000010373021000030/exhibit10-6.htm" TargetMode="External"/><Relationship Id="rId51" Type="http://schemas.openxmlformats.org/officeDocument/2006/relationships/hyperlink" Target="https://www.sec.gov/Archives/edgar/data/103730/000010373021000030/exhibit10-6.htm" TargetMode="External"/><Relationship Id="rId52" Type="http://schemas.openxmlformats.org/officeDocument/2006/relationships/hyperlink" Target="https://www.sec.gov/Archives/edgar/data/103730/000010373022000044/exhibit10-2.htm" TargetMode="External"/><Relationship Id="rId53" Type="http://schemas.openxmlformats.org/officeDocument/2006/relationships/hyperlink" Target="https://www.sec.gov/Archives/edgar/data/103730/000010373022000044/exhibit10-2.htm" TargetMode="External"/><Relationship Id="rId54" Type="http://schemas.openxmlformats.org/officeDocument/2006/relationships/hyperlink" Target="https://www.sec.gov/Archives/edgar/data/103730/000010373018000007/exhibit10-1.htm" TargetMode="External"/><Relationship Id="rId55" Type="http://schemas.openxmlformats.org/officeDocument/2006/relationships/hyperlink" Target="https://www.sec.gov/Archives/edgar/data/103730/000010373018000007/exhibit10-1.htm" TargetMode="External"/><Relationship Id="rId56" Type="http://schemas.openxmlformats.org/officeDocument/2006/relationships/hyperlink" Target="https://www.sec.gov/Archives/edgar/data/103730/000010373020000016/exhibit10-1.htm" TargetMode="External"/><Relationship Id="rId57" Type="http://schemas.openxmlformats.org/officeDocument/2006/relationships/hyperlink" Target="https://www.sec.gov/Archives/edgar/data/103730/000010373020000016/exhibit10-1.htm" TargetMode="External"/><Relationship Id="rId58" Type="http://schemas.openxmlformats.org/officeDocument/2006/relationships/hyperlink" Target="https://www.sec.gov/Archives/edgar/data/103730/000010373021000030/exhibit10-2.htm" TargetMode="External"/><Relationship Id="rId59" Type="http://schemas.openxmlformats.org/officeDocument/2006/relationships/hyperlink" Target="https://www.sec.gov/Archives/edgar/data/103730/000010373021000030/exhibit10-2.htm" TargetMode="External"/><Relationship Id="rId60" Type="http://schemas.openxmlformats.org/officeDocument/2006/relationships/hyperlink" Target="https://www.sec.gov/Archives/edgar/data/103730/000010373022000044/exhibit10-3.htm" TargetMode="External"/><Relationship Id="rId61" Type="http://schemas.openxmlformats.org/officeDocument/2006/relationships/hyperlink" Target="https://www.sec.gov/Archives/edgar/data/103730/000010373022000044/exhibit10-3.htm" TargetMode="External"/><Relationship Id="rId62" Type="http://schemas.openxmlformats.org/officeDocument/2006/relationships/hyperlink" Target="https://www.sec.gov/Archives/edgar/data/103730/000010373012000011/exhibit10-31.htm" TargetMode="External"/><Relationship Id="rId63" Type="http://schemas.openxmlformats.org/officeDocument/2006/relationships/hyperlink" Target="https://www.sec.gov/Archives/edgar/data/103730/000010373012000011/exhibit10-31.htm" TargetMode="External"/><Relationship Id="rId64" Type="http://schemas.openxmlformats.org/officeDocument/2006/relationships/hyperlink" Target="https://www.sec.gov/Archives/edgar/data/103730/000010373014000021/exhibit10-3.htm" TargetMode="External"/><Relationship Id="rId65" Type="http://schemas.openxmlformats.org/officeDocument/2006/relationships/hyperlink" Target="https://www.sec.gov/Archives/edgar/data/103730/000010373014000021/exhibit10-3.htm" TargetMode="External"/><Relationship Id="rId66" Type="http://schemas.openxmlformats.org/officeDocument/2006/relationships/hyperlink" Target="https://www.sec.gov/Archives/edgar/data/103730/000010373015000022/exhibit10-4.htm" TargetMode="External"/><Relationship Id="rId67" Type="http://schemas.openxmlformats.org/officeDocument/2006/relationships/hyperlink" Target="https://www.sec.gov/Archives/edgar/data/103730/000010373015000022/exhibit10-4.htm" TargetMode="External"/><Relationship Id="rId68" Type="http://schemas.openxmlformats.org/officeDocument/2006/relationships/hyperlink" Target="https://www.sec.gov/Archives/edgar/data/103730/000010373018000007/exhibit10-2.htm" TargetMode="External"/><Relationship Id="rId69" Type="http://schemas.openxmlformats.org/officeDocument/2006/relationships/hyperlink" Target="https://www.sec.gov/Archives/edgar/data/103730/000010373018000007/exhibit10-2.htm" TargetMode="External"/><Relationship Id="rId70" Type="http://schemas.openxmlformats.org/officeDocument/2006/relationships/hyperlink" Target="https://www.sec.gov/Archives/edgar/data/103730/000010373021000030/exhibit10-3.htm" TargetMode="External"/><Relationship Id="rId71" Type="http://schemas.openxmlformats.org/officeDocument/2006/relationships/hyperlink" Target="https://www.sec.gov/Archives/edgar/data/103730/000010373021000030/exhibit10-3.htm" TargetMode="External"/><Relationship Id="rId72" Type="http://schemas.openxmlformats.org/officeDocument/2006/relationships/hyperlink" Target="https://www.sec.gov/Archives/edgar/data/103730/000010373022000072/exhibit10-8.htm" TargetMode="External"/><Relationship Id="rId73" Type="http://schemas.openxmlformats.org/officeDocument/2006/relationships/hyperlink" Target="https://www.sec.gov/Archives/edgar/data/103730/000010373022000072/exhibit10-8.htm" TargetMode="External"/><Relationship Id="rId74" Type="http://schemas.openxmlformats.org/officeDocument/2006/relationships/hyperlink" Target="https://www.sec.gov/Archives/edgar/data/103730/000010373022000072/exhibit10-8.htm" TargetMode="External"/><Relationship Id="rId75" Type="http://schemas.openxmlformats.org/officeDocument/2006/relationships/hyperlink" Target="https://www.sec.gov/Archives/edgar/data/103730/000010373018000007/exhibit10-3.htm" TargetMode="External"/><Relationship Id="rId76" Type="http://schemas.openxmlformats.org/officeDocument/2006/relationships/hyperlink" Target="https://www.sec.gov/Archives/edgar/data/103730/000010373018000007/exhibit10-3.htm" TargetMode="External"/><Relationship Id="rId77" Type="http://schemas.openxmlformats.org/officeDocument/2006/relationships/hyperlink" Target="https://www.sec.gov/Archives/edgar/data/103730/000010373021000030/exhibit10-4.htm" TargetMode="External"/><Relationship Id="rId78" Type="http://schemas.openxmlformats.org/officeDocument/2006/relationships/hyperlink" Target="https://www.sec.gov/Archives/edgar/data/103730/000010373021000030/exhibit10-4.htm" TargetMode="External"/><Relationship Id="rId79" Type="http://schemas.openxmlformats.org/officeDocument/2006/relationships/hyperlink" Target="https://www.sec.gov/Archives/edgar/data/103730/000010373022000072/exhibit10-9.htm" TargetMode="External"/><Relationship Id="rId80" Type="http://schemas.openxmlformats.org/officeDocument/2006/relationships/hyperlink" Target="https://www.sec.gov/Archives/edgar/data/103730/000010373022000072/exhibit10-9.htm" TargetMode="External"/><Relationship Id="rId81" Type="http://schemas.openxmlformats.org/officeDocument/2006/relationships/hyperlink" Target="https://www.sec.gov/Archives/edgar/data/103730/000010373022000072/exhibit10-9.htm" TargetMode="External"/><Relationship Id="rId82" Type="http://schemas.openxmlformats.org/officeDocument/2006/relationships/hyperlink" Target="https://www.sec.gov/Archives/edgar/data/103730/000010373018000007/exhibit10-4.htm" TargetMode="External"/><Relationship Id="rId83" Type="http://schemas.openxmlformats.org/officeDocument/2006/relationships/hyperlink" Target="https://www.sec.gov/Archives/edgar/data/103730/000010373018000007/exhibit10-4.htm" TargetMode="External"/><Relationship Id="rId84" Type="http://schemas.openxmlformats.org/officeDocument/2006/relationships/hyperlink" Target="https://www.sec.gov/Archives/edgar/data/103730/000010373021000030/exhibit10-5.htm" TargetMode="External"/><Relationship Id="rId85" Type="http://schemas.openxmlformats.org/officeDocument/2006/relationships/hyperlink" Target="https://www.sec.gov/Archives/edgar/data/103730/000010373021000030/exhibit10-5.htm" TargetMode="External"/><Relationship Id="rId86" Type="http://schemas.openxmlformats.org/officeDocument/2006/relationships/hyperlink" Target="https://www.sec.gov/Archives/edgar/data/103730/000010373022000072/exhibit10-10.htm" TargetMode="External"/><Relationship Id="rId87" Type="http://schemas.openxmlformats.org/officeDocument/2006/relationships/hyperlink" Target="https://www.sec.gov/Archives/edgar/data/103730/000010373022000072/exhibit10-10.htm" TargetMode="External"/><Relationship Id="rId88" Type="http://schemas.openxmlformats.org/officeDocument/2006/relationships/hyperlink" Target="https://www.sec.gov/Archives/edgar/data/103730/000010373020000052/exhibit10-2.htm" TargetMode="External"/><Relationship Id="rId89" Type="http://schemas.openxmlformats.org/officeDocument/2006/relationships/hyperlink" Target="https://www.sec.gov/Archives/edgar/data/103730/000010373020000052/exhibit10-2.htm" TargetMode="External"/><Relationship Id="rId90" Type="http://schemas.openxmlformats.org/officeDocument/2006/relationships/hyperlink" Target="https://www.sec.gov/Archives/edgar/data/103730/000010373021000030/exhibit10-7.htm" TargetMode="External"/><Relationship Id="rId91" Type="http://schemas.openxmlformats.org/officeDocument/2006/relationships/hyperlink" Target="https://www.sec.gov/Archives/edgar/data/103730/000010373021000030/exhibit10-7.htm" TargetMode="External"/><Relationship Id="rId92" Type="http://schemas.openxmlformats.org/officeDocument/2006/relationships/hyperlink" Target="https://www.sec.gov/Archives/edgar/data/103730/000010373022000044/exhibit10-4.htm" TargetMode="External"/><Relationship Id="rId93" Type="http://schemas.openxmlformats.org/officeDocument/2006/relationships/hyperlink" Target="https://www.sec.gov/Archives/edgar/data/103730/000010373022000044/exhibit10-4.htm" TargetMode="External"/><Relationship Id="rId94" Type="http://schemas.openxmlformats.org/officeDocument/2006/relationships/hyperlink" Target="https://www.sec.gov/Archives/edgar/data/103730/000010373022000044/exhibit10-5.htm" TargetMode="External"/><Relationship Id="rId95" Type="http://schemas.openxmlformats.org/officeDocument/2006/relationships/hyperlink" Target="https://www.sec.gov/Archives/edgar/data/103730/000010373022000044/exhibit10-5.htm" TargetMode="External"/><Relationship Id="rId96" Type="http://schemas.openxmlformats.org/officeDocument/2006/relationships/hyperlink" Target="https://www.sec.gov/Archives/edgar/data/103730/000010373020000052/exhibit10-3.htm" TargetMode="External"/><Relationship Id="rId97" Type="http://schemas.openxmlformats.org/officeDocument/2006/relationships/hyperlink" Target="https://www.sec.gov/Archives/edgar/data/103730/000010373020000052/exhibit10-3.htm" TargetMode="External"/><Relationship Id="rId98" Type="http://schemas.openxmlformats.org/officeDocument/2006/relationships/hyperlink" Target="https://www.sec.gov/Archives/edgar/data/103730/000010373021000030/exhibit10-8.htm" TargetMode="External"/><Relationship Id="rId99" Type="http://schemas.openxmlformats.org/officeDocument/2006/relationships/hyperlink" Target="https://www.sec.gov/Archives/edgar/data/103730/000010373021000030/exhibit10-8.htm" TargetMode="External"/><Relationship Id="rId100" Type="http://schemas.openxmlformats.org/officeDocument/2006/relationships/hyperlink" Target="https://www.sec.gov/Archives/edgar/data/103730/000010373022000044/exhibit10-6.htm" TargetMode="External"/><Relationship Id="rId101" Type="http://schemas.openxmlformats.org/officeDocument/2006/relationships/hyperlink" Target="https://www.sec.gov/Archives/edgar/data/103730/000010373022000044/exhibit10-6.htm" TargetMode="External"/><Relationship Id="rId102" Type="http://schemas.openxmlformats.org/officeDocument/2006/relationships/hyperlink" Target="https://www.sec.gov/Archives/edgar/data/103730/000010373022000044/exhibit10-7.htm" TargetMode="External"/><Relationship Id="rId103" Type="http://schemas.openxmlformats.org/officeDocument/2006/relationships/hyperlink" Target="https://www.sec.gov/Archives/edgar/data/103730/000010373022000044/exhibit10-7.htm" TargetMode="External"/><Relationship Id="rId104" Type="http://schemas.openxmlformats.org/officeDocument/2006/relationships/hyperlink" Target="https://www.sec.gov/Archives/edgar/data/103730/000010373016000113/exhibit10-1.htm" TargetMode="External"/><Relationship Id="rId105" Type="http://schemas.openxmlformats.org/officeDocument/2006/relationships/hyperlink" Target="https://www.sec.gov/Archives/edgar/data/103730/000010373016000113/exhibit10-1.htm" TargetMode="External"/><Relationship Id="rId106" Type="http://schemas.openxmlformats.org/officeDocument/2006/relationships/hyperlink" Target="https://www.sec.gov/Archives/edgar/data/103730/000120677410001484/exhibit10-1.htm" TargetMode="External"/><Relationship Id="rId107" Type="http://schemas.openxmlformats.org/officeDocument/2006/relationships/hyperlink" Target="https://www.sec.gov/Archives/edgar/data/103730/000120677410001484/exhibit10-1.htm" TargetMode="External"/><Relationship Id="rId108" Type="http://schemas.openxmlformats.org/officeDocument/2006/relationships/hyperlink" Target="https://www.sec.gov/Archives/edgar/data/103730/000120677410001484/exhibit10-2.htm" TargetMode="External"/><Relationship Id="rId109" Type="http://schemas.openxmlformats.org/officeDocument/2006/relationships/hyperlink" Target="https://www.sec.gov/Archives/edgar/data/103730/000120677410001484/exhibit10-2.htm" TargetMode="External"/><Relationship Id="rId110" Type="http://schemas.openxmlformats.org/officeDocument/2006/relationships/hyperlink" Target="https://www.sec.gov/Archives/edgar/data/1487952/000120677410001567/exhibit10-1.htm" TargetMode="External"/><Relationship Id="rId111" Type="http://schemas.openxmlformats.org/officeDocument/2006/relationships/hyperlink" Target="https://www.sec.gov/Archives/edgar/data/1487952/000120677410001567/exhibit10-1.htm" TargetMode="External"/><Relationship Id="rId112" Type="http://schemas.openxmlformats.org/officeDocument/2006/relationships/hyperlink" Target="https://www.sec.gov/Archives/edgar/data/1487952/000120677410001567/exhibit10-2.htm" TargetMode="External"/><Relationship Id="rId113" Type="http://schemas.openxmlformats.org/officeDocument/2006/relationships/hyperlink" Target="https://www.sec.gov/Archives/edgar/data/1487952/000120677410001567/exhibit10-2.htm" TargetMode="External"/><Relationship Id="rId114" Type="http://schemas.openxmlformats.org/officeDocument/2006/relationships/hyperlink" Target="https://www.sec.gov/Archives/edgar/data/1487952/000120677410001567/exhibit10-4.htm" TargetMode="External"/><Relationship Id="rId115" Type="http://schemas.openxmlformats.org/officeDocument/2006/relationships/hyperlink" Target="https://www.sec.gov/Archives/edgar/data/1487952/000120677410001567/exhibit10-4.htm" TargetMode="External"/><Relationship Id="rId116" Type="http://schemas.openxmlformats.org/officeDocument/2006/relationships/hyperlink" Target="https://www.sec.gov/Archives/edgar/data/1487952/000120677410001567/exhibit10-6.htm" TargetMode="External"/><Relationship Id="rId117" Type="http://schemas.openxmlformats.org/officeDocument/2006/relationships/hyperlink" Target="https://www.sec.gov/Archives/edgar/data/1487952/000120677410001567/exhibit10-6.htm" TargetMode="External"/><Relationship Id="rId118" Type="http://schemas.openxmlformats.org/officeDocument/2006/relationships/hyperlink" Target="https://www.sec.gov/Archives/edgar/data/1487952/000120677410001567/exhibit10-8.htm" TargetMode="External"/><Relationship Id="rId119" Type="http://schemas.openxmlformats.org/officeDocument/2006/relationships/hyperlink" Target="https://www.sec.gov/Archives/edgar/data/1487952/000120677410001567/exhibit10-8.htm" TargetMode="External"/><Relationship Id="rId120" Type="http://schemas.openxmlformats.org/officeDocument/2006/relationships/hyperlink" Target="https://www.sec.gov/Archives/edgar/data/1487952/000120677410001567/exhibit10-9.htm" TargetMode="External"/><Relationship Id="rId121" Type="http://schemas.openxmlformats.org/officeDocument/2006/relationships/hyperlink" Target="https://www.sec.gov/Archives/edgar/data/1487952/000120677410001567/exhibit10-9.htm" TargetMode="External"/><Relationship Id="rId122" Type="http://schemas.openxmlformats.org/officeDocument/2006/relationships/hyperlink" Target="https://www.sec.gov/Archives/edgar/data/1487952/000120677410001567/exhibit10-10.htm" TargetMode="External"/><Relationship Id="rId123" Type="http://schemas.openxmlformats.org/officeDocument/2006/relationships/hyperlink" Target="https://www.sec.gov/Archives/edgar/data/1487952/000120677410001567/exhibit10-10.htm" TargetMode="External"/><Relationship Id="rId124" Type="http://schemas.openxmlformats.org/officeDocument/2006/relationships/hyperlink" Target="https://www.sec.gov/Archives/edgar/data/1487952/000120677410001567/exhibit10-11.htm" TargetMode="External"/><Relationship Id="rId125" Type="http://schemas.openxmlformats.org/officeDocument/2006/relationships/hyperlink" Target="https://www.sec.gov/Archives/edgar/data/1487952/000120677410001567/exhibit10-11.htm" TargetMode="External"/><Relationship Id="rId126" Type="http://schemas.openxmlformats.org/officeDocument/2006/relationships/hyperlink" Target="https://www.sec.gov/Archives/edgar/data/1487952/000120677410001567/exhibit10-12.htm" TargetMode="External"/><Relationship Id="rId127" Type="http://schemas.openxmlformats.org/officeDocument/2006/relationships/hyperlink" Target="https://www.sec.gov/Archives/edgar/data/1487952/000120677410001567/exhibit10-12.htm" TargetMode="External"/><Relationship Id="rId128" Type="http://schemas.openxmlformats.org/officeDocument/2006/relationships/hyperlink" Target="https://www.sec.gov/Archives/edgar/data/1487952/000120677410001567/exhibit10-13.htm" TargetMode="External"/><Relationship Id="rId129" Type="http://schemas.openxmlformats.org/officeDocument/2006/relationships/hyperlink" Target="https://www.sec.gov/Archives/edgar/data/1487952/000120677410001567/exhibit10-13.htm" TargetMode="External"/><Relationship Id="rId130" Type="http://schemas.openxmlformats.org/officeDocument/2006/relationships/hyperlink" Target="https://www.sec.gov/Archives/edgar/data/103730/000010373019000026/exhibit10-1.htm" TargetMode="External"/><Relationship Id="rId131" Type="http://schemas.openxmlformats.org/officeDocument/2006/relationships/hyperlink" Target="https://www.sec.gov/Archives/edgar/data/103730/000010373019000026/exhibit10-1.htm" TargetMode="External"/><Relationship Id="rId132" Type="http://schemas.openxmlformats.org/officeDocument/2006/relationships/hyperlink" Target="https://www.sec.gov/Archives/edgar/data/103730/000010373019000060/exhibit10-1.htm" TargetMode="External"/><Relationship Id="rId133" Type="http://schemas.openxmlformats.org/officeDocument/2006/relationships/hyperlink" Target="https://www.sec.gov/Archives/edgar/data/103730/000010373019000060/exhibit10-1.htm" TargetMode="External"/><Relationship Id="rId134" Type="http://schemas.openxmlformats.org/officeDocument/2006/relationships/hyperlink" Target="https://www.sec.gov/Archives/edgar/data/103730/000010373023000034/exhibit10-1.htm" TargetMode="External"/><Relationship Id="rId135" Type="http://schemas.openxmlformats.org/officeDocument/2006/relationships/hyperlink" Target="https://www.sec.gov/Archives/edgar/data/103730/000010373023000034/exhibit10-1.htm" TargetMode="External"/><Relationship Id="rId136" Type="http://schemas.openxmlformats.org/officeDocument/2006/relationships/hyperlink" Target="https://www.sec.gov/Archives/edgar/data/103730/000010373023000040/exhibit10-1.htm" TargetMode="External"/><Relationship Id="rId137" Type="http://schemas.openxmlformats.org/officeDocument/2006/relationships/hyperlink" Target="https://www.sec.gov/Archives/edgar/data/103730/000010373023000040/exhibit10-1.htm" TargetMode="External"/><Relationship Id="rId138" Type="http://schemas.openxmlformats.org/officeDocument/2006/relationships/hyperlink" Target="https://www.sec.gov/Archives/edgar/data/103730/000010373020000013/exhibit10-48.htm" TargetMode="External"/><Relationship Id="rId139" Type="http://schemas.openxmlformats.org/officeDocument/2006/relationships/hyperlink" Target="https://www.sec.gov/Archives/edgar/data/103730/000010373020000013/exhibit10-48.htm" TargetMode="External"/><Relationship Id="rId140" Type="http://schemas.openxmlformats.org/officeDocument/2006/relationships/hyperlink" Target="https://www.sec.gov/Archives/edgar/data/103730/000010373020000013/exhibit10-50.htm" TargetMode="External"/><Relationship Id="rId141" Type="http://schemas.openxmlformats.org/officeDocument/2006/relationships/hyperlink" Target="https://www.sec.gov/Archives/edgar/data/103730/000010373020000013/exhibit10-50.htm" TargetMode="External"/><Relationship Id="rId142" Type="http://schemas.openxmlformats.org/officeDocument/2006/relationships/hyperlink" Target="https://www.sec.gov/Archives/edgar/data/103730/000010373021000014/exhibit10-44.htm" TargetMode="External"/><Relationship Id="rId143" Type="http://schemas.openxmlformats.org/officeDocument/2006/relationships/hyperlink" Target="https://www.sec.gov/Archives/edgar/data/103730/000010373021000014/exhibit10-44.htm" TargetMode="External"/><Relationship Id="rId144" Type="http://schemas.openxmlformats.org/officeDocument/2006/relationships/hyperlink" Target="https://www.sec.gov/Archives/edgar/data/103730/000010373021000085/exhibit10-1.htm" TargetMode="External"/><Relationship Id="rId145" Type="http://schemas.openxmlformats.org/officeDocument/2006/relationships/hyperlink" Target="https://www.sec.gov/Archives/edgar/data/103730/000010373021000085/exhibit10-1.htm" TargetMode="External"/><Relationship Id="rId146" Type="http://schemas.openxmlformats.org/officeDocument/2006/relationships/hyperlink" Target="https://www.sec.gov/Archives/edgar/data/103730/000010373023000078/exhibit10-1.htm" TargetMode="External"/><Relationship Id="rId147" Type="http://schemas.openxmlformats.org/officeDocument/2006/relationships/hyperlink" Target="https://www.sec.gov/Archives/edgar/data/103730/000010373023000078/exhibit10-1.htm" TargetMode="External"/><Relationship Id="rId148" Type="http://schemas.openxmlformats.org/officeDocument/2006/relationships/hyperlink" Target="https://www.sec.gov/Archives/edgar/data/103730/000010373023000078/exhibit10-2.htm" TargetMode="External"/><Relationship Id="rId149" Type="http://schemas.openxmlformats.org/officeDocument/2006/relationships/hyperlink" Target="https://www.sec.gov/Archives/edgar/data/103730/000010373023000078/exhibit10-2.htm" TargetMode="External"/><Relationship Id="rId150" Type="http://schemas.openxmlformats.org/officeDocument/2006/relationships/image" Target="media/image2.jpeg"/><Relationship Id="rId151" Type="http://schemas.openxmlformats.org/officeDocument/2006/relationships/fontTable" Target="fontTable.xml"/><Relationship Id="rId1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72581</Words>
  <Characters>406549</Characters>
  <CharactersWithSpaces>483341</CharactersWithSpaces>
  <Paragraphs>17757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