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FORM 10-K</w:t>
      </w:r>
    </w:p>
    <w:p>
      <w:pPr>
        <w:spacing w:after="0" w:line="150" w:lineRule="exact"/>
        <w:rPr>
          <w:sz w:val="24"/>
          <w:szCs w:val="24"/>
          <w:color w:val="auto"/>
        </w:rPr>
      </w:pPr>
    </w:p>
    <w:p>
      <w:pPr>
        <w:ind w:left="2820" w:hanging="165"/>
        <w:spacing w:after="0"/>
        <w:tabs>
          <w:tab w:leader="none" w:pos="2820" w:val="left"/>
        </w:tabs>
        <w:numPr>
          <w:ilvl w:val="0"/>
          <w:numId w:val="1"/>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For the fiscal year ended December 31, 2022</w:t>
      </w:r>
    </w:p>
    <w:p>
      <w:pPr>
        <w:jc w:val="center"/>
        <w:ind w:right="-39"/>
        <w:spacing w:after="0" w:line="209" w:lineRule="auto"/>
        <w:rPr>
          <w:sz w:val="20"/>
          <w:szCs w:val="20"/>
          <w:color w:val="auto"/>
        </w:rPr>
      </w:pPr>
      <w:r>
        <w:rPr>
          <w:rFonts w:ascii="Times New Roman" w:cs="Times New Roman" w:eastAsia="Times New Roman" w:hAnsi="Times New Roman"/>
          <w:sz w:val="10"/>
          <w:szCs w:val="10"/>
          <w:color w:val="auto"/>
        </w:rPr>
        <w:t>or</w:t>
      </w:r>
    </w:p>
    <w:p>
      <w:pPr>
        <w:ind w:left="2700" w:hanging="169"/>
        <w:spacing w:after="0"/>
        <w:tabs>
          <w:tab w:leader="none" w:pos="270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5" w:lineRule="exact"/>
        <w:rPr>
          <w:sz w:val="24"/>
          <w:szCs w:val="24"/>
          <w:color w:val="auto"/>
        </w:rPr>
      </w:pPr>
    </w:p>
    <w:tbl>
      <w:tblPr>
        <w:tblLayout w:type="fixed"/>
        <w:tblInd w:w="10" w:type="dxa"/>
        <w:tblCellMar>
          <w:top w:w="0" w:type="dxa"/>
          <w:left w:w="0" w:type="dxa"/>
          <w:bottom w:w="0" w:type="dxa"/>
          <w:right w:w="0" w:type="dxa"/>
        </w:tblCellMar>
      </w:tblPr>
      <w:tr>
        <w:trPr>
          <w:trHeight w:val="123"/>
        </w:trPr>
        <w:tc>
          <w:tcPr>
            <w:tcW w:w="3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3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color w:val="auto"/>
                <w:w w:val="95"/>
              </w:rPr>
              <w:t>For the transition period from _______ to _______</w:t>
            </w:r>
          </w:p>
        </w:tc>
        <w:tc>
          <w:tcPr>
            <w:tcW w:w="3760" w:type="dxa"/>
            <w:vAlign w:val="bottom"/>
          </w:tcPr>
          <w:p>
            <w:pPr>
              <w:spacing w:after="0"/>
              <w:rPr>
                <w:sz w:val="10"/>
                <w:szCs w:val="10"/>
                <w:color w:val="auto"/>
              </w:rPr>
            </w:pPr>
          </w:p>
        </w:tc>
      </w:tr>
      <w:tr>
        <w:trPr>
          <w:trHeight w:val="268"/>
        </w:trPr>
        <w:tc>
          <w:tcPr>
            <w:tcW w:w="3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color w:val="auto"/>
                <w:w w:val="99"/>
              </w:rPr>
              <w:t xml:space="preserve">Commission file number </w:t>
            </w:r>
            <w:r>
              <w:rPr>
                <w:rFonts w:ascii="Times New Roman" w:cs="Times New Roman" w:eastAsia="Times New Roman" w:hAnsi="Times New Roman"/>
                <w:sz w:val="12"/>
                <w:szCs w:val="12"/>
                <w:b w:val="1"/>
                <w:bCs w:val="1"/>
                <w:color w:val="auto"/>
                <w:w w:val="99"/>
              </w:rPr>
              <w:t>1-7416</w:t>
            </w:r>
          </w:p>
        </w:tc>
        <w:tc>
          <w:tcPr>
            <w:tcW w:w="3760" w:type="dxa"/>
            <w:vAlign w:val="bottom"/>
          </w:tcPr>
          <w:p>
            <w:pPr>
              <w:spacing w:after="0"/>
              <w:rPr>
                <w:sz w:val="23"/>
                <w:szCs w:val="23"/>
                <w:color w:val="auto"/>
              </w:rPr>
            </w:pPr>
          </w:p>
        </w:tc>
      </w:tr>
      <w:tr>
        <w:trPr>
          <w:trHeight w:val="466"/>
        </w:trPr>
        <w:tc>
          <w:tcPr>
            <w:tcW w:w="3600" w:type="dxa"/>
            <w:vAlign w:val="bottom"/>
          </w:tcPr>
          <w:p>
            <w:pPr>
              <w:spacing w:after="0"/>
              <w:rPr>
                <w:sz w:val="24"/>
                <w:szCs w:val="24"/>
                <w:color w:val="auto"/>
              </w:rPr>
            </w:pPr>
          </w:p>
        </w:tc>
        <w:tc>
          <w:tcPr>
            <w:tcW w:w="3940" w:type="dxa"/>
            <w:vAlign w:val="bottom"/>
            <w:gridSpan w:val="3"/>
          </w:tcPr>
          <w:p>
            <w:pPr>
              <w:jc w:val="center"/>
              <w:ind w:left="112"/>
              <w:spacing w:after="0"/>
              <w:rPr>
                <w:sz w:val="20"/>
                <w:szCs w:val="20"/>
                <w:color w:val="auto"/>
              </w:rPr>
            </w:pPr>
            <w:r>
              <w:rPr>
                <w:rFonts w:ascii="Times New Roman" w:cs="Times New Roman" w:eastAsia="Times New Roman" w:hAnsi="Times New Roman"/>
                <w:sz w:val="29"/>
                <w:szCs w:val="29"/>
                <w:b w:val="1"/>
                <w:bCs w:val="1"/>
                <w:color w:val="auto"/>
                <w:w w:val="98"/>
              </w:rPr>
              <w:t>Vishay Intertechnology, Inc.</w:t>
            </w:r>
          </w:p>
        </w:tc>
        <w:tc>
          <w:tcPr>
            <w:tcW w:w="3760" w:type="dxa"/>
            <w:vAlign w:val="bottom"/>
          </w:tcPr>
          <w:p>
            <w:pPr>
              <w:spacing w:after="0"/>
              <w:rPr>
                <w:sz w:val="24"/>
                <w:szCs w:val="24"/>
                <w:color w:val="auto"/>
              </w:rPr>
            </w:pPr>
          </w:p>
        </w:tc>
      </w:tr>
      <w:tr>
        <w:trPr>
          <w:trHeight w:val="155"/>
        </w:trPr>
        <w:tc>
          <w:tcPr>
            <w:tcW w:w="3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60" w:type="dxa"/>
            <w:vAlign w:val="bottom"/>
          </w:tcPr>
          <w:p>
            <w:pPr>
              <w:spacing w:after="0"/>
              <w:rPr>
                <w:sz w:val="13"/>
                <w:szCs w:val="13"/>
                <w:color w:val="auto"/>
              </w:rPr>
            </w:pPr>
          </w:p>
        </w:tc>
      </w:tr>
      <w:tr>
        <w:trPr>
          <w:trHeight w:val="274"/>
        </w:trPr>
        <w:tc>
          <w:tcPr>
            <w:tcW w:w="3600" w:type="dxa"/>
            <w:vAlign w:val="bottom"/>
          </w:tcPr>
          <w:p>
            <w:pPr>
              <w:jc w:val="center"/>
              <w:ind w:left="1687"/>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6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760" w:type="dxa"/>
            <w:vAlign w:val="bottom"/>
          </w:tcPr>
          <w:p>
            <w:pPr>
              <w:jc w:val="right"/>
              <w:ind w:right="2626"/>
              <w:spacing w:after="0"/>
              <w:rPr>
                <w:sz w:val="20"/>
                <w:szCs w:val="20"/>
                <w:color w:val="auto"/>
              </w:rPr>
            </w:pPr>
            <w:r>
              <w:rPr>
                <w:rFonts w:ascii="Times New Roman" w:cs="Times New Roman" w:eastAsia="Times New Roman" w:hAnsi="Times New Roman"/>
                <w:sz w:val="12"/>
                <w:szCs w:val="12"/>
                <w:b w:val="1"/>
                <w:bCs w:val="1"/>
                <w:color w:val="auto"/>
              </w:rPr>
              <w:t>38-1686453</w:t>
            </w:r>
          </w:p>
        </w:tc>
      </w:tr>
      <w:tr>
        <w:trPr>
          <w:trHeight w:val="99"/>
        </w:trPr>
        <w:tc>
          <w:tcPr>
            <w:tcW w:w="3600" w:type="dxa"/>
            <w:vAlign w:val="bottom"/>
          </w:tcPr>
          <w:p>
            <w:pPr>
              <w:jc w:val="center"/>
              <w:ind w:left="1687"/>
              <w:spacing w:after="0" w:line="99" w:lineRule="exact"/>
              <w:rPr>
                <w:sz w:val="20"/>
                <w:szCs w:val="20"/>
                <w:color w:val="auto"/>
              </w:rPr>
            </w:pPr>
            <w:r>
              <w:rPr>
                <w:rFonts w:ascii="Times New Roman" w:cs="Times New Roman" w:eastAsia="Times New Roman" w:hAnsi="Times New Roman"/>
                <w:sz w:val="10"/>
                <w:szCs w:val="10"/>
                <w:color w:val="auto"/>
                <w:w w:val="94"/>
              </w:rPr>
              <w:t>(State or other jurisdiction of</w:t>
            </w:r>
          </w:p>
        </w:tc>
        <w:tc>
          <w:tcPr>
            <w:tcW w:w="6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760" w:type="dxa"/>
            <w:vAlign w:val="bottom"/>
          </w:tcPr>
          <w:p>
            <w:pPr>
              <w:jc w:val="center"/>
              <w:ind w:right="2146"/>
              <w:spacing w:after="0" w:line="99" w:lineRule="exact"/>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123"/>
        </w:trPr>
        <w:tc>
          <w:tcPr>
            <w:tcW w:w="3600" w:type="dxa"/>
            <w:vAlign w:val="bottom"/>
          </w:tcPr>
          <w:p>
            <w:pPr>
              <w:jc w:val="center"/>
              <w:ind w:left="1687"/>
              <w:spacing w:after="0"/>
              <w:rPr>
                <w:sz w:val="20"/>
                <w:szCs w:val="20"/>
                <w:color w:val="auto"/>
              </w:rPr>
            </w:pPr>
            <w:r>
              <w:rPr>
                <w:rFonts w:ascii="Times New Roman" w:cs="Times New Roman" w:eastAsia="Times New Roman" w:hAnsi="Times New Roman"/>
                <w:sz w:val="10"/>
                <w:szCs w:val="10"/>
                <w:color w:val="auto"/>
                <w:w w:val="94"/>
              </w:rPr>
              <w:t>incorporation or organization)</w:t>
            </w:r>
          </w:p>
        </w:tc>
        <w:tc>
          <w:tcPr>
            <w:tcW w:w="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760" w:type="dxa"/>
            <w:vAlign w:val="bottom"/>
          </w:tcPr>
          <w:p>
            <w:pPr>
              <w:spacing w:after="0"/>
              <w:rPr>
                <w:sz w:val="10"/>
                <w:szCs w:val="10"/>
                <w:color w:val="auto"/>
              </w:rPr>
            </w:pPr>
          </w:p>
        </w:tc>
      </w:tr>
      <w:tr>
        <w:trPr>
          <w:trHeight w:val="263"/>
        </w:trPr>
        <w:tc>
          <w:tcPr>
            <w:tcW w:w="3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34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8"/>
              </w:rPr>
              <w:t>63 Lancaster Avenue</w:t>
            </w:r>
          </w:p>
        </w:tc>
        <w:tc>
          <w:tcPr>
            <w:tcW w:w="3760" w:type="dxa"/>
            <w:vAlign w:val="bottom"/>
          </w:tcPr>
          <w:p>
            <w:pPr>
              <w:spacing w:after="0"/>
              <w:rPr>
                <w:sz w:val="22"/>
                <w:szCs w:val="22"/>
                <w:color w:val="auto"/>
              </w:rPr>
            </w:pPr>
          </w:p>
        </w:tc>
      </w:tr>
      <w:tr>
        <w:trPr>
          <w:trHeight w:val="144"/>
        </w:trPr>
        <w:tc>
          <w:tcPr>
            <w:tcW w:w="3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4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Malvern, Pennsylvania 19355-2143</w:t>
            </w:r>
          </w:p>
        </w:tc>
        <w:tc>
          <w:tcPr>
            <w:tcW w:w="3760" w:type="dxa"/>
            <w:vAlign w:val="bottom"/>
          </w:tcPr>
          <w:p>
            <w:pPr>
              <w:spacing w:after="0"/>
              <w:rPr>
                <w:sz w:val="12"/>
                <w:szCs w:val="12"/>
                <w:color w:val="auto"/>
              </w:rPr>
            </w:pPr>
          </w:p>
        </w:tc>
      </w:tr>
      <w:tr>
        <w:trPr>
          <w:trHeight w:val="123"/>
        </w:trPr>
        <w:tc>
          <w:tcPr>
            <w:tcW w:w="3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3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color w:val="auto"/>
                <w:w w:val="95"/>
              </w:rPr>
              <w:t>(Address of principal executive offices)</w:t>
            </w:r>
          </w:p>
        </w:tc>
        <w:tc>
          <w:tcPr>
            <w:tcW w:w="3760" w:type="dxa"/>
            <w:vAlign w:val="bottom"/>
          </w:tcPr>
          <w:p>
            <w:pPr>
              <w:spacing w:after="0"/>
              <w:rPr>
                <w:sz w:val="10"/>
                <w:szCs w:val="10"/>
                <w:color w:val="auto"/>
              </w:rPr>
            </w:pPr>
          </w:p>
        </w:tc>
      </w:tr>
      <w:tr>
        <w:trPr>
          <w:trHeight w:val="264"/>
        </w:trPr>
        <w:tc>
          <w:tcPr>
            <w:tcW w:w="3600" w:type="dxa"/>
            <w:vAlign w:val="bottom"/>
          </w:tcPr>
          <w:p>
            <w:pPr>
              <w:spacing w:after="0"/>
              <w:rPr>
                <w:sz w:val="22"/>
                <w:szCs w:val="22"/>
                <w:color w:val="auto"/>
              </w:rPr>
            </w:pPr>
          </w:p>
        </w:tc>
        <w:tc>
          <w:tcPr>
            <w:tcW w:w="2880" w:type="dxa"/>
            <w:vAlign w:val="bottom"/>
            <w:gridSpan w:val="2"/>
          </w:tcPr>
          <w:p>
            <w:pPr>
              <w:jc w:val="center"/>
              <w:ind w:left="1172"/>
              <w:spacing w:after="0"/>
              <w:rPr>
                <w:sz w:val="20"/>
                <w:szCs w:val="20"/>
                <w:color w:val="auto"/>
              </w:rPr>
            </w:pPr>
            <w:r>
              <w:rPr>
                <w:rFonts w:ascii="Times New Roman" w:cs="Times New Roman" w:eastAsia="Times New Roman" w:hAnsi="Times New Roman"/>
                <w:sz w:val="12"/>
                <w:szCs w:val="12"/>
                <w:b w:val="1"/>
                <w:bCs w:val="1"/>
                <w:color w:val="auto"/>
                <w:w w:val="98"/>
              </w:rPr>
              <w:t>(610) 644-1300</w:t>
            </w:r>
          </w:p>
        </w:tc>
        <w:tc>
          <w:tcPr>
            <w:tcW w:w="106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123"/>
        </w:trPr>
        <w:tc>
          <w:tcPr>
            <w:tcW w:w="3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34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color w:val="auto"/>
                <w:w w:val="94"/>
              </w:rPr>
              <w:t>(Registrant’s telephone number, including area code)</w:t>
            </w:r>
          </w:p>
        </w:tc>
        <w:tc>
          <w:tcPr>
            <w:tcW w:w="3760" w:type="dxa"/>
            <w:vAlign w:val="bottom"/>
          </w:tcPr>
          <w:p>
            <w:pPr>
              <w:spacing w:after="0"/>
              <w:rPr>
                <w:sz w:val="10"/>
                <w:szCs w:val="10"/>
                <w:color w:val="auto"/>
              </w:rPr>
            </w:pPr>
          </w:p>
        </w:tc>
      </w:tr>
      <w:tr>
        <w:trPr>
          <w:trHeight w:val="278"/>
        </w:trPr>
        <w:tc>
          <w:tcPr>
            <w:tcW w:w="3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4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760" w:type="dxa"/>
            <w:vAlign w:val="bottom"/>
          </w:tcPr>
          <w:p>
            <w:pPr>
              <w:spacing w:after="0"/>
              <w:rPr>
                <w:sz w:val="24"/>
                <w:szCs w:val="24"/>
                <w:color w:val="auto"/>
              </w:rPr>
            </w:pPr>
          </w:p>
        </w:tc>
      </w:tr>
      <w:tr>
        <w:trPr>
          <w:trHeight w:val="144"/>
        </w:trPr>
        <w:tc>
          <w:tcPr>
            <w:tcW w:w="3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r>
      <w:tr>
        <w:trPr>
          <w:trHeight w:val="97"/>
        </w:trPr>
        <w:tc>
          <w:tcPr>
            <w:tcW w:w="3600" w:type="dxa"/>
            <w:vAlign w:val="bottom"/>
            <w:tcBorders>
              <w:left w:val="single" w:sz="8" w:color="auto"/>
              <w:bottom w:val="single" w:sz="8" w:color="auto"/>
            </w:tcBorders>
          </w:tcPr>
          <w:p>
            <w:pPr>
              <w:jc w:val="center"/>
              <w:ind w:left="587"/>
              <w:spacing w:after="0" w:line="97" w:lineRule="exact"/>
              <w:rPr>
                <w:sz w:val="20"/>
                <w:szCs w:val="20"/>
                <w:color w:val="auto"/>
              </w:rPr>
            </w:pPr>
            <w:r>
              <w:rPr>
                <w:rFonts w:ascii="Times New Roman" w:cs="Times New Roman" w:eastAsia="Times New Roman" w:hAnsi="Times New Roman"/>
                <w:sz w:val="10"/>
                <w:szCs w:val="10"/>
                <w:color w:val="auto"/>
                <w:w w:val="93"/>
              </w:rPr>
              <w:t>Title of each class</w:t>
            </w:r>
          </w:p>
        </w:tc>
        <w:tc>
          <w:tcPr>
            <w:tcW w:w="600" w:type="dxa"/>
            <w:vAlign w:val="bottom"/>
            <w:tcBorders>
              <w:bottom w:val="single" w:sz="8" w:color="auto"/>
              <w:right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color w:val="auto"/>
                <w:w w:val="97"/>
              </w:rPr>
              <w:t>Trading symbol</w:t>
            </w:r>
          </w:p>
        </w:tc>
        <w:tc>
          <w:tcPr>
            <w:tcW w:w="1060" w:type="dxa"/>
            <w:vAlign w:val="bottom"/>
            <w:tcBorders>
              <w:bottom w:val="single" w:sz="8" w:color="auto"/>
            </w:tcBorders>
          </w:tcPr>
          <w:p>
            <w:pPr>
              <w:spacing w:after="0"/>
              <w:rPr>
                <w:sz w:val="8"/>
                <w:szCs w:val="8"/>
                <w:color w:val="auto"/>
              </w:rPr>
            </w:pPr>
          </w:p>
        </w:tc>
        <w:tc>
          <w:tcPr>
            <w:tcW w:w="3760" w:type="dxa"/>
            <w:vAlign w:val="bottom"/>
            <w:tcBorders>
              <w:bottom w:val="single" w:sz="8" w:color="auto"/>
              <w:right w:val="single" w:sz="8" w:color="auto"/>
            </w:tcBorders>
          </w:tcPr>
          <w:p>
            <w:pPr>
              <w:jc w:val="center"/>
              <w:ind w:right="966"/>
              <w:spacing w:after="0" w:line="97" w:lineRule="exact"/>
              <w:rPr>
                <w:sz w:val="20"/>
                <w:szCs w:val="20"/>
                <w:color w:val="auto"/>
              </w:rPr>
            </w:pPr>
            <w:r>
              <w:rPr>
                <w:rFonts w:ascii="Times New Roman" w:cs="Times New Roman" w:eastAsia="Times New Roman" w:hAnsi="Times New Roman"/>
                <w:sz w:val="10"/>
                <w:szCs w:val="10"/>
                <w:color w:val="auto"/>
                <w:w w:val="95"/>
              </w:rPr>
              <w:t>Name of exchange on which registered</w:t>
            </w:r>
          </w:p>
        </w:tc>
      </w:tr>
      <w:tr>
        <w:trPr>
          <w:trHeight w:val="142"/>
        </w:trPr>
        <w:tc>
          <w:tcPr>
            <w:tcW w:w="3600" w:type="dxa"/>
            <w:vAlign w:val="bottom"/>
            <w:tcBorders>
              <w:left w:val="single" w:sz="8" w:color="auto"/>
              <w:bottom w:val="single" w:sz="8" w:color="auto"/>
            </w:tcBorders>
          </w:tcPr>
          <w:p>
            <w:pPr>
              <w:jc w:val="center"/>
              <w:ind w:left="587"/>
              <w:spacing w:after="0"/>
              <w:rPr>
                <w:sz w:val="20"/>
                <w:szCs w:val="20"/>
                <w:color w:val="auto"/>
              </w:rPr>
            </w:pPr>
            <w:r>
              <w:rPr>
                <w:rFonts w:ascii="Times New Roman" w:cs="Times New Roman" w:eastAsia="Times New Roman" w:hAnsi="Times New Roman"/>
                <w:sz w:val="12"/>
                <w:szCs w:val="12"/>
                <w:color w:val="auto"/>
                <w:w w:val="99"/>
              </w:rPr>
              <w:t>Common stock, par value $0.10 per share</w:t>
            </w:r>
          </w:p>
        </w:tc>
        <w:tc>
          <w:tcPr>
            <w:tcW w:w="60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VSH</w:t>
            </w:r>
          </w:p>
        </w:tc>
        <w:tc>
          <w:tcPr>
            <w:tcW w:w="1060" w:type="dxa"/>
            <w:vAlign w:val="bottom"/>
            <w:tcBorders>
              <w:bottom w:val="single" w:sz="8" w:color="auto"/>
            </w:tcBorders>
          </w:tcPr>
          <w:p>
            <w:pPr>
              <w:spacing w:after="0"/>
              <w:rPr>
                <w:sz w:val="12"/>
                <w:szCs w:val="12"/>
                <w:color w:val="auto"/>
              </w:rPr>
            </w:pPr>
          </w:p>
        </w:tc>
        <w:tc>
          <w:tcPr>
            <w:tcW w:w="3760" w:type="dxa"/>
            <w:vAlign w:val="bottom"/>
            <w:tcBorders>
              <w:bottom w:val="single" w:sz="8" w:color="auto"/>
              <w:right w:val="single" w:sz="8" w:color="auto"/>
            </w:tcBorders>
          </w:tcPr>
          <w:p>
            <w:pPr>
              <w:jc w:val="center"/>
              <w:ind w:right="986"/>
              <w:spacing w:after="0"/>
              <w:rPr>
                <w:sz w:val="20"/>
                <w:szCs w:val="20"/>
                <w:color w:val="auto"/>
              </w:rPr>
            </w:pPr>
            <w:r>
              <w:rPr>
                <w:rFonts w:ascii="Times New Roman" w:cs="Times New Roman" w:eastAsia="Times New Roman" w:hAnsi="Times New Roman"/>
                <w:sz w:val="12"/>
                <w:szCs w:val="12"/>
                <w:color w:val="auto"/>
                <w:w w:val="99"/>
              </w:rPr>
              <w:t>New York Stock Exchange LLC</w:t>
            </w:r>
          </w:p>
        </w:tc>
      </w:tr>
      <w:tr>
        <w:trPr>
          <w:trHeight w:val="286"/>
        </w:trPr>
        <w:tc>
          <w:tcPr>
            <w:tcW w:w="3600" w:type="dxa"/>
            <w:vAlign w:val="bottom"/>
          </w:tcPr>
          <w:p>
            <w:pPr>
              <w:spacing w:after="0"/>
              <w:rPr>
                <w:sz w:val="24"/>
                <w:szCs w:val="24"/>
                <w:color w:val="auto"/>
              </w:rPr>
            </w:pPr>
          </w:p>
        </w:tc>
        <w:tc>
          <w:tcPr>
            <w:tcW w:w="3940" w:type="dxa"/>
            <w:vAlign w:val="bottom"/>
            <w:gridSpan w:val="3"/>
          </w:tcPr>
          <w:p>
            <w:pPr>
              <w:jc w:val="center"/>
              <w:ind w:left="112"/>
              <w:spacing w:after="0"/>
              <w:rPr>
                <w:sz w:val="20"/>
                <w:szCs w:val="20"/>
                <w:color w:val="auto"/>
              </w:rPr>
            </w:pPr>
            <w:r>
              <w:rPr>
                <w:rFonts w:ascii="Times New Roman" w:cs="Times New Roman" w:eastAsia="Times New Roman" w:hAnsi="Times New Roman"/>
                <w:sz w:val="12"/>
                <w:szCs w:val="12"/>
                <w:color w:val="auto"/>
              </w:rPr>
              <w:t xml:space="preserve">Securities registered pursuant to Section 12(g) of the Act: </w:t>
            </w:r>
            <w:r>
              <w:rPr>
                <w:rFonts w:ascii="Times New Roman" w:cs="Times New Roman" w:eastAsia="Times New Roman" w:hAnsi="Times New Roman"/>
                <w:sz w:val="12"/>
                <w:szCs w:val="12"/>
                <w:b w:val="1"/>
                <w:bCs w:val="1"/>
                <w:color w:val="auto"/>
              </w:rPr>
              <w:t>None</w:t>
            </w:r>
          </w:p>
        </w:tc>
        <w:tc>
          <w:tcPr>
            <w:tcW w:w="3760" w:type="dxa"/>
            <w:vAlign w:val="bottom"/>
          </w:tcPr>
          <w:p>
            <w:pPr>
              <w:spacing w:after="0"/>
              <w:rPr>
                <w:sz w:val="24"/>
                <w:szCs w:val="24"/>
                <w:color w:val="auto"/>
              </w:rPr>
            </w:pPr>
          </w:p>
        </w:tc>
      </w:tr>
    </w:tbl>
    <w:p>
      <w:pPr>
        <w:spacing w:after="0" w:line="119"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44"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Section 15(d) of the Act.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 Checking the box above will not relieve any registrant required to file reports under Section 13 or 15(d) of the Exchange Act from their obligations under those Sections.</w:t>
      </w:r>
    </w:p>
    <w:p>
      <w:pPr>
        <w:spacing w:after="0" w:line="132" w:lineRule="exact"/>
        <w:rPr>
          <w:sz w:val="24"/>
          <w:szCs w:val="24"/>
          <w:color w:val="auto"/>
        </w:rPr>
      </w:pPr>
    </w:p>
    <w:p>
      <w:pPr>
        <w:jc w:val="both"/>
        <w:spacing w:after="0" w:line="144"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18" w:lineRule="exact"/>
        <w:rPr>
          <w:sz w:val="24"/>
          <w:szCs w:val="24"/>
          <w:color w:val="auto"/>
        </w:rPr>
      </w:pPr>
    </w:p>
    <w:p>
      <w:pPr>
        <w:jc w:val="both"/>
        <w:spacing w:after="0" w:line="144"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rPr>
        <w:t>☐</w:t>
      </w:r>
    </w:p>
    <w:p>
      <w:pPr>
        <w:spacing w:after="0" w:line="11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80" w:type="dxa"/>
        <w:tblCellMar>
          <w:top w:w="0" w:type="dxa"/>
          <w:left w:w="0" w:type="dxa"/>
          <w:bottom w:w="0" w:type="dxa"/>
          <w:right w:w="0" w:type="dxa"/>
        </w:tblCellMar>
      </w:tblPr>
      <w:tr>
        <w:trPr>
          <w:trHeight w:val="135"/>
        </w:trPr>
        <w:tc>
          <w:tcPr>
            <w:tcW w:w="1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Large accelerated filer</w:t>
            </w:r>
          </w:p>
        </w:tc>
        <w:tc>
          <w:tcPr>
            <w:tcW w:w="14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highlight w:val="black"/>
              </w:rPr>
              <w:t>☒</w:t>
            </w:r>
          </w:p>
        </w:tc>
        <w:tc>
          <w:tcPr>
            <w:tcW w:w="2740" w:type="dxa"/>
            <w:vAlign w:val="bottom"/>
          </w:tcPr>
          <w:p>
            <w:pPr>
              <w:ind w:left="720"/>
              <w:spacing w:after="0"/>
              <w:rPr>
                <w:sz w:val="20"/>
                <w:szCs w:val="20"/>
                <w:color w:val="auto"/>
              </w:rPr>
            </w:pPr>
            <w:r>
              <w:rPr>
                <w:rFonts w:ascii="Times New Roman" w:cs="Times New Roman" w:eastAsia="Times New Roman" w:hAnsi="Times New Roman"/>
                <w:sz w:val="11"/>
                <w:szCs w:val="11"/>
                <w:b w:val="1"/>
                <w:bCs w:val="1"/>
                <w:color w:val="auto"/>
              </w:rPr>
              <w:t>Accelerated filer</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5"/>
        </w:trPr>
        <w:tc>
          <w:tcPr>
            <w:tcW w:w="1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Non-accelerated filer</w:t>
            </w:r>
          </w:p>
        </w:tc>
        <w:tc>
          <w:tcPr>
            <w:tcW w:w="1480" w:type="dxa"/>
            <w:vAlign w:val="bottom"/>
          </w:tcPr>
          <w:p>
            <w:pPr>
              <w:ind w:left="680"/>
              <w:spacing w:after="0" w:line="111" w:lineRule="exact"/>
              <w:rPr>
                <w:sz w:val="20"/>
                <w:szCs w:val="20"/>
                <w:color w:val="auto"/>
              </w:rPr>
            </w:pPr>
            <w:r>
              <w:rPr>
                <w:rFonts w:ascii="MS PGothic" w:cs="MS PGothic" w:eastAsia="MS PGothic" w:hAnsi="MS PGothic"/>
                <w:sz w:val="11"/>
                <w:szCs w:val="11"/>
                <w:color w:val="auto"/>
              </w:rPr>
              <w:t>☐</w:t>
            </w:r>
          </w:p>
        </w:tc>
        <w:tc>
          <w:tcPr>
            <w:tcW w:w="2740" w:type="dxa"/>
            <w:vAlign w:val="bottom"/>
          </w:tcPr>
          <w:p>
            <w:pPr>
              <w:ind w:left="720"/>
              <w:spacing w:after="0"/>
              <w:rPr>
                <w:sz w:val="20"/>
                <w:szCs w:val="20"/>
                <w:color w:val="auto"/>
              </w:rPr>
            </w:pPr>
            <w:r>
              <w:rPr>
                <w:rFonts w:ascii="Times New Roman" w:cs="Times New Roman" w:eastAsia="Times New Roman" w:hAnsi="Times New Roman"/>
                <w:sz w:val="11"/>
                <w:szCs w:val="11"/>
                <w:b w:val="1"/>
                <w:bCs w:val="1"/>
                <w:color w:val="auto"/>
              </w:rPr>
              <w:t>Smaller reporting company</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highlight w:val="black"/>
                <w:w w:val="72"/>
              </w:rPr>
              <w:t>☐</w:t>
            </w:r>
          </w:p>
        </w:tc>
      </w:tr>
      <w:tr>
        <w:trPr>
          <w:trHeight w:val="168"/>
        </w:trPr>
        <w:tc>
          <w:tcPr>
            <w:tcW w:w="1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740" w:type="dxa"/>
            <w:vAlign w:val="bottom"/>
          </w:tcPr>
          <w:p>
            <w:pPr>
              <w:ind w:left="720"/>
              <w:spacing w:after="0"/>
              <w:rPr>
                <w:sz w:val="20"/>
                <w:szCs w:val="20"/>
                <w:color w:val="auto"/>
              </w:rPr>
            </w:pPr>
            <w:r>
              <w:rPr>
                <w:rFonts w:ascii="Times New Roman" w:cs="Times New Roman" w:eastAsia="Times New Roman" w:hAnsi="Times New Roman"/>
                <w:sz w:val="11"/>
                <w:szCs w:val="11"/>
                <w:b w:val="1"/>
                <w:bCs w:val="1"/>
                <w:color w:val="auto"/>
              </w:rPr>
              <w:t>Emerging growth company</w:t>
            </w:r>
          </w:p>
        </w:tc>
        <w:tc>
          <w:tcPr>
            <w:tcW w:w="840" w:type="dxa"/>
            <w:vAlign w:val="bottom"/>
          </w:tcPr>
          <w:p>
            <w:pPr>
              <w:ind w:left="740"/>
              <w:spacing w:after="0" w:line="111" w:lineRule="exact"/>
              <w:rPr>
                <w:sz w:val="20"/>
                <w:szCs w:val="20"/>
                <w:color w:val="auto"/>
              </w:rPr>
            </w:pPr>
            <w:r>
              <w:rPr>
                <w:rFonts w:ascii="MS PGothic" w:cs="MS PGothic" w:eastAsia="MS PGothic" w:hAnsi="MS PGothic"/>
                <w:sz w:val="11"/>
                <w:szCs w:val="11"/>
                <w:color w:val="auto"/>
                <w:highlight w:val="black"/>
                <w:w w:val="72"/>
              </w:rPr>
              <w:t>☐</w:t>
            </w:r>
          </w:p>
        </w:tc>
      </w:tr>
    </w:tbl>
    <w:p>
      <w:pPr>
        <w:spacing w:after="0" w:line="102"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60" w:lineRule="exact"/>
        <w:rPr>
          <w:sz w:val="24"/>
          <w:szCs w:val="24"/>
          <w:color w:val="auto"/>
        </w:rPr>
      </w:pPr>
    </w:p>
    <w:p>
      <w:pPr>
        <w:ind w:right="20"/>
        <w:spacing w:after="0" w:line="144"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02"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60" w:lineRule="exact"/>
        <w:rPr>
          <w:sz w:val="24"/>
          <w:szCs w:val="24"/>
          <w:color w:val="auto"/>
        </w:rPr>
      </w:pPr>
    </w:p>
    <w:p>
      <w:pPr>
        <w:spacing w:after="0" w:line="144"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1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checkmark whether the registrant is a shell company (as defined in Rule 12b-2 of the Act). </w:t>
      </w:r>
      <w:r>
        <w:rPr>
          <w:rFonts w:ascii="Times New Roman" w:cs="Times New Roman" w:eastAsia="Times New Roman" w:hAnsi="Times New Roman"/>
          <w:sz w:val="11"/>
          <w:szCs w:val="11"/>
          <w:b w:val="1"/>
          <w:bCs w:val="1"/>
          <w:color w:val="auto"/>
        </w:rPr>
        <w:t>Yes</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w:t>
      </w:r>
      <w:r>
        <w:rPr>
          <w:rFonts w:ascii="Times New Roman" w:cs="Times New Roman" w:eastAsia="Times New Roman" w:hAnsi="Times New Roman"/>
          <w:sz w:val="11"/>
          <w:szCs w:val="11"/>
          <w:color w:val="auto"/>
        </w:rPr>
        <w:t xml:space="preserve"> </w:t>
      </w:r>
      <w:r>
        <w:rPr>
          <w:rFonts w:ascii="MS PGothic" w:cs="MS PGothic" w:eastAsia="MS PGothic" w:hAnsi="MS PGothic"/>
          <w:sz w:val="11"/>
          <w:szCs w:val="11"/>
          <w:color w:val="auto"/>
          <w:highlight w:val="black"/>
        </w:rPr>
        <w:t>☒</w:t>
      </w:r>
    </w:p>
    <w:p>
      <w:pPr>
        <w:spacing w:after="0" w:line="160"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1"/>
          <w:szCs w:val="11"/>
          <w:color w:val="auto"/>
        </w:rPr>
        <w:t>The aggregate market value of the voting stock held by non-affiliates computed by reference to the price at which the common equity was last sold as of the last business day of the registrant’s most recently completed second fiscal quarter ($17.40 on July 2, 2022), assuming conversion of all of its Class B common stock held by non-affiliates into common stock of the registrant, was $2,288,000,000. There is no non-voting stock outstanding.</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February 17, 2023, registrant had 128,362,547 shares of its common stock (excluding treasury stock) and 12,097,148 shares of its Class B common stock outstanding.</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DOCUMENTS INCORPORATED BY REFERENCE</w:t>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Portions of the registrant’s definitive proxy statement, which will be filed within 120 days of December 31, 2022,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176530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41" w:right="29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33655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10-K for the year ended December 31, 2022</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40" w:type="dxa"/>
            <w:vAlign w:val="bottom"/>
            <w:gridSpan w:val="31"/>
          </w:tcPr>
          <w:p>
            <w:pPr>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04"/>
        </w:trPr>
        <w:tc>
          <w:tcPr>
            <w:tcW w:w="7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0000EE"/>
              </w:rPr>
              <w:t>PART I</w:t>
            </w:r>
          </w:p>
        </w:tc>
        <w:tc>
          <w:tcPr>
            <w:tcW w:w="9860" w:type="dxa"/>
            <w:vAlign w:val="bottom"/>
            <w:gridSpan w:val="26"/>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46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5"/>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 Business</w:t>
            </w: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85"/>
              </w:rPr>
              <w:t>4</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0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0640" w:type="dxa"/>
            <w:vAlign w:val="bottom"/>
            <w:gridSpan w:val="31"/>
          </w:tcPr>
          <w:p>
            <w:pPr>
              <w:spacing w:after="0" w:line="135" w:lineRule="exact"/>
              <w:rPr>
                <w:sz w:val="20"/>
                <w:szCs w:val="20"/>
                <w:color w:val="auto"/>
              </w:rPr>
            </w:pPr>
            <w:r>
              <w:rPr>
                <w:rFonts w:ascii="Times New Roman" w:cs="Times New Roman" w:eastAsia="Times New Roman" w:hAnsi="Times New Roman"/>
                <w:sz w:val="14"/>
                <w:szCs w:val="14"/>
                <w:color w:val="0000EE"/>
              </w:rPr>
              <w:t>Item 1A. Risk Factors</w:t>
            </w: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15</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1B. Unresolved Staff Comments</w:t>
            </w: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23</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02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0000EE"/>
                <w:w w:val="98"/>
              </w:rPr>
              <w:t>Item 2. Properties</w:t>
            </w:r>
          </w:p>
        </w:tc>
        <w:tc>
          <w:tcPr>
            <w:tcW w:w="1140" w:type="dxa"/>
            <w:vAlign w:val="bottom"/>
            <w:gridSpan w:val="7"/>
          </w:tcPr>
          <w:p>
            <w:pPr>
              <w:spacing w:after="0"/>
              <w:rPr>
                <w:sz w:val="11"/>
                <w:szCs w:val="11"/>
                <w:color w:val="auto"/>
              </w:rPr>
            </w:pPr>
          </w:p>
        </w:tc>
        <w:tc>
          <w:tcPr>
            <w:tcW w:w="8480" w:type="dxa"/>
            <w:vAlign w:val="bottom"/>
            <w:gridSpan w:val="17"/>
          </w:tcPr>
          <w:p>
            <w:pPr>
              <w:spacing w:after="0"/>
              <w:rPr>
                <w:sz w:val="11"/>
                <w:szCs w:val="11"/>
                <w:color w:val="auto"/>
              </w:rPr>
            </w:pP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23</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3. Legal Proceedings</w:t>
            </w: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25</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860" w:type="dxa"/>
            <w:vAlign w:val="bottom"/>
            <w:gridSpan w:val="12"/>
          </w:tcPr>
          <w:p>
            <w:pPr>
              <w:spacing w:after="0" w:line="135" w:lineRule="exact"/>
              <w:rPr>
                <w:sz w:val="20"/>
                <w:szCs w:val="20"/>
                <w:color w:val="auto"/>
              </w:rPr>
            </w:pPr>
            <w:r>
              <w:rPr>
                <w:rFonts w:ascii="Times New Roman" w:cs="Times New Roman" w:eastAsia="Times New Roman" w:hAnsi="Times New Roman"/>
                <w:sz w:val="14"/>
                <w:szCs w:val="14"/>
                <w:color w:val="0000EE"/>
              </w:rPr>
              <w:t>Item 4. Mine Safety Disclosures</w:t>
            </w:r>
          </w:p>
        </w:tc>
        <w:tc>
          <w:tcPr>
            <w:tcW w:w="8780" w:type="dxa"/>
            <w:vAlign w:val="bottom"/>
            <w:gridSpan w:val="19"/>
          </w:tcPr>
          <w:p>
            <w:pPr>
              <w:spacing w:after="0"/>
              <w:rPr>
                <w:sz w:val="11"/>
                <w:szCs w:val="11"/>
                <w:color w:val="auto"/>
              </w:rPr>
            </w:pP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25</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42"/>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Information About Our Executive Officers</w:t>
            </w: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26</w:t>
            </w:r>
          </w:p>
        </w:tc>
        <w:tc>
          <w:tcPr>
            <w:tcW w:w="560" w:type="dxa"/>
            <w:vAlign w:val="bottom"/>
            <w:tcBorders>
              <w:left w:val="single" w:sz="8" w:color="CCEEFF"/>
            </w:tcBorders>
            <w:shd w:val="clear" w:color="auto" w:fill="CCEEFF"/>
          </w:tcPr>
          <w:p>
            <w:pPr>
              <w:spacing w:after="0"/>
              <w:rPr>
                <w:sz w:val="12"/>
                <w:szCs w:val="12"/>
                <w:color w:val="auto"/>
              </w:rPr>
            </w:pPr>
          </w:p>
        </w:tc>
      </w:tr>
      <w:tr>
        <w:trPr>
          <w:trHeight w:val="162"/>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70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42"/>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PART II</w:t>
            </w: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left w:val="single" w:sz="8" w:color="CCEEFF"/>
            </w:tcBorders>
            <w:shd w:val="clear" w:color="auto" w:fill="CCEEFF"/>
          </w:tcPr>
          <w:p>
            <w:pPr>
              <w:spacing w:after="0"/>
              <w:rPr>
                <w:sz w:val="12"/>
                <w:szCs w:val="12"/>
                <w:color w:val="auto"/>
              </w:rPr>
            </w:pPr>
          </w:p>
        </w:tc>
      </w:tr>
      <w:tr>
        <w:trPr>
          <w:trHeight w:val="162"/>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35"/>
        </w:trPr>
        <w:tc>
          <w:tcPr>
            <w:tcW w:w="694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5. Market for Registrant’s Common Equity, Related Stockholder Matters, and Issuer Purchases of Equity Securities</w:t>
            </w:r>
          </w:p>
        </w:tc>
        <w:tc>
          <w:tcPr>
            <w:tcW w:w="370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27</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37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6940" w:type="dxa"/>
            <w:vAlign w:val="bottom"/>
            <w:gridSpan w:val="30"/>
          </w:tcPr>
          <w:p>
            <w:pPr>
              <w:spacing w:after="0" w:line="135" w:lineRule="exact"/>
              <w:rPr>
                <w:sz w:val="20"/>
                <w:szCs w:val="20"/>
                <w:color w:val="auto"/>
              </w:rPr>
            </w:pPr>
            <w:r>
              <w:rPr>
                <w:rFonts w:ascii="Times New Roman" w:cs="Times New Roman" w:eastAsia="Times New Roman" w:hAnsi="Times New Roman"/>
                <w:sz w:val="14"/>
                <w:szCs w:val="14"/>
                <w:color w:val="0000EE"/>
              </w:rPr>
              <w:t>Item 6. [Reserved]</w:t>
            </w:r>
          </w:p>
        </w:tc>
        <w:tc>
          <w:tcPr>
            <w:tcW w:w="3700" w:type="dxa"/>
            <w:vAlign w:val="bottom"/>
          </w:tcPr>
          <w:p>
            <w:pPr>
              <w:spacing w:after="0"/>
              <w:rPr>
                <w:sz w:val="11"/>
                <w:szCs w:val="11"/>
                <w:color w:val="auto"/>
              </w:rPr>
            </w:pP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28</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7. Management’s Discussion and Analysis of Financial Condition and Results of Operations</w:t>
            </w: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29</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40" w:type="dxa"/>
            <w:vAlign w:val="bottom"/>
            <w:tcBorders>
              <w:right w:val="single" w:sz="8" w:color="CCEEFF"/>
            </w:tcBorders>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5660" w:type="dxa"/>
            <w:vAlign w:val="bottom"/>
            <w:gridSpan w:val="26"/>
          </w:tcPr>
          <w:p>
            <w:pPr>
              <w:spacing w:after="0" w:line="135" w:lineRule="exact"/>
              <w:rPr>
                <w:sz w:val="20"/>
                <w:szCs w:val="20"/>
                <w:color w:val="auto"/>
              </w:rPr>
            </w:pPr>
            <w:r>
              <w:rPr>
                <w:rFonts w:ascii="Times New Roman" w:cs="Times New Roman" w:eastAsia="Times New Roman" w:hAnsi="Times New Roman"/>
                <w:sz w:val="14"/>
                <w:szCs w:val="14"/>
                <w:color w:val="0000EE"/>
              </w:rPr>
              <w:t>Item 7A. Quantitative and Qualitative Disclosures About Market Risk</w:t>
            </w:r>
          </w:p>
        </w:tc>
        <w:tc>
          <w:tcPr>
            <w:tcW w:w="4980" w:type="dxa"/>
            <w:vAlign w:val="bottom"/>
            <w:gridSpan w:val="5"/>
          </w:tcPr>
          <w:p>
            <w:pPr>
              <w:spacing w:after="0"/>
              <w:rPr>
                <w:sz w:val="11"/>
                <w:szCs w:val="11"/>
                <w:color w:val="auto"/>
              </w:rPr>
            </w:pP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55</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3100" w:type="dxa"/>
            <w:vAlign w:val="bottom"/>
            <w:gridSpan w:val="18"/>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8. Financial Statements and Supplementary Data</w:t>
            </w:r>
          </w:p>
        </w:tc>
        <w:tc>
          <w:tcPr>
            <w:tcW w:w="920" w:type="dxa"/>
            <w:vAlign w:val="bottom"/>
            <w:gridSpan w:val="4"/>
            <w:shd w:val="clear" w:color="auto" w:fill="CCEEFF"/>
          </w:tcPr>
          <w:p>
            <w:pPr>
              <w:spacing w:after="0"/>
              <w:rPr>
                <w:sz w:val="11"/>
                <w:szCs w:val="11"/>
                <w:color w:val="auto"/>
              </w:rPr>
            </w:pPr>
          </w:p>
        </w:tc>
        <w:tc>
          <w:tcPr>
            <w:tcW w:w="6620" w:type="dxa"/>
            <w:vAlign w:val="bottom"/>
            <w:tcBorders>
              <w:right w:val="single" w:sz="8" w:color="CCEEFF"/>
            </w:tcBorders>
            <w:gridSpan w:val="9"/>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57</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5660" w:type="dxa"/>
            <w:vAlign w:val="bottom"/>
            <w:gridSpan w:val="26"/>
          </w:tcPr>
          <w:p>
            <w:pPr>
              <w:spacing w:after="0" w:line="135" w:lineRule="exact"/>
              <w:rPr>
                <w:sz w:val="20"/>
                <w:szCs w:val="20"/>
                <w:color w:val="auto"/>
              </w:rPr>
            </w:pPr>
            <w:r>
              <w:rPr>
                <w:rFonts w:ascii="Times New Roman" w:cs="Times New Roman" w:eastAsia="Times New Roman" w:hAnsi="Times New Roman"/>
                <w:sz w:val="14"/>
                <w:szCs w:val="14"/>
                <w:color w:val="0000EE"/>
              </w:rPr>
              <w:t>Item 9. Changes In and Disagreements With Accountants on Accounting and Financial Disclosure</w:t>
            </w:r>
          </w:p>
        </w:tc>
        <w:tc>
          <w:tcPr>
            <w:tcW w:w="4980" w:type="dxa"/>
            <w:vAlign w:val="bottom"/>
            <w:gridSpan w:val="5"/>
          </w:tcPr>
          <w:p>
            <w:pPr>
              <w:spacing w:after="0"/>
              <w:rPr>
                <w:sz w:val="11"/>
                <w:szCs w:val="11"/>
                <w:color w:val="auto"/>
              </w:rPr>
            </w:pP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57</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940" w:type="dxa"/>
            <w:vAlign w:val="bottom"/>
            <w:gridSpan w:val="1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w w:val="99"/>
              </w:rPr>
              <w:t>Item 9A. Controls and Procedures</w:t>
            </w:r>
          </w:p>
        </w:tc>
        <w:tc>
          <w:tcPr>
            <w:tcW w:w="3720" w:type="dxa"/>
            <w:vAlign w:val="bottom"/>
            <w:tcBorders>
              <w:left w:val="single" w:sz="8" w:color="CCEEFF"/>
              <w:right w:val="single" w:sz="8" w:color="CCEEFF"/>
            </w:tcBorders>
            <w:gridSpan w:val="13"/>
            <w:shd w:val="clear" w:color="auto" w:fill="CCEEFF"/>
          </w:tcPr>
          <w:p>
            <w:pPr>
              <w:spacing w:after="0"/>
              <w:rPr>
                <w:sz w:val="11"/>
                <w:szCs w:val="11"/>
                <w:color w:val="auto"/>
              </w:rPr>
            </w:pPr>
          </w:p>
        </w:tc>
        <w:tc>
          <w:tcPr>
            <w:tcW w:w="4980" w:type="dxa"/>
            <w:vAlign w:val="bottom"/>
            <w:tcBorders>
              <w:right w:val="single" w:sz="8" w:color="CCEEFF"/>
            </w:tcBorders>
            <w:gridSpan w:val="5"/>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57</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1940" w:type="dxa"/>
            <w:vAlign w:val="bottom"/>
            <w:gridSpan w:val="13"/>
          </w:tcPr>
          <w:p>
            <w:pPr>
              <w:spacing w:after="0" w:line="135" w:lineRule="exact"/>
              <w:rPr>
                <w:sz w:val="20"/>
                <w:szCs w:val="20"/>
                <w:color w:val="auto"/>
              </w:rPr>
            </w:pPr>
            <w:r>
              <w:rPr>
                <w:rFonts w:ascii="Times New Roman" w:cs="Times New Roman" w:eastAsia="Times New Roman" w:hAnsi="Times New Roman"/>
                <w:sz w:val="14"/>
                <w:szCs w:val="14"/>
                <w:color w:val="0000EE"/>
              </w:rPr>
              <w:t>Item 9B. Other Information</w:t>
            </w:r>
          </w:p>
        </w:tc>
        <w:tc>
          <w:tcPr>
            <w:tcW w:w="8700" w:type="dxa"/>
            <w:vAlign w:val="bottom"/>
            <w:gridSpan w:val="18"/>
          </w:tcPr>
          <w:p>
            <w:pPr>
              <w:spacing w:after="0"/>
              <w:rPr>
                <w:sz w:val="11"/>
                <w:szCs w:val="11"/>
                <w:color w:val="auto"/>
              </w:rPr>
            </w:pP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59</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42"/>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9C. Disclosure Regarding Foreign Jurisdictions that Prevent Inspections</w:t>
            </w: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59</w:t>
            </w:r>
          </w:p>
        </w:tc>
        <w:tc>
          <w:tcPr>
            <w:tcW w:w="560" w:type="dxa"/>
            <w:vAlign w:val="bottom"/>
            <w:tcBorders>
              <w:left w:val="single" w:sz="8" w:color="CCEEFF"/>
            </w:tcBorders>
            <w:shd w:val="clear" w:color="auto" w:fill="CCEEFF"/>
          </w:tcPr>
          <w:p>
            <w:pPr>
              <w:spacing w:after="0"/>
              <w:rPr>
                <w:sz w:val="12"/>
                <w:szCs w:val="12"/>
                <w:color w:val="auto"/>
              </w:rPr>
            </w:pPr>
          </w:p>
        </w:tc>
      </w:tr>
      <w:tr>
        <w:trPr>
          <w:trHeight w:val="162"/>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70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42"/>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PART III</w:t>
            </w: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left w:val="single" w:sz="8" w:color="CCEEFF"/>
            </w:tcBorders>
            <w:shd w:val="clear" w:color="auto" w:fill="CCEEFF"/>
          </w:tcPr>
          <w:p>
            <w:pPr>
              <w:spacing w:after="0"/>
              <w:rPr>
                <w:sz w:val="12"/>
                <w:szCs w:val="12"/>
                <w:color w:val="auto"/>
              </w:rPr>
            </w:pPr>
          </w:p>
        </w:tc>
      </w:tr>
      <w:tr>
        <w:trPr>
          <w:trHeight w:val="162"/>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35"/>
        </w:trPr>
        <w:tc>
          <w:tcPr>
            <w:tcW w:w="3820" w:type="dxa"/>
            <w:vAlign w:val="bottom"/>
            <w:gridSpan w:val="2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10. Directors, Executive Officers, and Corporate Governance</w:t>
            </w:r>
          </w:p>
        </w:tc>
        <w:tc>
          <w:tcPr>
            <w:tcW w:w="6820" w:type="dxa"/>
            <w:vAlign w:val="bottom"/>
            <w:tcBorders>
              <w:right w:val="single" w:sz="8" w:color="CCEEFF"/>
            </w:tcBorders>
            <w:gridSpan w:val="10"/>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59</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3820" w:type="dxa"/>
            <w:vAlign w:val="bottom"/>
            <w:gridSpan w:val="21"/>
          </w:tcPr>
          <w:p>
            <w:pPr>
              <w:spacing w:after="0" w:line="135" w:lineRule="exact"/>
              <w:rPr>
                <w:sz w:val="20"/>
                <w:szCs w:val="20"/>
                <w:color w:val="auto"/>
              </w:rPr>
            </w:pPr>
            <w:r>
              <w:rPr>
                <w:rFonts w:ascii="Times New Roman" w:cs="Times New Roman" w:eastAsia="Times New Roman" w:hAnsi="Times New Roman"/>
                <w:sz w:val="14"/>
                <w:szCs w:val="14"/>
                <w:color w:val="0000EE"/>
              </w:rPr>
              <w:t>Item 11. Executive Compensation</w:t>
            </w:r>
          </w:p>
        </w:tc>
        <w:tc>
          <w:tcPr>
            <w:tcW w:w="6820" w:type="dxa"/>
            <w:vAlign w:val="bottom"/>
            <w:gridSpan w:val="10"/>
          </w:tcPr>
          <w:p>
            <w:pPr>
              <w:spacing w:after="0"/>
              <w:rPr>
                <w:sz w:val="11"/>
                <w:szCs w:val="11"/>
                <w:color w:val="auto"/>
              </w:rPr>
            </w:pP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59</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35"/>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12. Security Ownership of Certain Beneficial Owners and Management and Related Stockholder Matters</w:t>
            </w: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59</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35"/>
        </w:trPr>
        <w:tc>
          <w:tcPr>
            <w:tcW w:w="6340" w:type="dxa"/>
            <w:vAlign w:val="bottom"/>
            <w:gridSpan w:val="29"/>
          </w:tcPr>
          <w:p>
            <w:pPr>
              <w:spacing w:after="0" w:line="135" w:lineRule="exact"/>
              <w:rPr>
                <w:sz w:val="20"/>
                <w:szCs w:val="20"/>
                <w:color w:val="auto"/>
              </w:rPr>
            </w:pPr>
            <w:r>
              <w:rPr>
                <w:rFonts w:ascii="Times New Roman" w:cs="Times New Roman" w:eastAsia="Times New Roman" w:hAnsi="Times New Roman"/>
                <w:sz w:val="14"/>
                <w:szCs w:val="14"/>
                <w:color w:val="0000EE"/>
              </w:rPr>
              <w:t>Item 13. Certain Relationships and Related Transactions, and Director Independence</w:t>
            </w:r>
          </w:p>
        </w:tc>
        <w:tc>
          <w:tcPr>
            <w:tcW w:w="4300" w:type="dxa"/>
            <w:vAlign w:val="bottom"/>
            <w:gridSpan w:val="2"/>
          </w:tcPr>
          <w:p>
            <w:pPr>
              <w:spacing w:after="0"/>
              <w:rPr>
                <w:sz w:val="11"/>
                <w:szCs w:val="11"/>
                <w:color w:val="auto"/>
              </w:rPr>
            </w:pP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59</w:t>
            </w:r>
          </w:p>
        </w:tc>
        <w:tc>
          <w:tcPr>
            <w:tcW w:w="560" w:type="dxa"/>
            <w:vAlign w:val="bottom"/>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700" w:type="dxa"/>
            <w:vAlign w:val="bottom"/>
            <w:tcBorders>
              <w:right w:val="single" w:sz="8" w:color="0000EE"/>
            </w:tcBorders>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Pr>
          <w:p>
            <w:pPr>
              <w:spacing w:after="0"/>
              <w:rPr>
                <w:sz w:val="2"/>
                <w:szCs w:val="2"/>
                <w:color w:val="auto"/>
              </w:rPr>
            </w:pPr>
          </w:p>
        </w:tc>
      </w:tr>
      <w:tr>
        <w:trPr>
          <w:trHeight w:val="142"/>
        </w:trPr>
        <w:tc>
          <w:tcPr>
            <w:tcW w:w="4860" w:type="dxa"/>
            <w:vAlign w:val="bottom"/>
            <w:gridSpan w:val="2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14. Principal Accounting Fees and Services</w:t>
            </w:r>
          </w:p>
        </w:tc>
        <w:tc>
          <w:tcPr>
            <w:tcW w:w="5780" w:type="dxa"/>
            <w:vAlign w:val="bottom"/>
            <w:tcBorders>
              <w:right w:val="single" w:sz="8" w:color="CCEEFF"/>
            </w:tcBorders>
            <w:gridSpan w:val="7"/>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59</w:t>
            </w:r>
          </w:p>
        </w:tc>
        <w:tc>
          <w:tcPr>
            <w:tcW w:w="560" w:type="dxa"/>
            <w:vAlign w:val="bottom"/>
            <w:tcBorders>
              <w:left w:val="single" w:sz="8" w:color="CCEEFF"/>
            </w:tcBorders>
            <w:shd w:val="clear" w:color="auto" w:fill="CCEEFF"/>
          </w:tcPr>
          <w:p>
            <w:pPr>
              <w:spacing w:after="0"/>
              <w:rPr>
                <w:sz w:val="12"/>
                <w:szCs w:val="12"/>
                <w:color w:val="auto"/>
              </w:rPr>
            </w:pPr>
          </w:p>
        </w:tc>
      </w:tr>
      <w:tr>
        <w:trPr>
          <w:trHeight w:val="162"/>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700" w:type="dxa"/>
            <w:vAlign w:val="bottom"/>
            <w:tcBorders>
              <w:top w:val="single" w:sz="8" w:color="CCEEFF"/>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42"/>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PART IV</w:t>
            </w:r>
          </w:p>
        </w:tc>
        <w:tc>
          <w:tcPr>
            <w:tcW w:w="10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left w:val="single" w:sz="8" w:color="CCEEFF"/>
            </w:tcBorders>
            <w:shd w:val="clear" w:color="auto" w:fill="CCEEFF"/>
          </w:tcPr>
          <w:p>
            <w:pPr>
              <w:spacing w:after="0"/>
              <w:rPr>
                <w:sz w:val="12"/>
                <w:szCs w:val="12"/>
                <w:color w:val="auto"/>
              </w:rPr>
            </w:pPr>
          </w:p>
        </w:tc>
      </w:tr>
      <w:tr>
        <w:trPr>
          <w:trHeight w:val="162"/>
        </w:trPr>
        <w:tc>
          <w:tcPr>
            <w:tcW w:w="4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3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35"/>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Item 15. Exhibits, Financial Statement Schedules</w:t>
            </w:r>
          </w:p>
        </w:tc>
        <w:tc>
          <w:tcPr>
            <w:tcW w:w="100" w:type="dxa"/>
            <w:vAlign w:val="bottom"/>
            <w:tcBorders>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60</w:t>
            </w:r>
          </w:p>
        </w:tc>
        <w:tc>
          <w:tcPr>
            <w:tcW w:w="560" w:type="dxa"/>
            <w:vAlign w:val="bottom"/>
            <w:tcBorders>
              <w:left w:val="single" w:sz="8" w:color="CCEEFF"/>
            </w:tcBorders>
            <w:shd w:val="clear" w:color="auto" w:fill="CCEEFF"/>
          </w:tcPr>
          <w:p>
            <w:pPr>
              <w:spacing w:after="0"/>
              <w:rPr>
                <w:sz w:val="11"/>
                <w:szCs w:val="11"/>
                <w:color w:val="auto"/>
              </w:rPr>
            </w:pP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42"/>
        </w:trPr>
        <w:tc>
          <w:tcPr>
            <w:tcW w:w="2820" w:type="dxa"/>
            <w:vAlign w:val="bottom"/>
            <w:gridSpan w:val="17"/>
          </w:tcPr>
          <w:p>
            <w:pPr>
              <w:spacing w:after="0" w:line="135" w:lineRule="exact"/>
              <w:rPr>
                <w:sz w:val="20"/>
                <w:szCs w:val="20"/>
                <w:color w:val="auto"/>
              </w:rPr>
            </w:pPr>
            <w:r>
              <w:rPr>
                <w:rFonts w:ascii="Times New Roman" w:cs="Times New Roman" w:eastAsia="Times New Roman" w:hAnsi="Times New Roman"/>
                <w:sz w:val="14"/>
                <w:szCs w:val="14"/>
                <w:color w:val="0000EE"/>
              </w:rPr>
              <w:t>Item 16. Form 10-K Summary</w:t>
            </w:r>
          </w:p>
        </w:tc>
        <w:tc>
          <w:tcPr>
            <w:tcW w:w="7820" w:type="dxa"/>
            <w:vAlign w:val="bottom"/>
            <w:gridSpan w:val="14"/>
          </w:tcPr>
          <w:p>
            <w:pPr>
              <w:spacing w:after="0"/>
              <w:rPr>
                <w:sz w:val="12"/>
                <w:szCs w:val="12"/>
                <w:color w:val="auto"/>
              </w:rPr>
            </w:pP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63</w:t>
            </w: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right w:val="single" w:sz="8" w:color="CCEEFF"/>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40" w:type="dxa"/>
            <w:vAlign w:val="bottom"/>
            <w:tcBorders>
              <w:top w:val="single" w:sz="8" w:color="0000EE"/>
              <w:left w:val="single" w:sz="8" w:color="CCEEFF"/>
            </w:tcBorders>
            <w:shd w:val="clear" w:color="auto" w:fill="CCEEFF"/>
          </w:tcPr>
          <w:p>
            <w:pPr>
              <w:spacing w:after="0"/>
              <w:rPr>
                <w:sz w:val="14"/>
                <w:szCs w:val="14"/>
                <w:color w:val="auto"/>
              </w:rPr>
            </w:pPr>
          </w:p>
        </w:tc>
        <w:tc>
          <w:tcPr>
            <w:tcW w:w="24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7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42"/>
        </w:trPr>
        <w:tc>
          <w:tcPr>
            <w:tcW w:w="10640" w:type="dxa"/>
            <w:vAlign w:val="bottom"/>
            <w:gridSpan w:val="31"/>
          </w:tcPr>
          <w:p>
            <w:pPr>
              <w:spacing w:after="0" w:line="135" w:lineRule="exact"/>
              <w:rPr>
                <w:sz w:val="20"/>
                <w:szCs w:val="20"/>
                <w:color w:val="auto"/>
              </w:rPr>
            </w:pPr>
            <w:r>
              <w:rPr>
                <w:rFonts w:ascii="Times New Roman" w:cs="Times New Roman" w:eastAsia="Times New Roman" w:hAnsi="Times New Roman"/>
                <w:sz w:val="14"/>
                <w:szCs w:val="14"/>
                <w:b w:val="1"/>
                <w:bCs w:val="1"/>
                <w:color w:val="0000EE"/>
              </w:rPr>
              <w:t>SIGNATURES</w:t>
            </w:r>
          </w:p>
        </w:tc>
        <w:tc>
          <w:tcPr>
            <w:tcW w:w="1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64</w:t>
            </w:r>
          </w:p>
        </w:tc>
        <w:tc>
          <w:tcPr>
            <w:tcW w:w="560" w:type="dxa"/>
            <w:vAlign w:val="bottom"/>
          </w:tcPr>
          <w:p>
            <w:pPr>
              <w:spacing w:after="0"/>
              <w:rPr>
                <w:sz w:val="12"/>
                <w:szCs w:val="12"/>
                <w:color w:val="auto"/>
              </w:rPr>
            </w:pPr>
          </w:p>
        </w:tc>
      </w:tr>
      <w:tr>
        <w:trPr>
          <w:trHeight w:val="162"/>
        </w:trPr>
        <w:tc>
          <w:tcPr>
            <w:tcW w:w="46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160" w:type="dxa"/>
            <w:vAlign w:val="bottom"/>
            <w:tcBorders>
              <w:top w:val="single" w:sz="8" w:color="0000EE"/>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7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0000EE"/>
              <w:right w:val="single" w:sz="8" w:color="CCEEFF"/>
            </w:tcBorders>
            <w:shd w:val="clear" w:color="auto" w:fill="CCEEFF"/>
          </w:tcPr>
          <w:p>
            <w:pPr>
              <w:spacing w:after="0"/>
              <w:rPr>
                <w:sz w:val="14"/>
                <w:szCs w:val="14"/>
                <w:color w:val="auto"/>
              </w:rPr>
            </w:pPr>
          </w:p>
        </w:tc>
        <w:tc>
          <w:tcPr>
            <w:tcW w:w="560" w:type="dxa"/>
            <w:vAlign w:val="bottom"/>
            <w:tcBorders>
              <w:left w:val="single" w:sz="8" w:color="CCEEFF"/>
            </w:tcBorders>
            <w:shd w:val="clear" w:color="auto" w:fill="CCEEFF"/>
          </w:tcPr>
          <w:p>
            <w:pPr>
              <w:spacing w:after="0"/>
              <w:rPr>
                <w:sz w:val="14"/>
                <w:szCs w:val="14"/>
                <w:color w:val="auto"/>
              </w:rPr>
            </w:pPr>
          </w:p>
        </w:tc>
      </w:tr>
      <w:tr>
        <w:trPr>
          <w:trHeight w:val="162"/>
        </w:trPr>
        <w:tc>
          <w:tcPr>
            <w:tcW w:w="10640" w:type="dxa"/>
            <w:vAlign w:val="bottom"/>
            <w:gridSpan w:val="31"/>
          </w:tcPr>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5"/>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Report of Independent Registered Public Accounting Firm</w:t>
            </w:r>
          </w:p>
        </w:tc>
        <w:tc>
          <w:tcPr>
            <w:tcW w:w="660" w:type="dxa"/>
            <w:vAlign w:val="bottom"/>
            <w:gridSpan w:val="2"/>
            <w:shd w:val="clear" w:color="auto" w:fill="CCEEFF"/>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w w:val="71"/>
              </w:rPr>
              <w:t>F-2</w:t>
            </w:r>
          </w:p>
        </w:tc>
      </w:tr>
      <w:tr>
        <w:trPr>
          <w:trHeight w:val="27"/>
        </w:trPr>
        <w:tc>
          <w:tcPr>
            <w:tcW w:w="4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700" w:type="dxa"/>
            <w:vAlign w:val="bottom"/>
            <w:tcBorders>
              <w:right w:val="single" w:sz="8" w:color="0000EE"/>
            </w:tcBorders>
            <w:shd w:val="clear" w:color="auto" w:fill="CCEEFF"/>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560" w:type="dxa"/>
            <w:vAlign w:val="bottom"/>
            <w:tcBorders>
              <w:left w:val="single" w:sz="8" w:color="CCEEFF"/>
            </w:tcBorders>
            <w:shd w:val="clear" w:color="auto" w:fill="CCEEFF"/>
          </w:tcPr>
          <w:p>
            <w:pPr>
              <w:spacing w:after="0"/>
              <w:rPr>
                <w:sz w:val="2"/>
                <w:szCs w:val="2"/>
                <w:color w:val="auto"/>
              </w:rPr>
            </w:pPr>
          </w:p>
        </w:tc>
      </w:tr>
      <w:tr>
        <w:trPr>
          <w:trHeight w:val="142"/>
        </w:trPr>
        <w:tc>
          <w:tcPr>
            <w:tcW w:w="3740" w:type="dxa"/>
            <w:vAlign w:val="bottom"/>
            <w:tcBorders>
              <w:bottom w:val="single" w:sz="8" w:color="0000EE"/>
            </w:tcBorders>
            <w:gridSpan w:val="20"/>
          </w:tcPr>
          <w:p>
            <w:pPr>
              <w:spacing w:after="0" w:line="135" w:lineRule="exact"/>
              <w:rPr>
                <w:sz w:val="20"/>
                <w:szCs w:val="20"/>
                <w:color w:val="auto"/>
              </w:rPr>
            </w:pPr>
            <w:r>
              <w:rPr>
                <w:rFonts w:ascii="Times New Roman" w:cs="Times New Roman" w:eastAsia="Times New Roman" w:hAnsi="Times New Roman"/>
                <w:sz w:val="14"/>
                <w:szCs w:val="14"/>
                <w:color w:val="0000EE"/>
              </w:rPr>
              <w:t>Consolidated Balance Sheets as of December 31, 2022 and 2021</w:t>
            </w:r>
          </w:p>
        </w:tc>
        <w:tc>
          <w:tcPr>
            <w:tcW w:w="6900" w:type="dxa"/>
            <w:vAlign w:val="bottom"/>
            <w:gridSpan w:val="11"/>
          </w:tcPr>
          <w:p>
            <w:pPr>
              <w:spacing w:after="0"/>
              <w:rPr>
                <w:sz w:val="12"/>
                <w:szCs w:val="12"/>
                <w:color w:val="auto"/>
              </w:rPr>
            </w:pPr>
          </w:p>
        </w:tc>
        <w:tc>
          <w:tcPr>
            <w:tcW w:w="100" w:type="dxa"/>
            <w:vAlign w:val="bottom"/>
            <w:tcBorders>
              <w:bottom w:val="single" w:sz="8" w:color="0000EE"/>
            </w:tcBorders>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F-4</w:t>
            </w:r>
          </w:p>
        </w:tc>
        <w:tc>
          <w:tcPr>
            <w:tcW w:w="560" w:type="dxa"/>
            <w:vAlign w:val="bottom"/>
          </w:tcPr>
          <w:p>
            <w:pPr>
              <w:spacing w:after="0"/>
              <w:rPr>
                <w:sz w:val="12"/>
                <w:szCs w:val="12"/>
                <w:color w:val="auto"/>
              </w:rPr>
            </w:pPr>
          </w:p>
        </w:tc>
      </w:tr>
      <w:tr>
        <w:trPr>
          <w:trHeight w:val="142"/>
        </w:trPr>
        <w:tc>
          <w:tcPr>
            <w:tcW w:w="5520" w:type="dxa"/>
            <w:vAlign w:val="bottom"/>
            <w:tcBorders>
              <w:bottom w:val="single" w:sz="8" w:color="0000EE"/>
            </w:tcBorders>
            <w:gridSpan w:val="25"/>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Operations for the years ended December 31, 2022, 2021, and 2020</w:t>
            </w:r>
          </w:p>
        </w:tc>
        <w:tc>
          <w:tcPr>
            <w:tcW w:w="5120" w:type="dxa"/>
            <w:vAlign w:val="bottom"/>
            <w:tcBorders>
              <w:bottom w:val="single" w:sz="8" w:color="CCEEFF"/>
              <w:right w:val="single" w:sz="8" w:color="CCEEFF"/>
            </w:tcBorders>
            <w:gridSpan w:val="6"/>
            <w:shd w:val="clear" w:color="auto" w:fill="CCEEFF"/>
          </w:tcPr>
          <w:p>
            <w:pPr>
              <w:spacing w:after="0"/>
              <w:rPr>
                <w:sz w:val="12"/>
                <w:szCs w:val="12"/>
                <w:color w:val="auto"/>
              </w:rPr>
            </w:pPr>
          </w:p>
        </w:tc>
        <w:tc>
          <w:tcPr>
            <w:tcW w:w="100" w:type="dxa"/>
            <w:vAlign w:val="bottom"/>
            <w:tcBorders>
              <w:bottom w:val="single" w:sz="8" w:color="0000EE"/>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F-6</w:t>
            </w:r>
          </w:p>
        </w:tc>
        <w:tc>
          <w:tcPr>
            <w:tcW w:w="56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42"/>
        </w:trPr>
        <w:tc>
          <w:tcPr>
            <w:tcW w:w="6260" w:type="dxa"/>
            <w:vAlign w:val="bottom"/>
            <w:tcBorders>
              <w:bottom w:val="single" w:sz="8" w:color="0000EE"/>
            </w:tcBorders>
            <w:gridSpan w:val="28"/>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Comprehensive Income for the years ended December 31, 2022, 2021, and 2020</w:t>
            </w:r>
          </w:p>
        </w:tc>
        <w:tc>
          <w:tcPr>
            <w:tcW w:w="4380" w:type="dxa"/>
            <w:vAlign w:val="bottom"/>
            <w:gridSpan w:val="3"/>
          </w:tcPr>
          <w:p>
            <w:pPr>
              <w:spacing w:after="0"/>
              <w:rPr>
                <w:sz w:val="12"/>
                <w:szCs w:val="12"/>
                <w:color w:val="auto"/>
              </w:rPr>
            </w:pPr>
          </w:p>
        </w:tc>
        <w:tc>
          <w:tcPr>
            <w:tcW w:w="100" w:type="dxa"/>
            <w:vAlign w:val="bottom"/>
            <w:tcBorders>
              <w:bottom w:val="single" w:sz="8" w:color="0000EE"/>
            </w:tcBorders>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F-7</w:t>
            </w:r>
          </w:p>
        </w:tc>
        <w:tc>
          <w:tcPr>
            <w:tcW w:w="560" w:type="dxa"/>
            <w:vAlign w:val="bottom"/>
          </w:tcPr>
          <w:p>
            <w:pPr>
              <w:spacing w:after="0"/>
              <w:rPr>
                <w:sz w:val="12"/>
                <w:szCs w:val="12"/>
                <w:color w:val="auto"/>
              </w:rPr>
            </w:pPr>
          </w:p>
        </w:tc>
      </w:tr>
      <w:tr>
        <w:trPr>
          <w:trHeight w:val="142"/>
        </w:trPr>
        <w:tc>
          <w:tcPr>
            <w:tcW w:w="5660" w:type="dxa"/>
            <w:vAlign w:val="bottom"/>
            <w:tcBorders>
              <w:bottom w:val="single" w:sz="8" w:color="0000EE"/>
              <w:right w:val="single" w:sz="8" w:color="CCEEFF"/>
            </w:tcBorders>
            <w:gridSpan w:val="2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2022, 2021, and 2020</w:t>
            </w:r>
          </w:p>
        </w:tc>
        <w:tc>
          <w:tcPr>
            <w:tcW w:w="4980" w:type="dxa"/>
            <w:vAlign w:val="bottom"/>
            <w:tcBorders>
              <w:bottom w:val="single" w:sz="8" w:color="CCEEFF"/>
              <w:right w:val="single" w:sz="8" w:color="CCEEFF"/>
            </w:tcBorders>
            <w:gridSpan w:val="5"/>
            <w:shd w:val="clear" w:color="auto" w:fill="CCEEFF"/>
          </w:tcPr>
          <w:p>
            <w:pPr>
              <w:spacing w:after="0"/>
              <w:rPr>
                <w:sz w:val="12"/>
                <w:szCs w:val="12"/>
                <w:color w:val="auto"/>
              </w:rPr>
            </w:pPr>
          </w:p>
        </w:tc>
        <w:tc>
          <w:tcPr>
            <w:tcW w:w="100" w:type="dxa"/>
            <w:vAlign w:val="bottom"/>
            <w:tcBorders>
              <w:bottom w:val="single" w:sz="8" w:color="0000EE"/>
              <w:right w:val="single" w:sz="8" w:color="CCEEFF"/>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F-8</w:t>
            </w:r>
          </w:p>
        </w:tc>
        <w:tc>
          <w:tcPr>
            <w:tcW w:w="56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42"/>
        </w:trPr>
        <w:tc>
          <w:tcPr>
            <w:tcW w:w="6140" w:type="dxa"/>
            <w:vAlign w:val="bottom"/>
            <w:tcBorders>
              <w:bottom w:val="single" w:sz="8" w:color="0000EE"/>
            </w:tcBorders>
            <w:gridSpan w:val="27"/>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Stockholders’ Equity for the years ended December 31, 2022, 2021, and 2020</w:t>
            </w:r>
          </w:p>
        </w:tc>
        <w:tc>
          <w:tcPr>
            <w:tcW w:w="4500" w:type="dxa"/>
            <w:vAlign w:val="bottom"/>
            <w:gridSpan w:val="4"/>
          </w:tcPr>
          <w:p>
            <w:pPr>
              <w:spacing w:after="0"/>
              <w:rPr>
                <w:sz w:val="12"/>
                <w:szCs w:val="12"/>
                <w:color w:val="auto"/>
              </w:rPr>
            </w:pPr>
          </w:p>
        </w:tc>
        <w:tc>
          <w:tcPr>
            <w:tcW w:w="100" w:type="dxa"/>
            <w:vAlign w:val="bottom"/>
            <w:tcBorders>
              <w:bottom w:val="single" w:sz="8" w:color="0000EE"/>
            </w:tcBorders>
          </w:tcPr>
          <w:p>
            <w:pPr>
              <w:jc w:val="center"/>
              <w:spacing w:after="0" w:line="135" w:lineRule="exact"/>
              <w:rPr>
                <w:sz w:val="20"/>
                <w:szCs w:val="20"/>
                <w:color w:val="auto"/>
              </w:rPr>
            </w:pPr>
            <w:r>
              <w:rPr>
                <w:rFonts w:ascii="Times New Roman" w:cs="Times New Roman" w:eastAsia="Times New Roman" w:hAnsi="Times New Roman"/>
                <w:sz w:val="14"/>
                <w:szCs w:val="14"/>
                <w:color w:val="0000EE"/>
                <w:w w:val="71"/>
              </w:rPr>
              <w:t>F-9</w:t>
            </w:r>
          </w:p>
        </w:tc>
        <w:tc>
          <w:tcPr>
            <w:tcW w:w="560" w:type="dxa"/>
            <w:vAlign w:val="bottom"/>
          </w:tcPr>
          <w:p>
            <w:pPr>
              <w:spacing w:after="0"/>
              <w:rPr>
                <w:sz w:val="12"/>
                <w:szCs w:val="12"/>
                <w:color w:val="auto"/>
              </w:rPr>
            </w:pPr>
          </w:p>
        </w:tc>
      </w:tr>
      <w:tr>
        <w:trPr>
          <w:trHeight w:val="142"/>
        </w:trPr>
        <w:tc>
          <w:tcPr>
            <w:tcW w:w="10640" w:type="dxa"/>
            <w:vAlign w:val="bottom"/>
            <w:tcBorders>
              <w:right w:val="single" w:sz="8" w:color="CCEEFF"/>
            </w:tcBorders>
            <w:gridSpan w:val="31"/>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660" w:type="dxa"/>
            <w:vAlign w:val="bottom"/>
            <w:gridSpan w:val="2"/>
            <w:shd w:val="clear" w:color="auto" w:fill="CCEEFF"/>
          </w:tcPr>
          <w:p>
            <w:pPr>
              <w:jc w:val="center"/>
              <w:ind w:right="500"/>
              <w:spacing w:after="0" w:line="135" w:lineRule="exact"/>
              <w:rPr>
                <w:sz w:val="20"/>
                <w:szCs w:val="20"/>
                <w:color w:val="auto"/>
              </w:rPr>
            </w:pPr>
            <w:r>
              <w:rPr>
                <w:rFonts w:ascii="Times New Roman" w:cs="Times New Roman" w:eastAsia="Times New Roman" w:hAnsi="Times New Roman"/>
                <w:sz w:val="12"/>
                <w:szCs w:val="12"/>
                <w:color w:val="0000EE"/>
                <w:w w:val="70"/>
              </w:rPr>
              <w:t>F-10</w:t>
            </w:r>
          </w:p>
        </w:tc>
      </w:tr>
      <w:tr>
        <w:trPr>
          <w:trHeight w:val="414"/>
        </w:trPr>
        <w:tc>
          <w:tcPr>
            <w:tcW w:w="2720" w:type="dxa"/>
            <w:vAlign w:val="bottom"/>
            <w:tcBorders>
              <w:top w:val="single" w:sz="8" w:color="0000EE"/>
            </w:tcBorders>
            <w:gridSpan w:val="16"/>
          </w:tcPr>
          <w:p>
            <w:pPr>
              <w:spacing w:after="0"/>
              <w:rPr>
                <w:sz w:val="24"/>
                <w:szCs w:val="24"/>
                <w:color w:val="auto"/>
              </w:rPr>
            </w:pPr>
          </w:p>
        </w:tc>
        <w:tc>
          <w:tcPr>
            <w:tcW w:w="3420" w:type="dxa"/>
            <w:vAlign w:val="bottom"/>
            <w:tcBorders>
              <w:top w:val="single" w:sz="8" w:color="CCEEFF"/>
            </w:tcBorders>
            <w:gridSpan w:val="11"/>
          </w:tcPr>
          <w:p>
            <w:pPr>
              <w:jc w:val="right"/>
              <w:ind w:right="46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7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r>
      <w:tr>
        <w:trPr>
          <w:trHeight w:val="36"/>
        </w:trPr>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PART I</w:t>
      </w:r>
    </w:p>
    <w:p>
      <w:pPr>
        <w:spacing w:after="0" w:line="14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1.</w:t>
      </w:r>
      <w:r>
        <w:rPr>
          <w:sz w:val="20"/>
          <w:szCs w:val="20"/>
          <w:color w:val="auto"/>
        </w:rPr>
        <w:tab/>
      </w:r>
      <w:r>
        <w:rPr>
          <w:rFonts w:ascii="Times New Roman" w:cs="Times New Roman" w:eastAsia="Times New Roman" w:hAnsi="Times New Roman"/>
          <w:sz w:val="14"/>
          <w:szCs w:val="14"/>
          <w:b w:val="1"/>
          <w:bCs w:val="1"/>
          <w:u w:val="single" w:color="auto"/>
          <w:color w:val="auto"/>
        </w:rPr>
        <w:t>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Vishay Intertechnology, Inc. (“Vishay,” the “Company,” “we,” “us,” or “our”) manufactures one of the world’s largest portfolios of discrete semiconductors and passive electronic components that support innovative designs in the automotive, industrial, computing, consumer, telecommunications, military, aerospace, and medical markets. Serving customers worldwide, Vishay brands itself as </w:t>
      </w:r>
      <w:r>
        <w:rPr>
          <w:rFonts w:ascii="Times New Roman" w:cs="Times New Roman" w:eastAsia="Times New Roman" w:hAnsi="Times New Roman"/>
          <w:sz w:val="14"/>
          <w:szCs w:val="14"/>
          <w:b w:val="1"/>
          <w:bCs w:val="1"/>
          <w:color w:val="auto"/>
        </w:rPr>
        <w:t>The DNA of tech</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Semiconductors include MOSFETs, diodes, and optoelectronic components. Passive components include resistors, inductors, and capacitors. Our semiconductor components are used for a wide variety of functions, including power control, power conversion, power management, signal switching, signal routing, signal blocking, signal amplification, two-way data transfer, one-way remote control, and circuit isolation. Our passive components are used to restrict current flow, suppress voltage increases, store and discharge energy, control alternating current (“AC”) and voltage, filter out unwanted electrical signals, and perform other functions.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Vishay Story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almost six decades we have been building what we call </w:t>
      </w:r>
      <w:r>
        <w:rPr>
          <w:rFonts w:ascii="Times New Roman" w:cs="Times New Roman" w:eastAsia="Times New Roman" w:hAnsi="Times New Roman"/>
          <w:sz w:val="14"/>
          <w:szCs w:val="14"/>
          <w:b w:val="1"/>
          <w:bCs w:val="1"/>
          <w:color w:val="auto"/>
        </w:rPr>
        <w:t>The DNA of tech.</w:t>
      </w:r>
      <w:r>
        <w:rPr>
          <w:rFonts w:ascii="Times New Roman" w:cs="Times New Roman" w:eastAsia="Times New Roman" w:hAnsi="Times New Roman"/>
          <w:sz w:val="23"/>
          <w:szCs w:val="23"/>
          <w:b w:val="1"/>
          <w:bCs w:val="1"/>
          <w:color w:val="auto"/>
          <w:vertAlign w:val="superscript"/>
        </w:rPr>
        <w:t>TM</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Vishay journey began with one man, the late Dr. Felix Zandman, and a revolutionary technology. In the 1950’s, Dr. Felix Zandman was issued patents for his PhotoStress® coatings and instruments, used to reveal and measure the distribution of stresses in structures such as airplanes and cars under live load conditions. His research in this area led him to develop Bulk Metal® foil resistors – ultra-precise, ultra-stable resistors with performance exceeding any other resistor available to date.</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1962, Dr. Zandman, with a loan from the late Alfred P. Slaner, founded Vishay to develop and manufacture Bulk Metal foil resistors. Concurrently, J.E. Starr developed foil resistance strain gages, which also became part of Vishay. Throughout the 1960’s and 1970’s, Vishay established itself as a technical and market leader in foil resistors, PhotoStress products, and strain gages.</w:t>
      </w:r>
    </w:p>
    <w:p>
      <w:pPr>
        <w:spacing w:after="0" w:line="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 xml:space="preserve">From that beginning, we grew and strengthened our business both organically and through strategic passive component acquisitions beginning in 1985 and semiconductor acquisitions beginning in the late 1990’s. From discrete semiconductors to passive components; from the smallest diode to the most powerful capacitor, Vishay manufactures a breadth of products which we call </w:t>
      </w:r>
      <w:r>
        <w:rPr>
          <w:rFonts w:ascii="Times New Roman" w:cs="Times New Roman" w:eastAsia="Times New Roman" w:hAnsi="Times New Roman"/>
          <w:sz w:val="14"/>
          <w:szCs w:val="14"/>
          <w:b w:val="1"/>
          <w:bCs w:val="1"/>
          <w:color w:val="auto"/>
        </w:rPr>
        <w:t>The DNA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 tech.™</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Through R&amp;D, manufacturing, engineering, quality, sales and marketing, we generate a variety of components that support inventors and innovators creating new generations of products spanning many sectors: automotive, industrial, computing, consumer, telecommunications, military, aerospace, and medical.</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Together with major manufacturers of electronic products worldwide, we are supporting next level automation in multiple areas, including factories, the electrification of the automobile, 5G network technology, and the rapid expansion of connectivity across everything (IoT).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continue to implement Dr. Zandman’s vision, strategy, and culture as we work tirelessly to enhance value for our stockholders.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Vishay was incorporated in Delaware in 1962 and maintains its principal executive offices at 63 Lancaster Avenue, Malvern, Pennsylvania 19355-2143. Our telephone number is (610) 644-1300.</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Technology Leader</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As industry evolves, </w:t>
      </w:r>
      <w:r>
        <w:rPr>
          <w:rFonts w:ascii="Times New Roman" w:cs="Times New Roman" w:eastAsia="Times New Roman" w:hAnsi="Times New Roman"/>
          <w:sz w:val="14"/>
          <w:szCs w:val="14"/>
          <w:b w:val="1"/>
          <w:bCs w:val="1"/>
          <w:color w:val="auto"/>
        </w:rPr>
        <w:t>The DNA of tech™</w:t>
      </w:r>
      <w:r>
        <w:rPr>
          <w:rFonts w:ascii="Times New Roman" w:cs="Times New Roman" w:eastAsia="Times New Roman" w:hAnsi="Times New Roman"/>
          <w:sz w:val="14"/>
          <w:szCs w:val="14"/>
          <w:color w:val="auto"/>
        </w:rPr>
        <w:t xml:space="preserve"> evolves. We were founded based on the inventions of Dr. Felix Zandman and we continue to emphasize technological innovation as a driver of growth. Many of our products and manufacturing techniques, technologies, and packaging methods have been invented, designed, and developed by Dr. Zandman, our engineers, and our scientists. Our components today are smaller, faster, and more reliable than in the past, helping our customers to be more inventive and evolve their businesses. Our components are used by virtually all major manufacturers of electronic products worldwide in the automotive, industrial, computing, consumer, telecommunications, military and aerospace, and medical markets. They are found inside products and systems used every day, from automobiles to airplanes, power grids, phones, and pacemakers. We are currently a worldwide technology and market leader in wirewound and other power resistors, leaded film resistors, thin film SMD resistors, power inductors, wet and conformal-coated tantalum capacitors, capacitors for power electronics, power rectifiers, low-voltage power MOSFETs, and infrared components.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Provides Customer-Driven Growth Solutions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maintain strategically placed application and product support centers where proximity to customers and our manufacturing locations enables us to more easily gauge and satisfy the needs of local markets. The breadth of our product portfolio along with the proximity of our field application engineers to customers provides increased opportunities to have our components selected and designed into new end products by customers in all relevant market segments. We also maintain research and development personnel and promote programs at a number of our production facilities to develop new products and new applications of existing products, and to improve manufacturing processes and technologies. We plan to grow our business and increase earnings per share, in part, through accelerating the development of new products and technologies and increasing design-in opportunities by expanding our technical resources for providing solutions to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Excellence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a leading manufacturer in our industry, with a broad product portfolio, access to a wide range of end markets and sales channels, and geographic diversity. We have solid, well-established relationships with our customers and strong distribution channels. Our senior management team is highly experienced, with deep industry knowledge. Over the past two decades, our management team has successfully restructured our company and integrated several acquisitions. We can adapt our operations to changing economic conditions, as demonstrated by our ability to remain profitable and generate cash through the volatile economic cycle of the recent past.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Broad Market Penetration</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have one of the broadest product lines of discrete semiconductors and passive components among our competitors. Our broad product portfolio allows us to penetrate markets in all industry segments and all regions, which reduces our exposure to a particular end market or geographic location. We plan to grow our business and increase earnings per share, in part, through improving market penetration by expanding manufacturing facilities for our most successful products, increasing technical resources, and developing markets for specialty products in Asia. Over the next few years, we expect to experience higher growth rates than over the last decade. This expectation is based upon accelerated electrification, such as factory automation, electrical vehicles, and 5G infrastructure. See Note 15 to our consolidated financial statements for net revenues by region and end market.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Strong Track Record of Growth through Acquisitions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Since 1985, we have expanded our product line through various strategic acquisitions, growing from a small manufacturer of precision resistors and resistance strain gages to one of the world’s largest manufacturers and suppliers of a broad line of electronic components. We have successfully integrated the acquired companies within our existing management and operational structure, reducing selling, general, and administrative expenses through the integration or elimination of redundant sales and administrative functions, creating manufacturing synergies, while improving customer service. We plan to grow our business and increase earnings per share, in part, through targeted acquisitions. We have often targeted high margin niche business acquisitions. We also target strategic acquisitions of businesses with technology and engineering capabilities that we can further develop and commercialize to grow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Strong Free Cash Flow Generation</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refer to the amount of cash generated from operations in excess of our capital expenditure needs and net of proceeds from the sale of assets as “free cash” (see "Overview" included in Item 7, “Management’s Discussion and Analysis of Financial Condition and Results of Operations” for "free cash" definition and reconciliation to generally accepted accounting principles ("GAAP")). Due to our strong operational management, cost control measures, efficient capital expenditures, broad product portfolio, and strong market position, we have generated positive “free cash” in each of the past 26 years and “free cash” in excess of $80 million in each of the past 21 years. We expect the benefits of our restructuring and other cost cutting measures (see “Cost Management” included in Item 7, “Management’s Discussion and Analysis of Financial Condition and Results of Operations”) to contribute to our “free cash” generation going forward.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Strength and Flexibility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2022, our cash and short-term investment balance exceeded our debt balance by $415.2 million. We also maintain a credit facility, which provides a revolving commitment of up to $750 million through June 5, 2024, of which $707.1 million was available as of December 31, 2022. Our net cash position and short-term investment balance, available revolving commitment, and strong “free cash” flow generation provide financial strength and flexibility and reduce our exposure to future economic uncertainties.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95"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Our Key Challenges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Environment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business and operating results have been and will continue to be impacted by the global economy and the local economies in which our customers operate. Our revenues are dependent on end markets that are impacted by fluctuating consumer and industrial demand, and our operating results can be adversely affected by reduced demand in those markets.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is highly competitive worldwide, with low transportation costs and few import barriers. Our major competitors, some of which are larger than us, have significant financial resources and technological capabilities. To continue to grow our business successfully, we need to continually develop, introduce, and market new and innovative products, modify existing products, respond to technological change, and customize certain products to meet customer requirements.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Continuous Innovation and Protection of Intellectual Property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compete effectively with other companies depends, in part, on our ability to maintain the proprietary nature of our technology. Although we have been awarded, have filed applications for, or have licenses to use, numerous patents in the United States and other countries, there can be no assurance concerning the degree of protection afforded by these patents or the likelihood that pending patents will be issued.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Continuing to Grow through Acquisitions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long-term historical growth in revenues and net earnings has resulted in large part from our strategy of growth through acquisitions. For this strategy to remain successful, we need to continue to identify attractive and available acquisition candidates, complete acquisitions on favorable terms, and integrate new businesses, manufacturing processes, employees, and logistical arrangements into our existing management and operating infrastructure.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Events: COVID-19 Pandemic</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COVID-19 pandemic continues to have an adverse global impact, while the widespread economic impact on Vishay was temporary, as evidenced by our revenues since the beginning of 2021. The negative impacts on Vishay included disruptions in our ability to manufacture products, disruptions in the operations of our customers, and disruptions in shipping, which contributed to higher costs. Similar disruptions have occurred on a more limited scale and may continue to occur. To continue to be successful, we will need to continue to adapt our business and operations for the impacts of the COVID-19 pandemic and potential future coronavirus outbreaks and the mitigation efforts by governments to attempt to control their spread.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Events: Supply Chain Disruption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our products is reliant on a complex global interconnected supply chain of vendors, manufacturing facilities, third-party contractors, shipping partners, distributors, and end market customers. Our production and results of operations can be negatively impacted by disruptions to any part of the supply chain, many of which are beyond our control. We remain cognizant of these challenges and seek to minimize their effects whenever possible. For a more detailed discussion, see "Supply Chain" below.</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For a more detailed discussion of the risks and uncertainties inherent in our business, which could materially and adversely affect our business, results of operations or financial condition, see “Risk Factors” in Item 1A.</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Key Business Strategies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strategy principally consists of the following elements: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Think Customer First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maintain significant production facilities in those regions where we market the bulk of our products in order to enhance the service and responsiveness that we provide to our customers. We aim to further strengthen our relationships with customers and strategic partners by providing broad product lines that allow us to provide “one-stop shop” service, whereby they can streamline their design and purchasing processes by ordering multiple types of products, by anticipating customer needs, and supporting increasing customer demand.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 in Innovation to Drive Growth</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plan to continue to use our research and development (“R&amp;D”), engineering, and product marketing resources to continually roll out new and innovative products. As part of our plan to foster intensified internal growth, we have increased our worldwide R&amp;D and engineering technical staff, and increased our technical field sales force in Asia to increase opportunities to design-in our products in local markets. Our ability to react to changing customer needs and industry trends will continue to be key to our success. We intend to leverage our insights into customer demand to continually develop new innovative products within our existing lines and to modify our existing core products to make them more appealing, addressing changing customer needs and industry trends. We are directing increased funding and are focusing on developing products to capitalize on the mega trends of electrification, data storage, and wireless communications that are critical to our future success.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also investing in additional capital expenditures to expand key product lines. Over the next few years, we expect to experience higher growth rates than over the last decade. This expectation is based upon accelerated electrification, such as factory automation, electrical vehicles, and 5G infrastructure.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Growth through Strategic Acquisitions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plan to continue to expand within the electronic components industry, through the acquisition of other manufacturers of electronic components that have established positions in major markets, reputations for product innovation, quality, and reliability, strong customer bases, and product lines with which we have substantial marketing and technical expertise. It also includes certain businesses that possess technologies which we expect to further develop and commercialize.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Management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place a strong emphasis on controlling our costs. We focus on controlling fixed costs and reducing variable costs. When our ongoing cost management activities are not adequate, we take actions to maintain our cost competitiveness including restructuring our business to improve efficiency and operating performance.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growth plan was designed based on the tenets of the key business strategies listed above.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design, manufacture, and market electronic components that cover a wide range of functions and technologies. Our products include commodity, non-commodity, and custom products in which we believe we enjoy a good reputation and strong brand recognition, including our Siliconix, Dale, Draloric, Beyschlag, Sfernice, MCB, UltraSource, Applied Thin-Film Products, IHLP®, HiRel Systems, Sprague, Vitramon, Barry, Roederstein, ESTA, and BCcomponents brands. We promote our ability to provide “one-stop shop” service to customers, whereby they can streamline their design and purchasing processes by ordering multiple types of products from Vishay. Our technical sales force consisting of field application engineers offers customers the complete breadth of the Vishay portfolio for their applications. We aim to use this broad portfolio to increase opportunities to have our components selected and “designed in” to new end products.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consider any product which is completely interchangeable with a competitor’s product to be a “commodity product.” Commodity products serve many markets. Commodity products generally comprise about 35% to 40% of our annual revenues.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consider any of our standard products that may be sold to multiple customers, which is not completely interchangeable with a competitor’s product, to be a “non-commodity” product. Non-commodity products generally have a small number of competitors who have similar, but not exact, products. Non-commodity products typically serve a particular end-use market. Non-commodity products generally comprise about 40% to 45% of our annual revenues.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also sell several custom products. Usually, a custom product is designed for a specific customer, and such part number is sold to only that customer. Custom products generally comprise about 20% to 25% of our annual revenues.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evaluate our level of product innovation by measuring how much of our revenue is derived from products developed in the previous five years. Products for certain end-use markets, particularly the automotive market, tend to have longer product life cycles, which may impact these metrics. Approximately 25% of our annual revenues are generated by products that were developed in the previous five years.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Segments</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Our products can be divided into two general classes: semiconductors and passive components. Semiconductors are sometimes referred to as “active components” because they require power to function whereas passive components do not require power to function. Our semiconductor and passive components products are further categorized based on their functionality for financial reporting purposes.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i w:val="1"/>
          <w:iCs w:val="1"/>
          <w:color w:val="auto"/>
        </w:rPr>
        <w:t>Semiconductors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semiconductor products include metal oxide semiconductor field-effect transistors ("MOSFETs"), diodes, and optoelectronic components. Semiconductors are typically used to perform functions such as switching, amplifying, rectifying, routing, or transmitting electrical signals, power conversion, and power management.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MOSFETs Segment</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MOSFETs function as solid state switches to control power. Our MOSFETs business includes both the commodity and non-commodity markets in which we believe that we enjoy a good reputation and strong brand recognition (Siliconix). MOSFETs applications include mobile phones, notebook and desktop computers, tablet computers, digital cameras, televisions, DC/DC and AC/DC switch mode power supplies, solar inverters, automotive and industrial systems. We are a leader in low-voltage TrenchFET MOSFETs and also offer high-voltage MOSFETs. Our MOSFETs product line includes low- and medium-voltage TrenchFET MOSFETs, high-voltage planar MOSFETs, high voltage Super Junction MOSFETs, power integrated circuits (power ICs), and integrated function power devices. We are one of the technology leaders in MOSFETs, with a tradition of innovation in wafer design, packaging, and performance. Our acquisition of MaxPower Semiconductor, Inc. on October 28, 2022 adds leading edge silicon and silicon carbide technology to our MOSFETs product line.</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Commodity products generally comprise about 55% to 60% of our annual MOSFETs segment revenues. Non-commodity products generally comprise about 30% to 35% of our annual MOSFETs segment revenues. Custom products generally comprise 10% to 15% of our annual MOSFETs segment revenues. Approximately 30% of our annual MOSFETs segment revenues are generated by products that were developed in the previous five years.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Diodes Segment</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Diodes route, regulate, and block radio frequency, analog, and power signals; protect systems from surges or electrostatic discharge damage; or provide electromagnetic interference filtering. Our Diodes business is a solid business with a strong market presence in both the commodity and non-commodity markets. The products that comprise our Diodes business represent our broadest product line and include rectifiers, small signal diodes, protection diodes, thyristors/SCRs and power modules. The primary application of rectifiers, found inside the power supplies of virtually all electronic equipment, is to derive DC power from the AC supply. Vishay is the worldwide leader in rectifiers, having a broad technology base and a good position in automotive, industrial, computing and consumer markets. Our rectifier innovations include TMBS® using Trench MOS barrier Schottky rectifier technology, which reduces power loss and improves the efficiency of end systems and eSMP®, the best in class high-current density surface mount packages. Our wide selection of small signal diodes consist of the following functions: switching, tuning, band-switching, RF attenuation and voltage regulation (Zener). They are available in various glass and plastic packaging options and generally are used in electronic circuits, where small currents and high frequencies are involved. Vishay is also one of the market leaders for TVS (transient voltage suppressor) diodes. The portfolio of protection diodes includes ESD protection and EMI filter. Our thyristors or SCR (silicon-controlled rectifiers) are very popular in the industrial high-voltage AC power control applications. The fast growing markets of solar inverter and HEV/EV are the focus of our power modules business (IGBT or MOSFET modules). These modules can be customized to fit in different customer design requirements.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Commodity products generally comprise about 55% to 60% of our annual Diodes segment revenues. Non-commodity products generally comprise about 25% to 30% of our annual Diodes segment revenues. Custom products generally comprise about 15% to 20% of our annual Diodes segment revenues. Approximately 30% of our annual Diodes segment revenues are generated by products that were developed in the previous five years.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Optoelectronic Components Segment</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Optoelectronic components emit light, detect light, or do both. Our Optoelectronic Components business has a strong market presence in both the commodity and non-commodity markets. Our broad range of standard and customer specific optoelectronic components includes infrared (“IR”) emitters and detectors, IR remote control receivers, optocouplers, solid-state relays, optical sensors, light-emitting diodes (“LEDs”), 7-segment displays, and IR data transceiver modules (IrDA®). Our IR remote control receivers are designed for use in infrared remote control, data transmission, and light barrier applications in end products including televisions, set-top boxes, notebook computers, and audio systems. We are the leading manufacturer of IR remote control receivers. Our optocouplers electrically isolate input and output signals. Uses include switch-mode power supplies, consumer electronics, telecommunications equipment, solar inverters, and industrial systems. Our IR data transceiver modules are used for short range, two-way, high-speed, and secure wireless data transfer between electronic devices such as home medical appliances, mobile phones, industrial data loggers, and metering. Our optical sensors product line was considerably strengthened by our acquisition of Capella in 2014. Our optical sensors products include ambient light sensors, optical encoders, integrated photodiode and I/V amplifiers, proximity sensors, color sensors, and UV sensors. Applications include telecommunications, mobile phones, smartphone, handheld devices, digital cameras, laptops, desktop computers, LED backlighting, office automation equipment, household electrical appliance and automotive electronics. Our LEDs are designed for backlighting and illumination in automotive and other applications. Our LEDs include ultra-bright as well as small surface-mount packages, with products available in all standard colors including white.</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All of our Optoelectronic Components segment products are non-commodity or custom products. Approximately 25% of our annual Optoelectronic Components segment revenues are generated by products that were developed in the previous five years.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78"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Passive Components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Our passive components include resistors, inductors, and capacitors. Passive components are used to store electrical charges, to limit or resist electrical current, and to help in filtering, surge suppression, measurement, timing, and tuning applications.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Resistors Segment</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Resistors impede electric current. Resistors are basic components used in all forms of electronic circuitry to adjust and regulate levels of voltage and current. Our Resistors business is our original business. We maintain the broadest portfolio of resistor products worldwide. Under current market conditions, the business is solid, predictable, and growing at relatively stable selling prices. We are a market leader with a strong technology base, many specialty products, and strong brand recognition (such as our Dale, Draloric, Beyschlag, and Sfernice brands). We focus on higher value markets in specialized industries, while maintaining a complete portfolio of commodity products. We do not aim to be the volume leader in commodity markets.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Resistors vary widely in precision and cost, and are manufactured from numerous materials and in many forms. Linear resistive components are classified as variable or fixed, depending on whether or not their resistance is adjustable. Non-linear resistors function by varying in resistance under influence of temperature (thermistors) or voltage (varistors). They can be used in temperature-measuring applications or as current or voltage-limiting devices. We manufacture virtually all types of fixed resistors, both in discrete and network forms, as well as many variable types.</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resistor innovations include Power Metal Strip® technology. These resistors feature very low resistance and are used to measure changes in current flow (current sensing) or divert current flow (shunting).</w:t>
      </w:r>
    </w:p>
    <w:p>
      <w:pPr>
        <w:spacing w:after="0" w:line="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Commodity products generally comprise about 20% to 25% of our annual Resistors segment revenues. Non-commodity products generally comprise about 50% to 55% of our annual Resistors segment revenues. Custom products generally comprise about 25% to 30% of our annual Resistors segment revenues. Approximately 15% of our annual Resistors segment revenues are generated by products that were developed in the previous five years.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Inductors Segment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Inductors also impede electric current. Inductors use an internal magnetic field to change alternating current phase and resist alternating current. While part of our traditional business, the inductors product line has grown significantly in recent years. We are a market leader with a strong technology base, many specialty products, and strong name recognition (such as our IHLP® and HiRel Systems brands). We focus on higher value markets in specialized industries, such as the industrial, automotive, military, and medical end markets.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Inductor applications include controlling AC current and voltage, filtering out unwanted electrical signals, and energy storage. Vishay inductor innovations include our patented IHLP low-profile, high-current inductor technology with industry-leading specifications. Our low-profile, high-current inductors save circuit board space and power in voltage regulator module (“VRM”) and DC to DC converter applications. In addition, we are a worldwide leader in custom magnetic solutions focusing on high performance and high reliability.</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Substantially all of our Inductors segment products are non-commodity or custom products. Approximately 20% of our annual Inductors segment revenues are generated by products that were developed in the previous five years.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Capacitors Segment</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Capacitors store energy and discharge it when needed. Our Capacitors business consists of a broad range of reliable, high-quality products. We have a strong presence worldwide in specialty markets based on our product performance and reliability and strong brand recognition (including our Sprague, Vitramon, Roederstein, BCcomponents, and ESTA brands). We focus on higher value markets in specialized industries, while maintaining a complete portfolio of commodity products. We do not aim to be the volume leader in commodity markets. Capacitors are used in almost all electronic circuits. They store energy and discharge it when needed. Important applications for capacitors include electronic filtering for linear and switching power supplies; decoupling and bypass of electronic signals for integrated circuits and circuit boards; and frequency control, timing and conditioning of electronic signals for a broad range of applications.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manufacture products based on all major capacitor technologies: tantalum (molded chip tantalum, coated chip tantalum, solid through-hole tantalum, wet tantalum, and polymer), ceramic (multilayer chip and ceramic disc), film, power, heavy-current, and aluminum electrolytic. Our capacitors range from tiny surface-mount devices for hearing aids and mobile devices to large power correction capacitors used in renewable energy, heavy industry, and electrical power grids. We are a recognized technology leader in many product ranges, securing our strong position in military and medical markets, and in a wide range of industrial and automotive applications. Our wet tantalum and MicroTan™ technologies are market leaders.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Commodity products generally comprise about 30% to 35% of our annual Capacitors segment revenues. Non-commodity products generally comprise about 45% to 50% of our annual Capacitors segment revenues. Custom products generally comprise about 15% to 20% of our annual Capacitors segment revenues. Approximately 25% of our annual Capacitors segment revenues are generated by products that were developed in the previous five years.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Military Qualifications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qualified certain of our products under various military specifications approved and monitored by United States government agencies, and under certain European military specifications. Qualification levels are based in part upon the rate of failure of products. In order to maintain the classification level of a product, we must continuously perform tests on the product and the results of these tests must be reported to the government agencies. If the product fails to meet the requirements for the applicable classification level, the product’s classification may be reduced to a lower level. During the time that the classification level is reduced for a product with military application, net revenues and earnings attributable to that product may be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Operations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order to better serve our customers, we maintain production facilities in locations where we market the bulk of our products, such as the United States, Germany, and Asia. To optimize production efficiencies, we have whenever practicable established manufacturing facilities in countries, such as India, Israel, Malaysia, Mexico, the People’s Republic of China, and the Philippines, where we can benefit from lower labor costs and also benefit from various government incentives, including tax relief.</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One of our most sophisticated manufacturing operations is the production of power semiconductor components. This manufacturing process involves two phases of production: wafer fabrication and assembly (or packaging). Wafer fabrication subjects silicon wafers to various thermal, metallurgical, and chemical process steps that change their electrical and physical properties. These process steps define cells or circuits within numerous individual devices (termed “dies” or “chips”) on each wafer. Assembly is the sequence of production steps that divides the wafer into individual chips and encloses the chips in structures (termed “packages”) that make them usable in a circuit. Both wafer fabrication and assembly phases incorporate wafer level and device level electrical testing to ensure that device design integrity has been achieved.</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In the United States, our manufacturing facilities are located in California, Connecticut, Massachusetts, Minnesota, Nebraska, New Hampshire, New York, Rhode Island, South Dakota, Vermont, and Wisconsin. In Asia, our main manufacturing facilities are located in the People’s Republic of China, the Republic of China (Taiwan), India, and Malaysia. In Europe, our main manufacturing facilities are located in Germany, France, and the Czech Republic. We have substantial manufacturing facilities in Israel. We also have manufacturing facilities in Austria, Dominican Republic, Japan, Hungary, Italy, Mexico, Portugal, and the Philippines. Over the past several years, we have invested substantial resources to increase the efficiency of our plants, which we believe will further reduce production costs.</w:t>
      </w:r>
    </w:p>
    <w:p>
      <w:pPr>
        <w:spacing w:after="0" w:line="112" w:lineRule="exact"/>
        <w:rPr>
          <w:sz w:val="20"/>
          <w:szCs w:val="20"/>
          <w:color w:val="auto"/>
        </w:rPr>
      </w:pPr>
    </w:p>
    <w:p>
      <w:pPr>
        <w:ind w:right="160"/>
        <w:spacing w:after="0" w:line="456" w:lineRule="auto"/>
        <w:rPr>
          <w:sz w:val="20"/>
          <w:szCs w:val="20"/>
          <w:color w:val="auto"/>
        </w:rPr>
      </w:pPr>
      <w:r>
        <w:rPr>
          <w:rFonts w:ascii="Times New Roman" w:cs="Times New Roman" w:eastAsia="Times New Roman" w:hAnsi="Times New Roman"/>
          <w:sz w:val="14"/>
          <w:szCs w:val="14"/>
          <w:color w:val="auto"/>
        </w:rPr>
        <w:t xml:space="preserve">All of our manufacturing operations have received ISO 9001 certification. ISO 9001 is a comprehensive set of quality program standards developed by the International Standards Organization. </w:t>
      </w:r>
      <w:r>
        <w:rPr>
          <w:rFonts w:ascii="Times New Roman" w:cs="Times New Roman" w:eastAsia="Times New Roman" w:hAnsi="Times New Roman"/>
          <w:sz w:val="14"/>
          <w:szCs w:val="14"/>
          <w:b w:val="1"/>
          <w:bCs w:val="1"/>
          <w:color w:val="auto"/>
        </w:rPr>
        <w:t>Supply Chain</w:t>
      </w: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our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disruptions experienced in the recent years have, at times, negatively impacted our ability to manufacture products and to deliver them to customers.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most materials incorporated into our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us to temporarily cease or reduce production or incur additional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Many of the metals used in the manufacture of our products, including gold, copper, and palladium, are traded on active markets and can be subject to significant price volatility. To ensure adequate supply and to provide cost certainty, our policy is to enter into short-term commitments to purchase defined portions of annual consumption of the raw materials utilized if market prices decline below budget. If after entering into these commitments, the market prices for these raw materials decline, we must recognize losses on these adverse purchase commitments. In certain circumstances, we also purchase precious metals bullion in excess of our immediate manufacturing needs to mitigate the risk of supply shortages or volatile price fluctuations.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production can be disrupted by the unavailability of resources, such as water, energy, and gases. The unavailability or reduced availability of these resources could require us to reduce production or incur additional costs.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use third-party foundries and subcontractors for certain of our manufacturing activities, primarily wafer fabrication and the assembly and testing of finished goods. Establishing third-party contract manufacturer relationships can be time consuming and costly, and the number of qualified providers is limited. Our agreements with these manufacturers typically require us to commit to purchase services based on forecasted product needs, which may be inaccurate, and, in some cases, require us to recognize losses on these adverse purchase commitments. Our agreements may limit our ability to increase production, particularly during periods of growing demand for our products.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4"/>
          <w:szCs w:val="14"/>
          <w:color w:val="auto"/>
        </w:rPr>
        <w:t>Due to our global supply chain, we are impacted by global trade disputes. The governments of the U.S. and the People’s Republic of China remain in a trade dispute that has resulted in tariffs and other trade restrictions including import / export prohibitions. Disruptions to global trade could result in customers seeking different sources of product or requiring us to seek different sources of supply. New or revised trade agreements could require changes in operations in the long-term.</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remain cognizant of these supply chain challenges and seek to minimize their effects whenever possible. Despite our best efforts, there can be no assurances we will be successful in mitigating these risks.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 and Backlog</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manufacture both standardized products and those designed and produced to meet customer specifications. We maintain an inventory of standardized components and monitor the backlog of outstanding orders for our products.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include in our backlog only open orders that we expect to ship in the next twelve months. Many of our customers encounter uncertain and changing demand for their products. They typically order products from us based on their forecasts. If demand falls below customers’ forecasts, or if customers do not control their inventory effectively, they may cancel or reschedule the shipments included in our backlog, in many instances without the payment of any penalty. Therefore, our backlog at any point in time is not necessarily indicative of the results to be expected for future periods.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 and Marketing</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sell our products to original equipment manufacturers (“OEMs”), electronic manufacturing services (“EMS”) companies, which manufacture for OEMs on an outsourcing basis, and independent distributors that maintain large inventories of electronic components for resale to OEMs and EMS companies. See Note 15 to our consolidated financial statements for net revenues by customer type.</w:t>
      </w:r>
    </w:p>
    <w:p>
      <w:pPr>
        <w:spacing w:after="0" w:line="2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sales organizations are regionally based. While our sales and support procedures are typically similar across all regions, we remain flexible in our ability to offer programs tailored to our customers’ specific support requirements in each local area. The aim of our sales organizations is supporting our customers across all product lines, developing new design wins, negotiating contracts, and providing general commercial support as would normally be expected of a large multi-national sales force.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an established Strategic Global Account program, which provides each of our top customers with a dedicated Strategic Global Account Manager. Our Strategic Global Account Managers are typically highly experienced salesmen or saleswomen who are capable of providing key customers with the coordination and management visibility required in a complex multi-product business relationship. They typically coordinate the sales, pricing, contract, logistic, quality, and other aspects of the customer’s business requirements. The Strategic Global Account Manager normally is the focal point of communication between Vishay and our main customers. We maintain a similar program for our strategic distributors as well.</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work with our customers so that our products are incorporated into the design of electronic equipment at the earliest stages of development and to provide technical and applications support. In addition to our staff of direct field sales personnel, independent manufacturers’ representatives, and distributors, our Business Development group maintains teams of dedicated Field Application Engineers (“FAEs”) to assist our customers in solving technical problems and in developing products to meet specific customer application needs using our entire product portfolio to provide support for our customers’ engineering needs. Organized by market segment, our Business Development FAEs bring specific knowledge of component applications in their areas of expertise in the automotive, telecommunications, computer, consumer/entertainment, industrial, peripherals, digital consumer, and other market segments. With the ultimate goal of a Vishay “design-in” – the process by which our customers specify a Vishay component in their products – this program offers our customers enhanced access to all Vishay technologies while at the same time increasing design wins, and ultimately sales, for us. Most importantly, the process is closely monitored via a proprietary database developed by our Business Development group. Our database captures specific design activities and allows for real-time measurement of new business potential for our management team.</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top 30 customers have been relatively stable despite not having long-term commitments to purchase our products. With selected customers, we have signed longer term (greater than one year) contracts for specific products. Net revenues from our top 30 customers represent approximately 70% of our total net revenues. No single customer comprised more than 10% of our total net revenues for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certain areas we also work with sales representatives. The commission expense for these sales representatives is not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our products and manufacturing techniques, technologies, and packaging methods have been invented, designed, and developed by Dr. Felix Zandman, our engineers, and our scientists. We maintain strategically placed design centers where proximity to customers enables us to more easily gauge and satisfy the needs of local markets. These design centers are located predominantly in the United States, Germany, Italy, Israel, the People’s Republic of China, France, and the Republic of China (Taiwan).</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also employ research and development personnel and promote programs at a number of our production facilities to develop new products and new applications of existing products and to improve manufacturing processes and technologies. This decentralized system encourages product development at individual manufacturing facilities, closer to our customers.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face strong competition in various product lines from both domestic and foreign manufacturers. Our primary competitors by product type include:</w:t>
      </w:r>
    </w:p>
    <w:p>
      <w:pPr>
        <w:spacing w:after="0" w:line="143"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MOSFETs: </w:t>
      </w:r>
      <w:r>
        <w:rPr>
          <w:rFonts w:ascii="Times New Roman" w:cs="Times New Roman" w:eastAsia="Times New Roman" w:hAnsi="Times New Roman"/>
          <w:sz w:val="14"/>
          <w:szCs w:val="14"/>
          <w:color w:val="auto"/>
        </w:rPr>
        <w:t>Infineon, ON Semiconductor, Renesas, STMicroelectronics, Toshiba.</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Diodes: </w:t>
      </w:r>
      <w:r>
        <w:rPr>
          <w:rFonts w:ascii="Times New Roman" w:cs="Times New Roman" w:eastAsia="Times New Roman" w:hAnsi="Times New Roman"/>
          <w:sz w:val="14"/>
          <w:szCs w:val="14"/>
          <w:color w:val="auto"/>
        </w:rPr>
        <w:t>Diodes Inc., Nexperia, ON Semiconductor, Rohm, STMicroelectronics.</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Optoelectronic Components: </w:t>
      </w:r>
      <w:r>
        <w:rPr>
          <w:rFonts w:ascii="Times New Roman" w:cs="Times New Roman" w:eastAsia="Times New Roman" w:hAnsi="Times New Roman"/>
          <w:sz w:val="14"/>
          <w:szCs w:val="14"/>
          <w:color w:val="auto"/>
        </w:rPr>
        <w:t>Broadcom, ON Semiconductor, Renesas, Toshiba.</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Resistors: </w:t>
      </w:r>
      <w:r>
        <w:rPr>
          <w:rFonts w:ascii="Times New Roman" w:cs="Times New Roman" w:eastAsia="Times New Roman" w:hAnsi="Times New Roman"/>
          <w:sz w:val="14"/>
          <w:szCs w:val="14"/>
          <w:color w:val="auto"/>
        </w:rPr>
        <w:t>Bourns, KOA, Murata, Panasonic, Rohm, TDK-EPCOS, Yageo.</w:t>
      </w:r>
    </w:p>
    <w:p>
      <w:pPr>
        <w:spacing w:after="0" w:line="14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Inductors: </w:t>
      </w:r>
      <w:r>
        <w:rPr>
          <w:rFonts w:ascii="Times New Roman" w:cs="Times New Roman" w:eastAsia="Times New Roman" w:hAnsi="Times New Roman"/>
          <w:sz w:val="14"/>
          <w:szCs w:val="14"/>
          <w:color w:val="auto"/>
        </w:rPr>
        <w:t>Bourns, Cyntec, Murata, Panasonic, Taiyo Yuden, TDK-EPCOS, Yageo.</w:t>
      </w:r>
    </w:p>
    <w:p>
      <w:pPr>
        <w:spacing w:after="0" w:line="145" w:lineRule="exact"/>
        <w:rPr>
          <w:rFonts w:ascii="Times New Roman" w:cs="Times New Roman" w:eastAsia="Times New Roman" w:hAnsi="Times New Roman"/>
          <w:sz w:val="14"/>
          <w:szCs w:val="14"/>
          <w:color w:val="auto"/>
        </w:rPr>
      </w:pPr>
    </w:p>
    <w:p>
      <w:pPr>
        <w:ind w:right="5780" w:firstLine="208"/>
        <w:spacing w:after="0" w:line="457" w:lineRule="auto"/>
        <w:tabs>
          <w:tab w:leader="none" w:pos="4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Capacitors: </w:t>
      </w:r>
      <w:r>
        <w:rPr>
          <w:rFonts w:ascii="Times New Roman" w:cs="Times New Roman" w:eastAsia="Times New Roman" w:hAnsi="Times New Roman"/>
          <w:sz w:val="14"/>
          <w:szCs w:val="14"/>
          <w:color w:val="auto"/>
        </w:rPr>
        <w:t>Kyocera, Murata, Nichicon, Panasonic, Taiyo Yuden, TDK-EPCOS, Yageo.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 are many other companies that produce products in the markets in which we compete.</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competitive position depends on our ability to maintain a competitive advantage on the basis of product quality, know-how, proprietary data, market knowledge, service capability, technological innovation, business reputation, and price competitiveness. Our sales and marketing programs aim to compete by offering our customers a broad range of world-class technologies and products, superior global sales and distribution support, and a secure and multi-location source of product supply.</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There has been a considerable amount of consolidation activity in the electronic component industry, some of which involved our primary competitors. We view the industry consolidation as an opportunity for us to gain business as an independent second-source supplier.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 and Licenses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made a significant investment in securing intellectual property protection for our technology and products. We seek to protect our technology by, among other things, filing patent applications for technology considered important to the development of our business. We also rely upon trade secrets, unpatented know-how, continuing technological innovation, and the aggressive pursuit of licensing opportunities to help develop and maintain our competitive position.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compete effectively with other companies depends, in part, on our ability to maintain the proprietary nature of our technology. Although we have been awarded, have filed applications for, or have been licensed under, numerous patents in the United States and other countries, there can be no assurance concerning the degree of protection afforded by these patents or the likelihood that pending patents will be issued.</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require all of our technical, research and development, sales and marketing, and management employees and most consultants and other advisors to execute confidentiality agreements upon the commencement of employment or consulting relationships with us. These agreements provide that all confidential information developed or made known to the entity or individual during the course of the entity’s or individual’s relationship with us is to be kept confidential and not disclosed to third parties except in specific circumstances. Substantially all of our technical, research and development, sales and marketing, and management employees have entered into agreements providing for the assignment to us of rights to inventions made by them while employed by us.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When we believe other companies are misappropriating our intellectual property rights, we vigorously enforce those rights through legal action, and we intend to continue to do so. See Item 3, “Legal Proceedings.”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we have numerous United States and foreign patents covering certain of our products and manufacturing processes, no particular patent is considered individually material to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As a global company, we collaborate internationally and celebrate the diversity of our local cultures.  Employees are encouraged to bring their unique perspectives, help identify opportunities to collaborate, and open themselves to the career development that comes from learning from others.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As of December 31, 2022, we employed approximately 23,900 full time employees worldwide. Reflecting our global business, our executive management team and many leadership positions are dispersed throughout the world.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8"/>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Employees by location are summarized as follows: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36"/>
        </w:trPr>
        <w:tc>
          <w:tcPr>
            <w:tcW w:w="10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Taiwan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Czech Republic</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India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Americas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Other Asia</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4"/>
                <w:szCs w:val="14"/>
                <w:color w:val="auto"/>
              </w:rPr>
            </w:pPr>
          </w:p>
        </w:tc>
      </w:tr>
      <w:tr>
        <w:trPr>
          <w:trHeight w:val="200"/>
        </w:trPr>
        <w:tc>
          <w:tcPr>
            <w:tcW w:w="10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23,900</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Many of our employees outside the United States are members of workers councils or unions, or otherwise subject to collective bargaining agreements. Employees at one small U.S. facility, representing less than 1% of our U.S. workforce, are represented by a trade union. We consider our relations with our employees to be good.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future success is substantially dependent on our ability to attract and retain highly qualified technical and administrative personnel.</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order to prepare for the future Vishay introduced ViTal, a talent management program. Every year a diverse cross-cultural, cross-regional and cross-functional group of young individuals is being identified to prepare for higher leadership roles.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During 2022, we began the implementation of a global human capital management system, replacing diverse local systems throughout our organization, to manage employee data more effectively and efficiently, allowing us to make better decisions related to our people.</w:t>
      </w:r>
    </w:p>
    <w:p>
      <w:pPr>
        <w:spacing w:after="0" w:line="1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To identify and develop future leaders Vishay established a global Vishay Academy. Employee development programs focus on offering individual and group learning to maintain profitable business growth while also increasing speed and agility to meet customer demand. Global training and development programs include courses in leadership development, P&amp;L management, business finance for non-finance leaders, distance leadership / global matrix management. A robust succession plan for the top 200 positions in the organization and levels below has also been created. A specialist career model also provides development opportunities for technical roles in parallel to management careers.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Vishay has accelerated a global continuous improvement program to ensure increase of efficiencies and product quality through employee participation.</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Throughout the COVID-19 pandemic, Vishay continued to deliver training and development courses. To protect our employees, courses were delivered online, including live events for all employees. Communication from executive management has played an important role to regularly inform employees and keep them engaged.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part of our executive transition effective January 1, 2023, we have implemented certain organizational and structural changes. As part of this effort, we have flattened the organizational structure and re-defined some leadership roles. We are pushing down decision making into the organization to empower our leaders and to facilitate timely action, and are aligning incentive compensation to better correspond to personal and company growth and profitability initiatives.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Compliance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required to comply with numerous regulations that are normal and customary to businesses in our industry and the jurisdictions in which we operate. These regulations relate to, among other things, environmental health and safety, procurement integrity, export control, government security regulations, employment practices, accuracy of records and the recording of costs, anti-corruption, and privacy. See Item 1A, “Risk Factors,” for additional discussion of such regulations and the potential consequences for non-compliance.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Health and Safety</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adopted an Environmental Health and Safety Corporate Policy that commits us to achieve and maintain compliance with applicable environmental laws, to promote proper management of hazardous materials for the safety of our employees and the protection of the environment, and to minimize the hazardous materials generated in the course of our operations. This policy is implemented with accountability directly to the Board of Directors. In addition, our manufacturing operations are subject to various federal, state, and local laws restricting discharge of materials into the environment.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involved in environmental remediation programs at various sites currently or formerly owned by us and our subsidiaries both within and outside of the U.S., in addition to involvement as a potentially responsible party (“PRP”) at Superfund sites. Certain obligations as a PRP have arisen in connection with business acquisitions. The remediation programs are on-going and the ultimate cost of site cleanup is difficult to predict given the uncertainties regarding the extent of the required cleanup, the interpretation of applicable laws and regulations and alternative cleanup methods. See Item 3, “Legal Proceedings.”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are not involved in any pending or threatened proceedings that would require curtailment of our operations. We continually expend funds to ensure that our facilities comply with applicable environmental regulations. While we believe that we are in material compliance with applicable environmental laws, we cannot accurately predict future developments and do not necessarily have knowledge of all past occurrences on sites that we currently occupy. More stringent environmental regulations may be enacted in the future, and we cannot determine the modifications, if any, in our operations that any such future regulations might require, or the cost of compliance with such regulations. Moreover, the risk of environmental liability and remediation costs is inherent in the nature of our business and, therefore, there can be no assurance that material environmental costs, including remediation costs, will not arise in the future.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4"/>
          <w:szCs w:val="14"/>
          <w:color w:val="auto"/>
        </w:rPr>
        <w:t>With each acquisition, we attempt to identify potential environmental concerns and to minimize, or obtain indemnification for, the environmental matters we may be required to address. In addition, we establish reserves for specifically identified potential environmental liabilities. We believe that the reserves we have established are adequate. Nevertheless, we have in the past and may in the future inherit certain pre-existing environmental liabilities, generally based on successor liability doctrines. Although we have never been involved in any environmental matter that has had a material adverse impact on our overall operations, there can be no assurance that in connection with any past or future acquisition we will not be obligated to address environmental matters that could have a material adverse impact on our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Information and Website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documents with the Securities and Exchange Commission (“SEC”) under the Securities Exchange Act of 1934. The SEC maintains an Internet website that contains reports, proxy and information statements, and other information regarding issuers, including us, that file electronically with the SEC. The public can obtain any documents that we file with the SEC at http://www.sec.gov.</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our company website can be found on the Internet at www.vishay.com. The website contains information about us and our operations. Copies of each of our filings with the SEC on Form 10-K, Form 10-Q, and Form 8-K, and all amendments to those reports, can be viewed and downloaded free of charge as soon as reasonably practicable after the reports and amendments are electronically filed with or furnished to the SEC. To view the reports, access ir.vishay.com and click on “SEC Filings.”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corporate governance related documents are also available on our website:</w:t>
      </w:r>
    </w:p>
    <w:p>
      <w:pPr>
        <w:spacing w:after="0" w:line="145" w:lineRule="exact"/>
        <w:rPr>
          <w:sz w:val="20"/>
          <w:szCs w:val="20"/>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Governance Principles</w:t>
      </w:r>
    </w:p>
    <w:p>
      <w:pPr>
        <w:spacing w:after="0" w:line="17"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of Business Conduct and Ethics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of Ethics for Financial Officers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Committee Charter</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Committee Charter</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Committee Charter</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Stock Ownership Guidelines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Stock Ownership Guidelines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Clawback Policy</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Hedging-Pledging Policy</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Committee Policy Regarding Qualifications of Directors</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Party Transactions Policy</w:t>
      </w:r>
    </w:p>
    <w:p>
      <w:pPr>
        <w:spacing w:after="0" w:line="1"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Ethics Helpline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view these documents, access ir.vishay.com and click on “Corporate Governance.”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of the above documents can also be obtained in print by any stockholder upon request to our Investor Relations Department at the following address: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Corporate Investor Relations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63 Lancaster Avenue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Malvern, PA 19355-2143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14" w:name="page15"/>
    <w:bookmarkEnd w:id="14"/>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1A.</w:t>
      </w:r>
      <w:r>
        <w:rPr>
          <w:sz w:val="20"/>
          <w:szCs w:val="20"/>
          <w:color w:val="auto"/>
        </w:rPr>
        <w:tab/>
      </w:r>
      <w:r>
        <w:rPr>
          <w:rFonts w:ascii="Times New Roman" w:cs="Times New Roman" w:eastAsia="Times New Roman" w:hAnsi="Times New Roman"/>
          <w:sz w:val="14"/>
          <w:szCs w:val="14"/>
          <w:b w:val="1"/>
          <w:bCs w:val="1"/>
          <w:u w:val="single" w:color="auto"/>
          <w:color w:val="auto"/>
        </w:rPr>
        <w:t>RISK FACTORS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From time to time, information provided by us, including but not limited to statements in this report, or other statements made by or on our behalf, may contain “forward-looking” information within the meaning of the Private Securities Litigation Reform Act of 1995. Such statements involve a number of risks, uncertainties, and contingencies, many of which are beyond our control, which may cause actual results, performance, or achievements to differ materially from those anticipated. Set forth below are important factors that could cause our results, performance, or achievements to differ materially from those in any forward-looking statements made by us or on our behalf. You should understand that it is not possible to predict or identify all such factors. Consequently, you should not consider the following to be a complete discussion of all potential risks or uncertainties.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relating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business may be adversely affected by the widespread outbreak of diseases, including the COVID-19 pandemic, and the mitigation efforts by governments worldwide to control its spread.</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Although the widespread economic impact of the COVID-19 pandemic on Vishay was temporary, the pandemic continues to adversely affect global business. Impacts have included disruptions in our ability to manufacture products and disruptions in the operations of our customers and modes of shipping. While we are unable to accurately predict the full extent to which the COVID-19 pandemic and the mitigation efforts by governments to attempt to control its spread will have on our business due to numerous uncertainties, thus far the impacts have resulted in increased costs and a reduction in sales to certain regions and end-markets. We cannot predict when the impact of the COVID-19 pandemic will end globally or when future coronavirus outbreaks or pandemics will occur.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potential risks and effects of the COVID-19 or future pandemics and the related economic impact that could have an adverse effect on our business include, but are not limited to:</w:t>
      </w:r>
    </w:p>
    <w:p>
      <w:pPr>
        <w:spacing w:after="0" w:line="181" w:lineRule="exact"/>
        <w:rPr>
          <w:sz w:val="20"/>
          <w:szCs w:val="20"/>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impact on our customers and supply channels;</w:t>
      </w:r>
    </w:p>
    <w:p>
      <w:pPr>
        <w:spacing w:after="0" w:line="17"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in sales, product demand and pricing and unfavorable economic and market conditions;</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including higher shipping costs due to reduced shipping capacity;</w:t>
      </w:r>
    </w:p>
    <w:p>
      <w:pPr>
        <w:spacing w:after="0" w:line="1" w:lineRule="exact"/>
        <w:rPr>
          <w:rFonts w:ascii="Times New Roman" w:cs="Times New Roman" w:eastAsia="Times New Roman" w:hAnsi="Times New Roman"/>
          <w:sz w:val="14"/>
          <w:szCs w:val="14"/>
          <w:color w:val="auto"/>
        </w:rPr>
      </w:pPr>
    </w:p>
    <w:p>
      <w:pPr>
        <w:ind w:left="760" w:hanging="411"/>
        <w:spacing w:after="0" w:line="241" w:lineRule="auto"/>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manufacturing, support operations or workforce, or similar limitations for our customers, vendors, and suppliers, that could limit our ability to meet customer demand;</w:t>
      </w:r>
    </w:p>
    <w:p>
      <w:pPr>
        <w:spacing w:after="0" w:line="162"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increased credit risk if customers, distributors, and resellers are unable to pay us, or must delay paying their obligations to us;</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or disruptions of transportation, such as reduced availability of air transport, port closures, and increased border controls or closures could result in delays;</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on our workforce/employees due to the spread of the virus and any shelter-in-place orders; and</w:t>
      </w:r>
    </w:p>
    <w:p>
      <w:pPr>
        <w:spacing w:after="0" w:line="1" w:lineRule="exact"/>
        <w:rPr>
          <w:rFonts w:ascii="Times New Roman" w:cs="Times New Roman" w:eastAsia="Times New Roman" w:hAnsi="Times New Roman"/>
          <w:sz w:val="14"/>
          <w:szCs w:val="14"/>
          <w:color w:val="auto"/>
        </w:rPr>
      </w:pPr>
    </w:p>
    <w:p>
      <w:pPr>
        <w:ind w:left="760" w:hanging="411"/>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risks as a result of extended periods of remote work arrangements.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effects could result in us being required to record impairment charges related to our property and equipment, intangible assets, or goodwill.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business is cyclical and future periods of decline and increased demand are not predictable.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electronic component industry is highly cyclical and experiences periods of decline from time to time. We and others in the electronic components industry have experienced these conditions in the recent past and cannot predict when we may experience downturns in the future. Market conditions, such as during a decline in product demand on a global basis, could result in order cancellations and deferrals, lower average selling prices, and a material and adverse impact on our results of operations. These declines in demand are usually driven by market conditions in the end markets for our products, but may also result from distributors not appropriately managing their inventory levels.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also experience intense demand for our products in periods of a rising economy and we may have difficulty expanding our manufacturing capacity to satisfy demand during such periods.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which could limit such expansion include delays in procurement of manufacturing equipment, shortages of skilled personnel, and physical constraints on expansion of our facilities.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Changes in the demand mix, needed technologies, and these end markets may adversely affect our ability to match our products, inventory, and capacity to meet customer demand and could adversely affect our operating results and financial condition. A slowdown in demand or recessionary trends in the global economy makes it more difficult for us to predict our future sales and manage our operations, and could adversely impact our results of operations. Capacity that we add during upturns in the business cycle may result in excess capacity during periods when demand for our products recede, resulting in inefficient use of capital which could also adversely affect us.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downturn in our business in general, or isolated to a particular sector, could require us to incur restructuring and severance charges and/or asset write-downs.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auto"/>
        </w:rPr>
        <w:t>In the past we have grown through successful integration of acquired businesses, but this may not continue.</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long-term historical growth in revenues and net earnings has resulted in large part from our strategy of expansion through acquisitions. Despite our plan to continue to grow, in part, through targeted acquisitions, we may be unable to continue to identify, have the financial capabilities to acquire, or successfully complete transactions with suitable acquisition candidates. The rapid consolidation that our industry has experienced may further decrease our ability to identify attractive opportunities for acquisition. We are subject to various U.S. and foreign competition laws and regulations that may affect our ability to complete certain acquisitions. Also, if an acquired business fails to operate as anticipated, cannot be successfully integrated with our other businesses, or we cannot effectively mitigate the assumed, contingent, and unknown liabilities acquired, our results of operations, financial condition, enterprise value, market value, and prospects could all be materially adversely affected.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To remain successful, we must continue to innovate, and our investments in new technologies may not prove successful.</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future operating results are dependent on our ability to continually develop, introduce, and market new and innovative products, to modify existing products, to respond to technological change, and to customize certain products to meet customer requirements. There are numerous risks inherent in this process, including the risks that we will be unable to anticipate the direction of technological change or that we will be unable to develop and market new products and applications in a timely fashion to satisfy customer demands. If this occurs, we could lose customers and experience adverse effects on our financial condition and results of operations.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addition to our own research and development initiatives, we periodically invest in technology start-up enterprises, in which we may acquire a controlling or noncontrolling interest but whose technology would be available to be commercialized by us. There are numerous risks in investments of this nature including the limited operating history of such start-up entities, their need for capital, and their limited or absence of production experience, as well as the risk that their technologies may prove ineffective or fail to gain acceptance in the marketplace. Certain of our historical investments in start-up companies have not succeeded, and there can be no assurance that our current and future investments in start-up enterprises will prove successful.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business and our results of operations are sensitive to supply chain disruptions.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our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disruptions experienced in recent years have, at times, negatively impacted our ability to manufacture products and to deliver them to customers.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most materials incorporated into our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us to temporarily cease or reduce production or incur additional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Many of the metals used in the manufacture of our products, including gold, copper, and palladium, are traded on active markets and can be subject to significant price volatility. To ensure adequate supply and to provide cost certainty, our policy is to enter into short-term commitments to purchase defined portions of annual consumption of the raw materials utilized if market prices decline below budget. In certain circumstances, we purchase precious metals bullion in excess of our immediate manufacturing needs to mitigate the risk of supply shortages or volatile price fluctuations. If after entering into these commitments or purchasing the metals bullion, the market prices for these raw materials decline, we must recognize losses on these adverse purchase commitments and metals bullion purchases.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production can be disrupted by the unavailability of resources, such as water, energy, and gases. The unavailability or reduced availability of these resources could require us to reduce production or incur additional costs.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use third-party foundries and subcontractors for certain of our manufacturing activities, primarily wafer fabrication and the assembly and testing of finished goods. Establishing third-party contract manufacturer relationships can be time consuming and costly, and the number of qualified providers is limited. Our agreements with these manufacturers typically require us to commit to purchase services based on forecasted product needs, which may be inaccurate, and, in some cases, require us to recognize losses on these adverse purchase commitments. Our agreements may limit our ability to increase production, particularly during periods of growing demand for our products.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Due to our global supply chain, we are impacted by global trade disputes. The governments of the U.S. and the People’s Republic of China remain in a trade dispute that has resulted in tariffs and other trade restrictions including import / export prohibitions. Disruptions to global trade could result in customers seeking different sources of product or requiring us to seek different sources of supply. New or revised trade agreements could require changes in operations in the long-term.</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remain cognizant of these supply chain challenges and seek to minimize their effects whenever possible. Despite our best efforts, there can be no assurances we will be successful in mitigating these risks and if we are unable to do so, they may have material negative impacts on our business and results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16" w:name="page17"/>
    <w:bookmarkEnd w:id="16"/>
    <w:p>
      <w:pPr>
        <w:jc w:val="both"/>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Our ability to compete effectively with other companies depends, in part, on our ability to maintain the proprietary nature of our technology and to operate our business without infringing or violating the intellectual property rights of others.</w:t>
      </w:r>
    </w:p>
    <w:p>
      <w:pPr>
        <w:spacing w:after="0" w:line="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Protection of intellectual property often involves complex legal and factual issues. We will be able to protect our proprietary rights from unauthorized use by third parties only to the extent that our proprietary technologies are covered by valid and enforceable patents or are effectively maintained as trade secrets. We have applied, and will continue to apply, for patents covering our technologies and products, as we deem appropriate. However, our applications may not result in issued patents. Also, our existing patents and any future patents may not be sufficiently broad to prevent others from practicing our technologies or from developing competing products. Others may independently develop similar or alternative technologies, design around our patented technologies, or may challenge or seek to invalidate our patents. Also, the legal system in certain countries in which we operate may not provide or may not continue to provide sufficient, intellectual property legal protections and remedies.</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Litigation regarding patent and other intellectual property rights is prevalent in the electronic components industry, particularly the discrete semiconductor sector. We have on occasion been notified that we may be infringing on patent and other intellectual property rights of others. In addition, customers purchasing components from us have rights to indemnification under certain circumstances if such components violate the intellectual property rights of others. Further, we have observed that in the current business environment, electronic component and semiconductor companies have become more aggressive in asserting and defending patent claims against competitors. We will continue to vigorously defend our intellectual property rights, and may become party to disputes regarding patent licensing and cross patent licensing. Although licenses are generally offered in such situations and we have successfully resolved these situations in the past, there can be no assurance that we will not be subject to future litigation alleging intellectual property rights infringement, or that we will be able to obtain licenses on acceptable terms. An unfavorable outcome regarding one of these matters could have a material adverse effect on our business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face intense competition in our business, and are susceptible to certain concentrations.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Our business is highly competitive worldwide, with low transportation costs and few import barriers. We compete principally on the bases of product quality and reliability, availability, customer service, technological innovation, timely delivery, and price. Our ability to compete successfully also depends on elements out of our control. We face significant competition within each of our product segments from larger global manufacturers and smaller manufacturers focused on specific market niches. The electronic component industry has become increasingly concentrated and globalized in recent years as many of our primary competitors have been acquired. The acquiring companies, most of which are larger than us, have significant financial resources and technological capabilities.</w:t>
      </w:r>
    </w:p>
    <w:p>
      <w:pPr>
        <w:spacing w:after="0" w:line="27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A material portion of our revenues are derived from the worldwide industrial, automotive, telecommunications, and computing markets. These markets have historically experienced wide variations in demand for end products. If demand for these end products should decrease, the producers thereof could reduce their purchases of our products, which could have an adverse effect on our results of operations and financial position.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no customer comprises over 10% of our consolidated net revenues, certain subsidiaries and product lines are susceptible to customer concentrations and have customers which comprise greater than 10% of the subsidiary’s or product line’s net revenues. The loss of one of these customers could have a material effect on the results of operations of the subsidiary or product line and financial position of the subsidiary, which could result in an impairment charge which could be material to our consolidated financial statements.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backlog is subject to customer cancellation.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the orders that comprise our backlog may be canceled by our customers without penalty. Our customers may on occasion double and triple order components from multiple sources to ensure timely delivery when demand exceeds global supply. They often cancel orders when business is weak and inventories are excessive. Therefore, we cannot be certain that the amount of our backlog accurately reflects the level of orders that we will ultimately deliver. Our results of operations could be adversely impacted if customers cancel a material portion of orders in our backlog.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future success is substantially dependent on our ability to attract and retain highly qualified technical, managerial, marketing, finance, and administrative personnel.</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Rapid changes in technologies, frequent new product introductions, and declining average selling prices over product life cycles require us to attract and retain highly qualified personnel to develop and manufacture products that feature technological innovations and bring them to market on a timely basis. Our complex operations also require us to attract and retain highly qualified administrative personnel in functions such as legal, tax, accounting, financial reporting, auditing, and treasury. The market for personnel with such qualifications is highly competitive. While we have employment agreements with certain of our executives, we have not entered into employment agreements with all of our key personnel.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loss of the services of or the failure to effectively recruit qualified personnel could have a material adverse effect on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Significant fluctuations in interest rates could adversely affect our results of operations and financial position.</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exposed to changes in interest rates as a result of our borrowing activities and our cash balances. Our credit facility bears interest at variable rates based on LIBOR. A significant increase in LIBOR would significantly increase our interest expense. A general increase in interest rates would be largely offset by an increase in interest income earned on our cash and short-term investment balances, which are currently greater than our debt balances. However, there can be no assurance that the interest rate earned on cash and short-term investments will move in tandem with the interest rate paid on our variable rate debt.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auto"/>
        </w:rPr>
        <w:t>Cyberattacks and other interruptions in our information technology systems could adversely affect our business.</w:t>
      </w:r>
    </w:p>
    <w:p>
      <w:pPr>
        <w:spacing w:after="0" w:line="14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rely on the efficient and uninterrupted operation of complex information technology systems and networks to operate our business. We are exposed to, and may be adversely affected by, potential cyberattacks or other disruptions to our information technology systems and data security. Any significant system or network disruption, including, but not limited to, new system implementations, computer viruses, security breaches, phishing, spoofing, cyberattacks, facility issues or energy blackouts could have a material adverse impact on our operations and results of operations. These incidents, which might be related to industrial or other espionage, include covertly introducing malware and spyware to our computers and networks (or to an electronic system operated by a third party for our benefit) and impersonating authorized users, among others. Such a network disruption could result in a loss of the confidentiality of our intellectual property or the release of sensitive competitive information or customer, supplier or employee personal data. Any loss of such information could harm our competitive position, result in a loss of customer confidence, and cause us to incur significant costs to remedy the damages caused by the disruptions or security breaches. We have implemented protective measures to prevent against and limit the effects of system or network disruptions, but there can be no assurance that such measures will be sufficient to prevent or limit the damage from any disruptions and any such disruption could have a material adverse impact on our business and results of operations.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subject to numerous laws and regulations regarding privacy and data protection. The scope of these laws and regulations is evolving rapidly and is subject to differing interpretations, and thus may be inconsistent among jurisdictions. Such laws and regulations have resulted and will continue to result in significantly greater compliance burdens and costs for us.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Third-party service providers, such as foundries, subcontractors, distributors, and vendors have access to certain portions of our sensitive data. In the event that these service providers do not properly safeguard our data that they hold, security breaches and loss of our data could result. Any such loss of data by our third-party service providers could have a material adverse impact on our business and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Future acquisitions could require us to issue additional indebtedness or equity.</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If we were to undertake a substantial acquisition for cash, the acquisition would likely need to be financed in part through bank borrowings or the issuance of public or private debt. This acquisition financing would likely decrease our ratio of earnings to fixed charges and adversely affect other leverage criteria. Under our credit facility, we are required to obtain the lenders’ consent for certain additional debt financing and to comply with other covenants including the application of specific financial ratios. We cannot make any assurances that the necessary acquisition financing would be available to us on acceptable terms if and when required. If we were to undertake an acquisition for equity, the acquisition may have a dilutive effect on the interests of the holders of our common stock.</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and compliance related risks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Future changes in our environmental liability and compliance obligations may harm our ability to operate or increase our costs.</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operations, products and/or product packaging are subject to, among other matters, environmental laws and regulations governing, among other matters, air emissions, wastewater discharges, the handling, disposal and remediation of hazardous substances, wastes and certain chemicals used or generated in our manufacturing processes, employee health and safety labeling or other notifications with respect to the content or other aspects of our processes, products or packaging, restrictions on the use of certain materials in or on design aspects of our products or product packaging, and responsibility for disposal of products or product packaging. We establish reserves for specifically identified potential environmental liabilities. Nevertheless, we have in the past and may in the future inherit certain pre-existing environmental liabilities, generally based on successor liability doctrines, or otherwise incur environmental liabilities. We are involved in remediation programs and related litigation at various current and former properties and at third-party disposal sites both within and outside of the United States, including involvement as a potentially responsible party at Superfund sites. Although we have never been involved in any environmental matter that has had a material adverse impact on our overall operations, there can be no assurance that in connection with any past or future acquisition, future developments, including related to our remediation programs, or otherwise, we will not be obligated to address environmental matters that could have a material adverse impact on our results of operations. In addition, more stringent environmental laws and regulations may be enacted in the future, and we cannot presently determine the modifications, if any, in our operations that any such future regulations might require, or the cost of compliance with current and future laws and regulations. In order to resolve liabilities at various sites, we have entered into various administrative orders and consent decrees, some of which may be, under certain conditions, reopened or subject to renegotiation.</w:t>
      </w:r>
    </w:p>
    <w:p>
      <w:pPr>
        <w:spacing w:after="0" w:line="27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Our products are sold to or used in goods sold to the U.S. government and other governments. By virtue of such sales, we are subject to various regulatory requirements and risks in the event of non-compliance.</w:t>
      </w:r>
    </w:p>
    <w:p>
      <w:pPr>
        <w:spacing w:after="0" w:line="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sell products under prime and subprime contracts with the U.S. government and other governments. Many of these products are used in military applications. Government contractors must comply with specific procurement regulations and other requirements. These requirements, although customary in government contracts, impact our performance and compliance costs. Failure to comply with these regulations and requirements could result in contract modifications or termination, and the assessment of penalties and fines, which could negatively impact our results of operations and financial condition. Our failure to comply with these regulations and requirements could also lead to suspension or debarment, for cause, from government contracting or subcontracting for a period of time. Among the causes for debarment are violations of various statutes, including those related to procurement integrity, export control, government security regulations, employment practices, protection of the environment, accuracy of records and the recording of costs, and foreign corruption. The termination of a government contract as a result of any of these acts could have a negative impact on our results of operations and financial condition and could have a negative impact on our reputation and ability to procure other government contracts in the future.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4"/>
          <w:szCs w:val="14"/>
          <w:color w:val="auto"/>
        </w:rPr>
        <w:t>We have qualified certain of our products under various military specifications approved and monitored by the United States Defense Electronic Supply Center and under certain European military specifications. These products are assigned certain classification levels. In order to maintain the classification level of a product, we must continuously perform tests on the products and the results of these tests must be reported to governmental agencies. If a product fails to meet the requirements of the applicable classification level, its classification may be reduced to a lower level. A decrease in the classification level for a product with a military application could have an adverse impact on the net revenues and earnings attributable to that product.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credit facility restricts our current and future operations and requires compliance with certain financial covenants.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credit facility includes restrictions on, among other things, incurring indebtedness, incurring liens on assets, making investments and acquisitions, making asset sales, and paying cash dividends and making other restricted payments. Our credit facility also requires us to comply with other covenants, including the maintenance of specific financial ratios. If we are not in compliance with all of such covenants, the credit facility could be terminated by the lenders, and all amounts outstanding pursuant to the credit facility could become immediately payable. Additionally, our convertible debt instruments have cross-default provisions that could accelerate repayment in the event the indebtedness under the credit facility is accelerated.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associated with our operations outside the United States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are subject to the risks of political, economic, and military instability in countries outside the United States in which we operate.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substantial operations outside the United States, and approximately 71% of our revenues during 2022 were derived from sales to customers outside the United States. Certain of our assets are located, and certain of our products are produced, in countries which are subject to risks of social, political, economic, and military instability. This instability could result in wars, riots, nationalization of industry, currency fluctuation, and labor unrest. These conditions could have an adverse impact on our ability to operate in these regions and, depending on the extent and severity of these conditions, could materially and adversely affect our overall financial condition, results of operations, and our ability to access our liquidity.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has been in operation in Israel for 52 years, where we have substantial manufacturing operations. Although we have never experienced any material interruption in our operations attributable to these factors, in spite of several Middle East crises, including wars, our financial condition and results of operations might be adversely affected if events were to occur in the Middle East that interfered with our operations in Israel.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Our global operations are subject to extensive anti-corruption laws and other regulations.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U.S. Foreign Corrupt Practices Act and similar foreign anti-corruption laws generally prohibit companies and their intermediaries from making improper payments or providing anything of value to improperly influence foreign government officials for the purpose of obtaining or retaining business, or obtaining an unfair advantage. Recent years have seen a substantial increase in the global enforcement of anti-corruption laws. Our continued operation and expansion outside the United States, including in developing countries, could increase the risk of such violations or violations under other regulations relating to limitations on or licenses required for sales made to customers located in certain countries. Violations of these laws may result in severe criminal or civil sanctions, could disrupt our business, and result in a material adverse effect on our reputation, business and results of operations or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attempt to improve profitability by controlling labor costs, but these activities could result in labor unrest or considerable expense.</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Historically, our primary labor cost controlling strategy was to transfer manufacturing operations to countries with lower production costs, such as the Dominican Republic, India, Malaysia, Mexico, the People’s Republic of China, and the Philippines. We believe that our manufacturing footprint is suitable to serve our customers and end markets, while maintaining lower manufacturing costs. We do not anticipate further transferring any significant existing operations to lower-labor-cost countries; however, acquired operations may be transferred to lower-labor-cost countries when integrated into Vishay. Currently, our primary labor cost controlling strategy involves reducing hours and limiting the use of subcontractors and foundries when demand for our products decreases. Shifting operations to lower-labor-cost countries, reducing hours, or limiting the use of subcontractors and foundries could result in production inefficiencies, higher costs, and/or strikes or other types of labor unrest.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auto"/>
        </w:rPr>
        <w:t>We are subject to foreign currency exchange rate risks which may impact our results of operations.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are exposed to foreign currency exchange rate risks, particularly due to market values of transactions in currencies other than the functional currencies of certain subsidiaries. From time to time, we utilize forward contracts to hedge a portion of projected cash flows from these exposures.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Our significant foreign subsidiaries are located in Germany, Israel, and Asia. We finance our operations in Europe and certain locations in Asia in local currencies. Our operations in Israel and most significant locations in Asia are largely financed in U.S. dollars, but these subsidiaries also have significant transactions in local currencies. Our exposure to foreign currency risk is mitigated to the extent that the costs incurred and the revenues earned in a particular currency offset one another. Our exposure to foreign currency risk is more pronounced in situations where, for example, production labor costs are predominantly paid in local currencies while the sales revenue for those products is denominated in U.S. dollars. This is particularly the case for products produced in Israel, the Czech Republic, and China.</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 change in the mix of the currencies in which we transact our business could have a material effect on results of operations. Furthermore, the timing of cash receipts and disbursements could have a material effect on our results of operations, particularly if there are significant changes in exchange rates in a short period of time.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Most of our operating cash is generated by our non-U.S. subsidiaries, and our U.S. parent company and U.S. subsidiaries have significant payment obligations.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generate a significant amount of cash and profits from our non-U.S. subsidiaries. We used substantially all of the amounts repatriated from 2018 to 2020 to significantly re-shape the capital structure of the Company. As of December 31, 2022, substantially all of our cash and cash equivalents and short-term investments were held by subsidiaries outside of the United States. Our revolving credit facility provides us with additional U.S. liquidity.</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U.S. tax obligations, cash dividends to stockholders, share repurchases, additional convertible debt repurchases, and principal and interest payments on our debt instruments need to be paid by our U.S. parent company, Vishay Intertechnology, Inc. Our U.S. subsidiaries have other operating cash needs.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our U.S. cash and cash equivalents and short-term investment and other liquidity sources are inadequate to satisfy these obligations, we may be required to repatriate additional cash to the United States and would be required to accrue and pay additional taxes. If we are unable to repatriate adequate cash to the United States to satisfy these obligations, it could materially and adversely affect our overall financial condition, results of operations and our liquidity.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Changes in U.S. trade policies, and related factors beyond our control, may adversely impact our business, financial condition, and results of operations.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Our business is subject to risks associated with U.S. and foreign legislation and regulations relating to imports, including quotas, duties, tariffs or taxes, and other import charges or restrictions, which could adversely affect our operations and our ability to import products. The U.S. has taken actions that impact U.S. trade with China, including restricting the export of certain goods and equipment to China, imposing tariffs on certain goods manufactured in China and imported into the U.S., including certain of our products. Such actions may impact our competitiveness and adversely affect the demand for these products, or if those costs cannot be passed on to our customers, could adversely impact our results of operations for affected segments and the Company as a whole.</w:t>
      </w:r>
    </w:p>
    <w:p>
      <w:pPr>
        <w:spacing w:after="0" w:line="2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Further changes in U.S. trade policy could trigger additional retaliatory actions by affected countries. If these consequences are realized, it could result in a general economic downturn or otherwise have a material adverse effect on our business.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20" w:name="page21"/>
    <w:bookmarkEnd w:id="20"/>
    <w:p>
      <w:pPr>
        <w:ind w:left="8"/>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capital structure</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The holders of our Class B common stock have effective voting control of our company, giving them the effective ability to prevent a change in control transaction.</w:t>
      </w:r>
    </w:p>
    <w:p>
      <w:pPr>
        <w:spacing w:after="0" w:line="147" w:lineRule="exact"/>
        <w:rPr>
          <w:sz w:val="20"/>
          <w:szCs w:val="20"/>
          <w:color w:val="auto"/>
        </w:rPr>
      </w:pPr>
    </w:p>
    <w:p>
      <w:pPr>
        <w:jc w:val="both"/>
        <w:ind w:left="8"/>
        <w:spacing w:after="0" w:line="247" w:lineRule="auto"/>
        <w:rPr>
          <w:sz w:val="20"/>
          <w:szCs w:val="20"/>
          <w:color w:val="auto"/>
        </w:rPr>
      </w:pPr>
      <w:r>
        <w:rPr>
          <w:rFonts w:ascii="Times New Roman" w:cs="Times New Roman" w:eastAsia="Times New Roman" w:hAnsi="Times New Roman"/>
          <w:sz w:val="14"/>
          <w:szCs w:val="14"/>
          <w:color w:val="auto"/>
        </w:rPr>
        <w:t>We have two classes of common stock: common stock and Class B common stock. The holders of common stock are entitled to one vote for each share held, while the holders of Class B common stock are entitled to 10 votes for each share held. At December 31, 2022, the holders of Class B common stock held approximately 48.5% of the voting power of the Company. The ownership of Class B common stock is highly concentrated, and holders of Class B common stock effectively can cause the election of directors and approve other actions as stockholders. Mrs. Ruta Zandman (a member of our Board of Directors) controls the voting of, solely or on a shared basis with Marc Zandman (our Executive Chairman) and Ziv Shoshani (a member of our Board of Directors), approximately 89.7% of our Class B common stock and 43.5% of the total voting power of our capital stock as of December 31, 2022. Holders of our Class B common stock may act in ways that are contrary to, or not in the best interests of, holders of our common stock. The voting rights of the holders of our Class B common stock effectively give such holders the ability to prevent transactions that would result in a change in control of us, including transactions in which holders of our common stock might otherwise receive a premium for their shares over the then-current market price.</w:t>
      </w:r>
    </w:p>
    <w:p>
      <w:pPr>
        <w:spacing w:after="0" w:line="2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Our acquisition strategy could be impeded if our Board of Directors were reluctant to authorize the issuance of substantial additional shares.</w:t>
      </w:r>
    </w:p>
    <w:p>
      <w:pPr>
        <w:spacing w:after="0" w:line="147"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4"/>
          <w:szCs w:val="14"/>
          <w:color w:val="auto"/>
        </w:rPr>
        <w:t>Our overall long-term business strategy has historically included a strong focus on acquisitions financed alternatively through cash on hand or the incurrence of indebtedness. We may in the future be presented with attractive investment or strategic opportunities that, because of their size and our financial condition at the time, would require the issuance of substantial additional amounts of our common stock. If such opportunities were to arise, our Board of Directors may consider the potentially dilutive effect on the interests and voting power of our existing stockholders, including our Class B stockholders, and may therefore be reluctant to authorize the issuance of additional shares. Any such reluctance could impede our ability to complete certain transactions.</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Our outstanding convertible debt instruments may impact the trading price of our common stock.</w:t>
      </w:r>
    </w:p>
    <w:p>
      <w:pPr>
        <w:spacing w:after="0" w:line="147"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4"/>
          <w:szCs w:val="14"/>
          <w:color w:val="auto"/>
        </w:rPr>
        <w:t>We believe that many investors in, and potential purchasers of, convertible debt instruments employ, or seek to employ, a convertible arbitrage strategy with respect to these instruments. Investors that employ a convertible arbitrage strategy with respect to convertible debt instruments typically implement that strategy by selling short the common stock underlying the convertible instrument and dynamically adjusting their short position while they hold the instrument. The implementation of this strategy by investors in our convertible debt instruments, as well as related market regulatory actions, could have a significant impact on the trading prices of our common stock, and the trading prices and liquidity of our convertible debt instruments. The price of our common stock and our convertible debt instruments could also be affected by possible sales of our common stock by investors who view our convertible debt instruments as more attractive means of equity participation in us.</w:t>
      </w:r>
    </w:p>
    <w:p>
      <w:pPr>
        <w:spacing w:after="0" w:line="276" w:lineRule="exact"/>
        <w:rPr>
          <w:sz w:val="20"/>
          <w:szCs w:val="20"/>
          <w:color w:val="auto"/>
        </w:rPr>
      </w:pPr>
    </w:p>
    <w:p>
      <w:pPr>
        <w:jc w:val="both"/>
        <w:ind w:left="8" w:right="20"/>
        <w:spacing w:after="0" w:line="285" w:lineRule="auto"/>
        <w:rPr>
          <w:sz w:val="20"/>
          <w:szCs w:val="20"/>
          <w:color w:val="auto"/>
        </w:rPr>
      </w:pPr>
      <w:r>
        <w:rPr>
          <w:rFonts w:ascii="Times New Roman" w:cs="Times New Roman" w:eastAsia="Times New Roman" w:hAnsi="Times New Roman"/>
          <w:sz w:val="14"/>
          <w:szCs w:val="14"/>
          <w:i w:val="1"/>
          <w:iCs w:val="1"/>
          <w:u w:val="single" w:color="auto"/>
          <w:color w:val="auto"/>
        </w:rPr>
        <w:t>Anti-takeover defenses in our amended and restated certificate of incorporation, our amended and restated bylaws and under Delaware law may impede or discourage a merger, a takeover attempt or other business combinations, which could also reduce the market price of our common stock.</w:t>
      </w:r>
    </w:p>
    <w:p>
      <w:pPr>
        <w:spacing w:after="0" w:line="88"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4"/>
          <w:szCs w:val="14"/>
          <w:color w:val="auto"/>
        </w:rPr>
        <w:t>We are a Delaware corporation, and the anti-takeover provisions of Delaware law impose various impediments to the ability of a third party to acquire control of us, even if a change in control would be beneficial to our existing stockholders. Our amended and restated certificate of incorporation and amended and restated bylaws also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08" w:lineRule="exact"/>
        <w:rPr>
          <w:sz w:val="20"/>
          <w:szCs w:val="20"/>
          <w:color w:val="auto"/>
        </w:rPr>
      </w:pPr>
    </w:p>
    <w:p>
      <w:pPr>
        <w:ind w:left="508" w:hanging="508"/>
        <w:spacing w:after="0" w:line="253" w:lineRule="auto"/>
        <w:tabs>
          <w:tab w:leader="none" w:pos="5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that our Class B common stock is generally entitled to ten votes per share, while our common stock is entitled to one vote per share, enabling the holders of our Class B common stock to effectively control the outcome of substantially all matters submitted to a vote of our stockholders, including the election of directors and change of control transactions;</w:t>
      </w:r>
    </w:p>
    <w:p>
      <w:pPr>
        <w:ind w:left="508" w:hanging="508"/>
        <w:spacing w:after="0" w:line="241" w:lineRule="auto"/>
        <w:tabs>
          <w:tab w:leader="none" w:pos="5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establishing a classified board of directors with three-year staggered terms and the provision that a director may be removed only for cause, each of which could delay the ability of stockholders to change the membership of a majority of our board of directors;</w:t>
      </w:r>
    </w:p>
    <w:p>
      <w:pPr>
        <w:ind w:left="508" w:right="20" w:hanging="508"/>
        <w:spacing w:after="0" w:line="241" w:lineRule="auto"/>
        <w:tabs>
          <w:tab w:leader="none" w:pos="5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ind w:left="508" w:hanging="508"/>
        <w:spacing w:after="0" w:line="241" w:lineRule="auto"/>
        <w:tabs>
          <w:tab w:leader="none" w:pos="5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508" w:hanging="508"/>
        <w:spacing w:after="0" w:line="241" w:lineRule="auto"/>
        <w:tabs>
          <w:tab w:leader="none" w:pos="5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directors or by any officer instructed by the directors to call the meeting, which could delay the ability of our stockholders to force consideration of a proposal or to take action, including the removal of directors; and</w:t>
      </w:r>
    </w:p>
    <w:p>
      <w:pPr>
        <w:ind w:left="508" w:hanging="508"/>
        <w:spacing w:after="0" w:line="258" w:lineRule="auto"/>
        <w:tabs>
          <w:tab w:leader="none" w:pos="50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by majority vote, to amend the bylaws, which may allow our board of directors to take additional actions to prevent an unsolicited takeover and inhibit the ability of an acquirer to amend the bylaws to facilitate an unsolicited takeover attempt.</w:t>
      </w:r>
    </w:p>
    <w:p>
      <w:pPr>
        <w:spacing w:after="0" w:line="9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78" w:right="299" w:bottom="1440" w:gutter="0" w:footer="0" w:header="0"/>
        </w:sectPr>
      </w:pPr>
    </w:p>
    <w:bookmarkStart w:id="21" w:name="page22"/>
    <w:bookmarkEnd w:id="21"/>
    <w:p>
      <w:pPr>
        <w:jc w:val="both"/>
        <w:spacing w:after="0" w:line="251" w:lineRule="auto"/>
        <w:rPr>
          <w:sz w:val="20"/>
          <w:szCs w:val="20"/>
          <w:color w:val="auto"/>
        </w:rPr>
      </w:pPr>
      <w:r>
        <w:rPr>
          <w:rFonts w:ascii="Times New Roman" w:cs="Times New Roman" w:eastAsia="Times New Roman" w:hAnsi="Times New Roman"/>
          <w:sz w:val="14"/>
          <w:szCs w:val="14"/>
          <w:color w:val="auto"/>
        </w:rPr>
        <w:t>In addition, as a Delaware corporation, we are subject to Section 203 of the Delaware General Corporation Law. This statute prohibits a Delaware corporation listed on a national securities exchange from engaging in a business combination with an interested stockholder (generally a person who, together with its affiliates, owns or within the last three years has owned 15% or more of our voting stock subject to certain exceptions) for a period of three years after the date of the transaction in which the person became an interested stockholder, unless the business combination is approved in a prescribed manner. The application of Section 203 also could have the effect of delaying or preventing a change in control of us. Any of these provisions could, under certain circumstances, depress the market price of our common stock.</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ability of our board of directors or a committee thereof to create and issue a new series of preferred stock and certain provisions of Delaware law and our certificate of incorporation and bylaws could impede a merger, takeover attempt or other business combination involving us or discourage a potential acquirer from making a tender offer for our common stock, which, under certain circumstances, could reduce the market price of our common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the spin-off of the Vishay Precision Group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Vishay Precision Group is using the Vishay name under license from us, which could result in product and market confusion or the loss of certain of our rights to the Vishay name</w:t>
      </w:r>
      <w:r>
        <w:rPr>
          <w:rFonts w:ascii="Times New Roman" w:cs="Times New Roman" w:eastAsia="Times New Roman" w:hAnsi="Times New Roman"/>
          <w:sz w:val="14"/>
          <w:szCs w:val="14"/>
          <w:u w:val="single" w:color="auto"/>
          <w:color w:val="auto"/>
        </w:rPr>
        <w:t>.</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VPG has a worldwide, perpetual and royalty-free license from us to use the “Vishay” mark as part of its corporate name and in connection with the manufacture, sale, and marketing of the products and services that comprise its measurements and foil resistors businesses. The license of the Vishay name to VPG is important to VPG because the success of VPG depends on the reputation of the Vishay brand for these products and services built over many years. Nonetheless, there exists the risk that the use by VPG could cause confusion in the marketplace over the products of the two companies, that any negative publicity associated with a product or service of VPG following the spin-off could be mistakenly attributed to our company or that we could lose our own rights to the “Vishay” mark if we fail to impose sufficient controls on VPG’s use of the mark.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Risk Factors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addition to the risks relating specifically to our business, a variety of other factors relating to general conditions could cause actual results, performance, or achievements to differ materially from those expressed in any of our forward-looking statements. These factors include:</w:t>
      </w:r>
    </w:p>
    <w:p>
      <w:pPr>
        <w:spacing w:after="0" w:line="90"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economic and business conditions;</w:t>
      </w:r>
    </w:p>
    <w:p>
      <w:pPr>
        <w:spacing w:after="0" w:line="17"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factors in the industries in which we conduct our business;</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requirements, including tax rate changes, new tax laws, and revised tax law interpretations;</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GAAP or interpretations of GAAP by governmental agencies and self-regulatory groups;</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fluctuations, foreign currency rate fluctuations, and other capital market conditions; and</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political conditions in international markets, including governmental changes and restrictions on the ability to transfer capital across borders.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common stock, traded on the New York Stock Exchange, has in the past experienced, and may continue to experience, significant fluctuations in price and volume. We believe that the financial performance and activities of other publicly traded companies in the electronic component industry could cause the price of our common stock to fluctuate substantially without regard to our operating performance.</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operate in a continually changing business environment, and new factors emerge from time to time. Other unknown and unpredictable factors also could have a material adverse effect on our future financial condition and results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22" w:name="page23"/>
    <w:bookmarkEnd w:id="22"/>
    <w:p>
      <w:pPr>
        <w:spacing w:after="0"/>
        <w:tabs>
          <w:tab w:leader="none" w:pos="1360" w:val="left"/>
        </w:tabs>
        <w:rPr>
          <w:sz w:val="20"/>
          <w:szCs w:val="20"/>
          <w:color w:val="auto"/>
        </w:rPr>
      </w:pPr>
      <w:r>
        <w:rPr>
          <w:rFonts w:ascii="Times New Roman" w:cs="Times New Roman" w:eastAsia="Times New Roman" w:hAnsi="Times New Roman"/>
          <w:sz w:val="14"/>
          <w:szCs w:val="14"/>
          <w:b w:val="1"/>
          <w:bCs w:val="1"/>
          <w:u w:val="single" w:color="auto"/>
          <w:color w:val="auto"/>
        </w:rPr>
        <w:t>Item 1B.</w:t>
      </w:r>
      <w:r>
        <w:rPr>
          <w:sz w:val="20"/>
          <w:szCs w:val="20"/>
          <w:color w:val="auto"/>
        </w:rPr>
        <w:tab/>
      </w:r>
      <w:r>
        <w:rPr>
          <w:rFonts w:ascii="Times New Roman" w:cs="Times New Roman" w:eastAsia="Times New Roman" w:hAnsi="Times New Roman"/>
          <w:sz w:val="14"/>
          <w:szCs w:val="14"/>
          <w:b w:val="1"/>
          <w:bCs w:val="1"/>
          <w:u w:val="single" w:color="auto"/>
          <w:color w:val="auto"/>
        </w:rPr>
        <w:t>UNRESOLVED STAFF COMMENTS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2.</w:t>
      </w:r>
      <w:r>
        <w:rPr>
          <w:sz w:val="20"/>
          <w:szCs w:val="20"/>
          <w:color w:val="auto"/>
        </w:rPr>
        <w:tab/>
      </w:r>
      <w:r>
        <w:rPr>
          <w:rFonts w:ascii="Times New Roman" w:cs="Times New Roman" w:eastAsia="Times New Roman" w:hAnsi="Times New Roman"/>
          <w:sz w:val="14"/>
          <w:szCs w:val="14"/>
          <w:b w:val="1"/>
          <w:bCs w:val="1"/>
          <w:u w:val="single" w:color="auto"/>
          <w:color w:val="auto"/>
        </w:rPr>
        <w:t>PROPERTIES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At December 31, 2022, our business had 57 manufacturing locations. Our manufacturing facilities include owned and leased locations. Some locations include both owned and leased facilities in the same location. The list of manufacturing facilities below excludes former manufacturing facilities that are not presently used for manufacturing activities due to our restructuring activities. See Note 4 to our consolidated financial statements for further information related to our restructuring efforts, as well as additional information in “Cost Management” included in Item 7, “Management’s Discussion and Analysis of Financial Condition and Results of Operations.”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opinion of management, our properties and equipment generally are in good operating condition and are adequate for our present needs. Owning many of our manufacturing facilities provides us meaningful financial and operating benefits, including long-term stability and a necessary buffer for economic downturns. We do not anticipate difficulty in renewing existing leases as they expire or in finding alternative facilities.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principal locations of our owned manufacturing facilities, along with available space including administrative offices,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Owned Locations</w:t>
            </w: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Business Segment</w:t>
            </w:r>
          </w:p>
        </w:tc>
        <w:tc>
          <w:tcPr>
            <w:tcW w:w="432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Approx. Available Space</w:t>
            </w:r>
          </w:p>
        </w:tc>
        <w:tc>
          <w:tcPr>
            <w:tcW w:w="0" w:type="dxa"/>
            <w:vAlign w:val="bottom"/>
          </w:tcPr>
          <w:p>
            <w:pPr>
              <w:spacing w:after="0"/>
              <w:rPr>
                <w:sz w:val="1"/>
                <w:szCs w:val="1"/>
                <w:color w:val="auto"/>
              </w:rPr>
            </w:pPr>
          </w:p>
        </w:tc>
      </w:tr>
      <w:tr>
        <w:trPr>
          <w:trHeight w:val="142"/>
        </w:trPr>
        <w:tc>
          <w:tcPr>
            <w:tcW w:w="3440" w:type="dxa"/>
            <w:vAlign w:val="bottom"/>
            <w:gridSpan w:val="6"/>
            <w:vMerge w:val="continue"/>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4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(Square Feet)</w:t>
            </w:r>
          </w:p>
        </w:tc>
        <w:tc>
          <w:tcPr>
            <w:tcW w:w="0" w:type="dxa"/>
            <w:vAlign w:val="bottom"/>
          </w:tcPr>
          <w:p>
            <w:pPr>
              <w:spacing w:after="0"/>
              <w:rPr>
                <w:sz w:val="1"/>
                <w:szCs w:val="1"/>
                <w:color w:val="auto"/>
              </w:rPr>
            </w:pPr>
          </w:p>
        </w:tc>
      </w:tr>
      <w:tr>
        <w:trPr>
          <w:trHeight w:val="293"/>
        </w:trPr>
        <w:tc>
          <w:tcPr>
            <w:tcW w:w="10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4"/>
          </w:tcPr>
          <w:p>
            <w:pPr>
              <w:jc w:val="center"/>
              <w:ind w:right="1340"/>
              <w:spacing w:after="0"/>
              <w:rPr>
                <w:sz w:val="20"/>
                <w:szCs w:val="20"/>
                <w:color w:val="auto"/>
              </w:rPr>
            </w:pPr>
            <w:r>
              <w:rPr>
                <w:rFonts w:ascii="Times New Roman" w:cs="Times New Roman" w:eastAsia="Times New Roman" w:hAnsi="Times New Roman"/>
                <w:sz w:val="14"/>
                <w:szCs w:val="14"/>
                <w:color w:val="auto"/>
              </w:rPr>
              <w:t>United States</w:t>
            </w:r>
          </w:p>
        </w:tc>
        <w:tc>
          <w:tcPr>
            <w:tcW w:w="106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Columbus, NE</w:t>
            </w:r>
          </w:p>
        </w:tc>
        <w:tc>
          <w:tcPr>
            <w:tcW w:w="780" w:type="dxa"/>
            <w:vAlign w:val="bottom"/>
            <w:tcBorders>
              <w:top w:val="single" w:sz="8" w:color="auto"/>
            </w:tcBorders>
            <w:gridSpan w:val="3"/>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Bennington, VT</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Yankton, SD</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Warwick, RI</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Niagara Falls, NY</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Marshall, MN</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4"/>
          </w:tcPr>
          <w:p>
            <w:pPr>
              <w:jc w:val="center"/>
              <w:ind w:right="1320"/>
              <w:spacing w:after="0" w:line="135" w:lineRule="exact"/>
              <w:rPr>
                <w:sz w:val="20"/>
                <w:szCs w:val="20"/>
                <w:color w:val="auto"/>
              </w:rPr>
            </w:pPr>
            <w:r>
              <w:rPr>
                <w:rFonts w:ascii="Times New Roman" w:cs="Times New Roman" w:eastAsia="Times New Roman" w:hAnsi="Times New Roman"/>
                <w:sz w:val="14"/>
                <w:szCs w:val="14"/>
                <w:color w:val="auto"/>
              </w:rPr>
              <w:t>Non-U.S.</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Vocklabruck, Austria</w:t>
            </w:r>
          </w:p>
        </w:tc>
        <w:tc>
          <w:tcPr>
            <w:tcW w:w="560" w:type="dxa"/>
            <w:vAlign w:val="bottom"/>
            <w:tcBorders>
              <w:top w:val="single" w:sz="8" w:color="auto"/>
            </w:tcBorders>
            <w:shd w:val="clear" w:color="auto" w:fill="CCEEFF"/>
          </w:tcPr>
          <w:p>
            <w:pPr>
              <w:spacing w:after="0"/>
              <w:rPr>
                <w:sz w:val="14"/>
                <w:szCs w:val="14"/>
                <w:color w:val="auto"/>
              </w:rPr>
            </w:pPr>
          </w:p>
        </w:tc>
        <w:tc>
          <w:tcPr>
            <w:tcW w:w="1440" w:type="dxa"/>
            <w:vAlign w:val="bottom"/>
            <w:gridSpan w:val="2"/>
            <w:shd w:val="clear" w:color="auto" w:fill="CCEEFF"/>
          </w:tcPr>
          <w:p>
            <w:pPr>
              <w:spacing w:after="0"/>
              <w:rPr>
                <w:sz w:val="14"/>
                <w:szCs w:val="14"/>
                <w:color w:val="auto"/>
              </w:rPr>
            </w:pP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Tianjin</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Shanghai</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Xi'an</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MOSFETs and Diodes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Czech Republic</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Blatna</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Dolni Rychnov</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Prachatice</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Volary</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France</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Nice</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Chateau Gontier</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Hyeres</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Selb</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Heide</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Landshut</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Fichtelberg</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Budapest, Hungary</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Loni, India</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Israel</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Dimona</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 and 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Migdal Ha'Emek</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Be'er Sheva</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 Inductors and 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Turin, Italy</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Miharu, Japan</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Melaka, Malaysia</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Optoelectronic Components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Juarez, Mexico</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Famalicao, Portugal</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222,000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Republic of China (Taiwan)</w:t>
            </w: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Taipei</w:t>
            </w:r>
          </w:p>
        </w:tc>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5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Kaohsiung</w:t>
            </w:r>
          </w:p>
        </w:tc>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MOSFETs</w:t>
            </w:r>
          </w:p>
        </w:tc>
        <w:tc>
          <w:tcPr>
            <w:tcW w:w="5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20" w:type="dxa"/>
            <w:vAlign w:val="bottom"/>
          </w:tcPr>
          <w:p>
            <w:pPr>
              <w:jc w:val="right"/>
              <w:ind w:right="4088"/>
              <w:spacing w:after="0"/>
              <w:rPr>
                <w:sz w:val="20"/>
                <w:szCs w:val="20"/>
                <w:color w:val="auto"/>
              </w:rPr>
            </w:pPr>
            <w:r>
              <w:rPr>
                <w:rFonts w:ascii="Times New Roman" w:cs="Times New Roman" w:eastAsia="Times New Roman" w:hAnsi="Times New Roman"/>
                <w:sz w:val="12"/>
                <w:szCs w:val="12"/>
                <w:color w:val="auto"/>
              </w:rPr>
              <w:t>23</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10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68"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The principal locations of our leased manufacturing facilities, along with available space including administrative offices,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auto"/>
              </w:rPr>
              <w:t>Leased Locations</w:t>
            </w:r>
          </w:p>
        </w:tc>
        <w:tc>
          <w:tcPr>
            <w:tcW w:w="6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Business Segment</w:t>
            </w: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Approx. Available Space</w:t>
            </w:r>
          </w:p>
        </w:tc>
        <w:tc>
          <w:tcPr>
            <w:tcW w:w="0" w:type="dxa"/>
            <w:vAlign w:val="bottom"/>
          </w:tcPr>
          <w:p>
            <w:pPr>
              <w:spacing w:after="0"/>
              <w:rPr>
                <w:sz w:val="1"/>
                <w:szCs w:val="1"/>
                <w:color w:val="auto"/>
              </w:rPr>
            </w:pPr>
          </w:p>
        </w:tc>
      </w:tr>
      <w:tr>
        <w:trPr>
          <w:trHeight w:val="142"/>
        </w:trPr>
        <w:tc>
          <w:tcPr>
            <w:tcW w:w="3460" w:type="dxa"/>
            <w:vAlign w:val="bottom"/>
            <w:gridSpan w:val="6"/>
            <w:vMerge w:val="continue"/>
          </w:tcPr>
          <w:p>
            <w:pPr>
              <w:spacing w:after="0"/>
              <w:rPr>
                <w:sz w:val="12"/>
                <w:szCs w:val="12"/>
                <w:color w:val="auto"/>
              </w:rPr>
            </w:pPr>
          </w:p>
        </w:tc>
        <w:tc>
          <w:tcPr>
            <w:tcW w:w="64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(Square Feet)</w:t>
            </w:r>
          </w:p>
        </w:tc>
        <w:tc>
          <w:tcPr>
            <w:tcW w:w="0" w:type="dxa"/>
            <w:vAlign w:val="bottom"/>
          </w:tcPr>
          <w:p>
            <w:pPr>
              <w:spacing w:after="0"/>
              <w:rPr>
                <w:sz w:val="1"/>
                <w:szCs w:val="1"/>
                <w:color w:val="auto"/>
              </w:rPr>
            </w:pPr>
          </w:p>
        </w:tc>
      </w:tr>
      <w:tr>
        <w:trPr>
          <w:trHeight w:val="293"/>
        </w:trPr>
        <w:tc>
          <w:tcPr>
            <w:tcW w:w="1000" w:type="dxa"/>
            <w:vAlign w:val="bottom"/>
            <w:tcBorders>
              <w:top w:val="single" w:sz="8" w:color="auto"/>
            </w:tcBorders>
          </w:tcPr>
          <w:p>
            <w:pPr>
              <w:spacing w:after="0"/>
              <w:rPr>
                <w:sz w:val="24"/>
                <w:szCs w:val="24"/>
                <w:color w:val="auto"/>
              </w:rPr>
            </w:pPr>
          </w:p>
        </w:tc>
        <w:tc>
          <w:tcPr>
            <w:tcW w:w="2460" w:type="dxa"/>
            <w:vAlign w:val="bottom"/>
            <w:gridSpan w:val="5"/>
          </w:tcPr>
          <w:p>
            <w:pPr>
              <w:jc w:val="center"/>
              <w:ind w:right="1000"/>
              <w:spacing w:after="0"/>
              <w:rPr>
                <w:sz w:val="20"/>
                <w:szCs w:val="20"/>
                <w:color w:val="auto"/>
              </w:rPr>
            </w:pPr>
            <w:r>
              <w:rPr>
                <w:rFonts w:ascii="Times New Roman" w:cs="Times New Roman" w:eastAsia="Times New Roman" w:hAnsi="Times New Roman"/>
                <w:sz w:val="14"/>
                <w:szCs w:val="14"/>
                <w:color w:val="auto"/>
              </w:rPr>
              <w:t>United States</w:t>
            </w:r>
          </w:p>
        </w:tc>
        <w:tc>
          <w:tcPr>
            <w:tcW w:w="1040" w:type="dxa"/>
            <w:vAlign w:val="bottom"/>
            <w:tcBorders>
              <w:top w:val="single" w:sz="8" w:color="auto"/>
            </w:tcBorders>
          </w:tcPr>
          <w:p>
            <w:pPr>
              <w:spacing w:after="0"/>
              <w:rPr>
                <w:sz w:val="24"/>
                <w:szCs w:val="24"/>
                <w:color w:val="auto"/>
              </w:rPr>
            </w:pPr>
          </w:p>
        </w:tc>
        <w:tc>
          <w:tcPr>
            <w:tcW w:w="5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Attleboro, MA</w:t>
            </w:r>
          </w:p>
        </w:tc>
        <w:tc>
          <w:tcPr>
            <w:tcW w:w="780" w:type="dxa"/>
            <w:vAlign w:val="bottom"/>
            <w:tcBorders>
              <w:top w:val="single" w:sz="8" w:color="auto"/>
            </w:tcBorders>
            <w:gridSpan w:val="3"/>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Columbus, NE</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Ontario, CA</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Dover, NH</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East Windsor, CT</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Hollis, NH</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Fremont, CA</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Glendale, WI</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Montevideo, MN</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Duluth, MN</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3"/>
          </w:tcPr>
          <w:p>
            <w:pPr>
              <w:jc w:val="center"/>
              <w:ind w:right="1460"/>
              <w:spacing w:after="0" w:line="135" w:lineRule="exact"/>
              <w:rPr>
                <w:sz w:val="20"/>
                <w:szCs w:val="20"/>
                <w:color w:val="auto"/>
              </w:rPr>
            </w:pPr>
            <w:r>
              <w:rPr>
                <w:rFonts w:ascii="Times New Roman" w:cs="Times New Roman" w:eastAsia="Times New Roman" w:hAnsi="Times New Roman"/>
                <w:sz w:val="14"/>
                <w:szCs w:val="14"/>
                <w:color w:val="auto"/>
              </w:rPr>
              <w:t>Non-U.S.</w:t>
            </w:r>
          </w:p>
        </w:tc>
        <w:tc>
          <w:tcPr>
            <w:tcW w:w="104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Klagenfurt, Austria</w:t>
            </w:r>
          </w:p>
        </w:tc>
        <w:tc>
          <w:tcPr>
            <w:tcW w:w="560" w:type="dxa"/>
            <w:vAlign w:val="bottom"/>
            <w:tcBorders>
              <w:top w:val="single" w:sz="8" w:color="auto"/>
            </w:tcBorders>
            <w:shd w:val="clear" w:color="auto" w:fill="CCEEFF"/>
          </w:tcPr>
          <w:p>
            <w:pPr>
              <w:spacing w:after="0"/>
              <w:rPr>
                <w:sz w:val="14"/>
                <w:szCs w:val="14"/>
                <w:color w:val="auto"/>
              </w:rPr>
            </w:pPr>
          </w:p>
        </w:tc>
        <w:tc>
          <w:tcPr>
            <w:tcW w:w="1460" w:type="dxa"/>
            <w:vAlign w:val="bottom"/>
            <w:gridSpan w:val="2"/>
            <w:shd w:val="clear" w:color="auto" w:fill="CCEEFF"/>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0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Danshui</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 Inductors, and 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Shanghai</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MOSFETs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Shatian</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 and 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Zhuhai</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 Xi</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Prestice, Czech Republic</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Capacitors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Santo Domingo, Dominican Republic</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Germany</w:t>
            </w:r>
          </w:p>
        </w:tc>
        <w:tc>
          <w:tcPr>
            <w:tcW w:w="10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Itzehoe</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MOSFETs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Heilbronn</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 and Optoelectronic Components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163,000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Selb</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Mumbai, India</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Mexico</w:t>
            </w:r>
          </w:p>
        </w:tc>
        <w:tc>
          <w:tcPr>
            <w:tcW w:w="1040" w:type="dxa"/>
            <w:vAlign w:val="bottom"/>
            <w:shd w:val="clear" w:color="auto" w:fill="CCEEFF"/>
          </w:tcPr>
          <w:p>
            <w:pPr>
              <w:spacing w:after="0"/>
              <w:rPr>
                <w:sz w:val="14"/>
                <w:szCs w:val="14"/>
                <w:color w:val="auto"/>
              </w:rPr>
            </w:pPr>
          </w:p>
        </w:tc>
        <w:tc>
          <w:tcPr>
            <w:tcW w:w="53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Juarez</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Durango</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Mexicali</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Resistors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Manila, Philippines</w:t>
            </w: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Optoelectronic Components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Kaohsiung, Republic of China (Taiwan)</w:t>
            </w:r>
          </w:p>
        </w:tc>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Diodes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0" w:type="dxa"/>
            <w:vAlign w:val="bottom"/>
            <w:gridSpan w:val="2"/>
          </w:tcPr>
          <w:p>
            <w:pPr>
              <w:ind w:left="2120"/>
              <w:spacing w:after="0"/>
              <w:rPr>
                <w:sz w:val="20"/>
                <w:szCs w:val="20"/>
                <w:color w:val="auto"/>
              </w:rPr>
            </w:pPr>
            <w:r>
              <w:rPr>
                <w:rFonts w:ascii="Times New Roman" w:cs="Times New Roman" w:eastAsia="Times New Roman" w:hAnsi="Times New Roman"/>
                <w:sz w:val="12"/>
                <w:szCs w:val="12"/>
                <w:color w:val="auto"/>
              </w:rPr>
              <w:t>24</w:t>
            </w: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1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26"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3.  LEGAL PROCEEDINGS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From time to time we are involved in routine litigation incidental to our business. Management believes that such matters, either individually or in the aggregate, should not have a material adverse effect on our business or financial condition.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Antitrust Class Action Complaints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complaints that had been filed by The AASI Beneficiaries’ Trust by and through Kenneth A. Welt Liquidating Trustee and Benchmark Electronics, Inc. against certain manufacturers of aluminum, tantalum and film capacitors, including Holy Stone Enterprise Co., Ltd., Milestone Global Technology, Inc. d/b/a/ Holystone International, Holy Stone Holdings Co., Ltd. (collectively, “Holy Stone”) and Vishay Polytech Co., Ltd., which was acquired by a subsidiary of the Company in 2014 (formerly known as Holy Stone Polytech Co., Ltd.) (“VPC”) have been settled and dismissed with prejudice. Holy Stone paid on behalf of itself and VPC a total of $745,000 for final settlement of those cases. VPC admitted no liability and paid nothing toward the settlements. The purported wrongdoing, as described in the complaints, occurred prior to the acquisition of VPC by Vishay. Currently, neither Vishay nor any of its subsidiaries is a party to any antitrust litigation in the U.S. or worldwide.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 Matters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engaged in discussions with various parties regarding patent licensing and cross patent licensing issues. In addition, we have observed that in the current business environment, electronic component and semiconductor companies have become more aggressive in asserting and defending patent claims against competitors. When we believe other companies are misappropriating our intellectual property rights, we vigorously enforce those rights through legal action, and we intend to continue to do so.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Vishay is involved in environmental remediation programs at various sites currently or formerly owned by Vishay and its subsidiaries both within and outside of the U.S., in addition to involvement as a potentially responsible party (“PRP”) at Superfund sites. Certain obligations as a PRP have arisen in connection with business acquisitions. The remediation programs are on-going and the ultimate cost of site cleanup is difficult to predict given the uncertainties regarding the extent of the required cleanup, the interpretation of applicable laws and regulations, and alternative cleanup methods. See also Note 13 to our consolidated financial statements.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 xml:space="preserve">Vishay GSI, Inc. (“VGSI”), a wholly owned subsidiary of the Company, is a direct defendant in two separate, but related, litigation matters: (1) </w:t>
      </w:r>
      <w:r>
        <w:rPr>
          <w:rFonts w:ascii="Times New Roman" w:cs="Times New Roman" w:eastAsia="Times New Roman" w:hAnsi="Times New Roman"/>
          <w:sz w:val="14"/>
          <w:szCs w:val="14"/>
          <w:i w:val="1"/>
          <w:iCs w:val="1"/>
          <w:color w:val="auto"/>
        </w:rPr>
        <w:t>101 Frost Street Associates, L.P. v. United States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Department of Energy et al</w:t>
      </w:r>
      <w:r>
        <w:rPr>
          <w:rFonts w:ascii="Times New Roman" w:cs="Times New Roman" w:eastAsia="Times New Roman" w:hAnsi="Times New Roman"/>
          <w:sz w:val="14"/>
          <w:szCs w:val="14"/>
          <w:color w:val="auto"/>
        </w:rPr>
        <w:t>.; and (2)</w:t>
      </w:r>
      <w:r>
        <w:rPr>
          <w:rFonts w:ascii="Times New Roman" w:cs="Times New Roman" w:eastAsia="Times New Roman" w:hAnsi="Times New Roman"/>
          <w:sz w:val="14"/>
          <w:szCs w:val="14"/>
          <w:i w:val="1"/>
          <w:iCs w:val="1"/>
          <w:color w:val="auto"/>
        </w:rPr>
        <w:t xml:space="preserve"> Hicksville Water District v. United States Department of Energy, et al</w:t>
      </w:r>
      <w:r>
        <w:rPr>
          <w:rFonts w:ascii="Times New Roman" w:cs="Times New Roman" w:eastAsia="Times New Roman" w:hAnsi="Times New Roman"/>
          <w:sz w:val="14"/>
          <w:szCs w:val="14"/>
          <w:color w:val="auto"/>
        </w:rPr>
        <w:t>. VGSI was also a third-party defendant in a third related matter,</w:t>
      </w:r>
      <w:r>
        <w:rPr>
          <w:rFonts w:ascii="Times New Roman" w:cs="Times New Roman" w:eastAsia="Times New Roman" w:hAnsi="Times New Roman"/>
          <w:sz w:val="14"/>
          <w:szCs w:val="14"/>
          <w:i w:val="1"/>
          <w:iCs w:val="1"/>
          <w:color w:val="auto"/>
        </w:rPr>
        <w:t xml:space="preserve"> United States v Island Transportation Corp. et al. </w:t>
      </w:r>
      <w:r>
        <w:rPr>
          <w:rFonts w:ascii="Times New Roman" w:cs="Times New Roman" w:eastAsia="Times New Roman" w:hAnsi="Times New Roman"/>
          <w:sz w:val="14"/>
          <w:szCs w:val="14"/>
          <w:color w:val="auto"/>
        </w:rPr>
        <w:t>On September 12, 2022, the United States District Court for the Eastern District of New York dismissed all third-party complaints commenced by Island Transportation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 against nineteen third-party defendants including VGSI. The two remaining cases are pending in the United States District Court for the Eastern District of New York.</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two remaining cases contain claims for recovery of response costs under the Comprehensive Environmental Response, Compensation and Liability Act (“CERCLA”), and allege that a predecessor’s manufacturing operations in Hicksville, New York (the “Site”), between 1960 and 1993, impacted groundwater beneath and downgradient of the Site. The groundwater beneath and downgradient of the Site is part of the New Cassel/Hicksville Groundwater Contamination Site, which was added to the National Priorities List pursuant to CERCLA on September 15, 2011. The Company is vigorously contesting plaintiff’s claims and will aggressively prosecute its affirmative claims.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4.  MINE SAFETY DISCLOSURES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80" w:type="dxa"/>
            <w:vAlign w:val="bottom"/>
          </w:tcPr>
          <w:p>
            <w:pPr>
              <w:spacing w:after="0"/>
              <w:rPr>
                <w:sz w:val="13"/>
                <w:szCs w:val="13"/>
                <w:color w:val="auto"/>
              </w:rPr>
            </w:pPr>
          </w:p>
        </w:tc>
      </w:tr>
      <w:tr>
        <w:trPr>
          <w:trHeight w:val="339"/>
        </w:trPr>
        <w:tc>
          <w:tcPr>
            <w:tcW w:w="64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regarding our executive officers as of February 22, 2023:</w:t>
            </w:r>
          </w:p>
        </w:tc>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89"/>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420" w:type="dxa"/>
            <w:vAlign w:val="bottom"/>
            <w:gridSpan w:val="2"/>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4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Positions Held</w:t>
            </w:r>
          </w:p>
        </w:tc>
      </w:tr>
      <w:tr>
        <w:trPr>
          <w:trHeight w:val="27"/>
        </w:trPr>
        <w:tc>
          <w:tcPr>
            <w:tcW w:w="360" w:type="dxa"/>
            <w:vAlign w:val="bottom"/>
            <w:shd w:val="clear" w:color="auto" w:fill="000000"/>
          </w:tcPr>
          <w:p>
            <w:pPr>
              <w:spacing w:after="0"/>
              <w:rPr>
                <w:sz w:val="2"/>
                <w:szCs w:val="2"/>
                <w:color w:val="auto"/>
              </w:rPr>
            </w:pPr>
          </w:p>
        </w:tc>
        <w:tc>
          <w:tcPr>
            <w:tcW w:w="3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980" w:type="dxa"/>
            <w:vAlign w:val="bottom"/>
          </w:tcPr>
          <w:p>
            <w:pPr>
              <w:spacing w:after="0"/>
              <w:rPr>
                <w:sz w:val="2"/>
                <w:szCs w:val="2"/>
                <w:color w:val="auto"/>
              </w:rPr>
            </w:pPr>
          </w:p>
        </w:tc>
      </w:tr>
      <w:tr>
        <w:trPr>
          <w:trHeight w:val="144"/>
        </w:trPr>
        <w:tc>
          <w:tcPr>
            <w:tcW w:w="36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4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Executive Chairman of the Board, Chief Business Development Officer, and</w:t>
            </w:r>
          </w:p>
        </w:tc>
      </w:tr>
      <w:tr>
        <w:trPr>
          <w:trHeight w:val="180"/>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 Zandman*</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61</w:t>
            </w:r>
          </w:p>
        </w:tc>
        <w:tc>
          <w:tcPr>
            <w:tcW w:w="142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President, Vishay Israel Ltd.</w:t>
            </w:r>
          </w:p>
        </w:tc>
      </w:tr>
      <w:tr>
        <w:trPr>
          <w:trHeight w:val="162"/>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Joel Smejkal*</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56</w:t>
            </w:r>
          </w:p>
        </w:tc>
        <w:tc>
          <w:tcPr>
            <w:tcW w:w="142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tc>
      </w:tr>
      <w:tr>
        <w:trPr>
          <w:trHeight w:val="162"/>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Lori Lipcaman</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65</w:t>
            </w:r>
          </w:p>
        </w:tc>
        <w:tc>
          <w:tcPr>
            <w:tcW w:w="14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62"/>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Jeff Webster</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52</w:t>
            </w:r>
          </w:p>
        </w:tc>
        <w:tc>
          <w:tcPr>
            <w:tcW w:w="142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Vice President - Chief Operating Officer</w:t>
            </w:r>
          </w:p>
        </w:tc>
      </w:tr>
      <w:tr>
        <w:trPr>
          <w:trHeight w:val="162"/>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Roy Shoshani</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49</w:t>
            </w:r>
          </w:p>
        </w:tc>
        <w:tc>
          <w:tcPr>
            <w:tcW w:w="14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 Chief Technical Officer</w:t>
            </w:r>
          </w:p>
        </w:tc>
      </w:tr>
      <w:tr>
        <w:trPr>
          <w:trHeight w:val="162"/>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Peter Henrici</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67</w:t>
            </w:r>
          </w:p>
        </w:tc>
        <w:tc>
          <w:tcPr>
            <w:tcW w:w="142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Vice President - Corporate Development</w:t>
            </w:r>
          </w:p>
        </w:tc>
      </w:tr>
      <w:tr>
        <w:trPr>
          <w:trHeight w:val="162"/>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Andreas Randebrock</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58</w:t>
            </w:r>
          </w:p>
        </w:tc>
        <w:tc>
          <w:tcPr>
            <w:tcW w:w="1420" w:type="dxa"/>
            <w:vAlign w:val="bottom"/>
            <w:shd w:val="clear" w:color="auto" w:fill="CCEEFF"/>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Global Human Resources</w:t>
            </w:r>
          </w:p>
        </w:tc>
      </w:tr>
      <w:tr>
        <w:trPr>
          <w:trHeight w:val="188"/>
        </w:trPr>
        <w:tc>
          <w:tcPr>
            <w:tcW w:w="4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Member of the Executive Committee of the Board of Directors.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80" w:type="dxa"/>
            <w:vAlign w:val="bottom"/>
          </w:tcPr>
          <w:p>
            <w:pPr>
              <w:spacing w:after="0"/>
              <w:rPr>
                <w:sz w:val="16"/>
                <w:szCs w:val="16"/>
                <w:color w:val="auto"/>
              </w:rPr>
            </w:pPr>
          </w:p>
        </w:tc>
      </w:tr>
    </w:tbl>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Marc Zandman was appointed Executive Chairman of the Board and Chief Business Development Officer effective June 5, 2011. Mr. Zandman has served as a Director of Vishay since 2001 and President of Vishay Israel Ltd. since 1998. Mr. Zandman previously was Vice Chairman of the Board from 2003 to June 2011, and Chief Administration Officer from 2007 to June 2011. Mr. Zandman was Group Vice President of Vishay Measurements Group from 2002 to 2004. Mr. Zandman has served in various other capacities with Vishay since 1984. He is the son of the late Dr. Felix Zandman, Vishay’s Founder. Mr. Zandman controls, on a shared basis with Ruta Zandman and Ziv Shoshani, approximately 34.5% of the total voting power of our capital stock as of December 31, 2022. He also is non-executive Chairman of Vishay Precision Group, Inc., an independent, publicly-traded company spun-off from Vishay Intertechnology in 2010.</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Joel Smejkal was appointed President and Chief Executive Officer effective January 1, 2023. Mr. Smejkal served as Executive Vice President, Corporate Business Development from 2020-2022. He has held various positions of increasing responsibility since joining Vishay in 1990, including Executive Vice President, Business Head Passive Components (2017-2020) and Senior Vice President Global Distribution Sales (2012-2016). His experience with Vishay includes worldwide and divisional leadership roles in engineering, marketing, operations, and sales.</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Lori Lipcaman was appointed Executive Vice President and Chief Financial Officer of the Company effective September 1, 2011. Ms. Lipcaman had been appointed Executive Vice President Finance and Chief Accounting Officer in September 2008. Previously, she served as Vishay’s Corporate Senior Vice President, Operations Controller, from March 1998 to September 2008. Prior to that, she served in various positions of increasing responsibility in finance and controlling since joining the Company in May 1989.</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Jeff Webster was appointed Executive Vice President - Chief Operating Officer effective January 1, 2023. Mr. Webster served as Executive Vice President, Business Head Passive Components from 2020-2022. He has held various positions of increasing responsibility since joining Vishay in 2000, including Senior Vice President Global Quality (2014-2019) and Vice President Global Quality – Actives (2000-2014).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Roy Shoshani was appointed Executive Vice President – Chief Technical Officer effective January 1, 2023.  Mr. Shoshani has held various positions of increasing responsibility since joining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Vishay in 2004, including Deputy to the Chief Technical Officer (2021-2022), Vice President Integrated Circuits Division (2009-2022), and Vice President R&amp;D – Semiconductors (2019-2021).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 to joining Vishay, Mr. Shoshani worked for Harmonic. Mr. Shoshani’s experience with Vishay includes divisional leadership roles in R&amp;D, marketing, business development and operations.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Peter Henrici was appointed Executive Vice President – Corporate Development effective January 1, 2023 and has served as Corporate Secretary since 2012. Mr. Henrici has held various positions in marketing communications, investor relations, and corporate treasury departments since joining Vishay in 1998. Mr. Henrici has been responsible for corporate communications since 2005.</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Andreas Randebrock was appointed Executive Vice President Global Human Resources effective July 1, 2020. Mr. Randebrock has been working for Vishay since 2015 as Senior Vice President Employee Development. Before Mr. Randebrock joined Vishay he worked as a management consultant in the field of leadership, human resources, and organizational consulting for more than 20 years. From 1998 until 2015, Mr. Randebrock was employed by the global human resources consultancy Hay Group (acquired in 2015 by Korn Ferry) where he held various positions of increasing responsibility and was a partner.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26" w:name="page27"/>
    <w:bookmarkEnd w:id="26"/>
    <w:p>
      <w:pPr>
        <w:ind w:left="5380"/>
        <w:spacing w:after="0"/>
        <w:rPr>
          <w:sz w:val="20"/>
          <w:szCs w:val="20"/>
          <w:color w:val="auto"/>
        </w:rPr>
      </w:pPr>
      <w:r>
        <w:rPr>
          <w:rFonts w:ascii="Times New Roman" w:cs="Times New Roman" w:eastAsia="Times New Roman" w:hAnsi="Times New Roman"/>
          <w:sz w:val="14"/>
          <w:szCs w:val="14"/>
          <w:b w:val="1"/>
          <w:bCs w:val="1"/>
          <w:u w:val="single" w:color="auto"/>
          <w:color w:val="auto"/>
        </w:rPr>
        <w:t>PART II</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5.  MARKET FOR REGISTRANT'S COMMON EQUITY, RELATED STOCKHOLDER MATTERS, AND ISSUER PURCHASES OF EQUITY SECURITIES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symbol VSH. The following table sets forth the high and low sales prices for our common stock as reported on the New York Stock Exchange composite tape for the indicated fiscal quarters. Holders of record of our common stock totaled approximately 1,000 at February 17, 2023. Because many of the shares of our common stock are held by brokers and other institutions on behalf of stockholders, we are unable to estimate the total number of beneficial owners represented by these stockholders of record.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2014, the Company's Board of Directors instituted a quarterly cash dividend program and declared the first cash dividend in the history of Vishay. Quarterly cash dividends have been paid in each quarter since the first fiscal quarter of 2014. We expect to continue to pay quarterly dividends, although the amount and timing of any future dividends remains subject to authorization of our Board of Directors.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for the indicated periods, the high and low sales prices of our common stock and the quarterly cash dividends declared.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 price range</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Dividends declared</w:t>
            </w:r>
          </w:p>
        </w:tc>
      </w:tr>
      <w:tr>
        <w:trPr>
          <w:trHeight w:val="160"/>
        </w:trPr>
        <w:tc>
          <w:tcPr>
            <w:tcW w:w="3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3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3"/>
                <w:szCs w:val="13"/>
                <w:color w:val="auto"/>
              </w:rPr>
            </w:pPr>
          </w:p>
        </w:tc>
        <w:tc>
          <w:tcPr>
            <w:tcW w:w="9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3"/>
                <w:szCs w:val="13"/>
                <w:color w:val="auto"/>
              </w:rPr>
            </w:pPr>
          </w:p>
        </w:tc>
        <w:tc>
          <w:tcPr>
            <w:tcW w:w="8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23.39</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17.63</w:t>
            </w:r>
          </w:p>
        </w:tc>
        <w:tc>
          <w:tcPr>
            <w:tcW w:w="8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22.65</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19.00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0.100</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0.100</w:t>
            </w:r>
          </w:p>
        </w:tc>
      </w:tr>
      <w:tr>
        <w:trPr>
          <w:trHeight w:val="162"/>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21.58</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16.73</w:t>
            </w:r>
          </w:p>
        </w:tc>
        <w:tc>
          <w:tcPr>
            <w:tcW w:w="8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22.93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19.67</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0.100</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0.095</w:t>
            </w:r>
          </w:p>
        </w:tc>
      </w:tr>
      <w:tr>
        <w:trPr>
          <w:trHeight w:val="16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20.91</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17.13</w:t>
            </w:r>
          </w:p>
        </w:tc>
        <w:tc>
          <w:tcPr>
            <w:tcW w:w="8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26.50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21.09</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0.100</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0.095</w:t>
            </w:r>
          </w:p>
        </w:tc>
      </w:tr>
      <w:tr>
        <w:trPr>
          <w:trHeight w:val="18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22.71</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17.58</w:t>
            </w:r>
          </w:p>
        </w:tc>
        <w:tc>
          <w:tcPr>
            <w:tcW w:w="8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25.26</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20.56</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0.100</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0.095</w:t>
            </w:r>
          </w:p>
        </w:tc>
      </w:tr>
    </w:tbl>
    <w:p>
      <w:pPr>
        <w:spacing w:after="0" w:line="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At February 17, 2023, we had outstanding 12,097,148 shares of Class B common stock, par value $.10 per share, each of which entitles the holder to ten votes. The Class B common stock generally is not transferable except in certain very limited instances, and there is no market for those shares. The Class B common stock is convertible, at the option of the holder, into common stock on a share for share basis. As a result of the passing of our founder and former Executive Chairman, Dr. Felix Zandman, Mrs. Ruta Zandman (a member of our Board of Directors) controls the voting of, solely or on a shared basis with Marc Zandman (our Executive Chairman) and Ziv Shoshani (a member of our Board of Directors) approximately 89.7% of our Class B common stock and 43.5% of the total voting power of our capital stock as of December 31, 2022.</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Certain of our debt obligations contain restrictions as to the payment of cash dividends. See "Financial Condition, Liquidity, and Capital Resources" included in Item 7, "Management's Discussion and Analysis of Financial Condition and Results of Operations."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February 7, 2022, our Board of Directors adopted a Stockholder Return Policy that will remain in effect until such time as the Board votes to amend or rescind the policy. The Stockholder Return Policy calls for us to return a prescribed amount of cash flows on an annual basis. We intend to return such amounts directly, in the form of dividends, or indirectly, in the form of stock repurchases. We paid $57.2 million of dividends to stockholders and repurchased $83.0 million of our stock pursuant to the Stockholder Return Policy in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regarding repurchases of our common stock during the fiscal quarter ended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62"/>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Part of</w:t>
            </w: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Dollar</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62"/>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62"/>
        </w:trPr>
        <w:tc>
          <w:tcPr>
            <w:tcW w:w="46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(including</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Under</w:t>
            </w:r>
          </w:p>
        </w:tc>
      </w:tr>
      <w:tr>
        <w:trPr>
          <w:trHeight w:val="182"/>
        </w:trPr>
        <w:tc>
          <w:tcPr>
            <w:tcW w:w="46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120" w:type="dxa"/>
            <w:vAlign w:val="bottom"/>
          </w:tcPr>
          <w:p>
            <w:pPr>
              <w:spacing w:after="0"/>
              <w:rPr>
                <w:sz w:val="15"/>
                <w:szCs w:val="15"/>
                <w:color w:val="auto"/>
              </w:rPr>
            </w:pPr>
          </w:p>
        </w:tc>
      </w:tr>
      <w:tr>
        <w:trPr>
          <w:trHeight w:val="160"/>
        </w:trPr>
        <w:tc>
          <w:tcPr>
            <w:tcW w:w="4640" w:type="dxa"/>
            <w:vAlign w:val="bottom"/>
          </w:tcPr>
          <w:p>
            <w:pPr>
              <w:spacing w:after="0"/>
              <w:rPr>
                <w:sz w:val="13"/>
                <w:szCs w:val="13"/>
                <w:color w:val="auto"/>
              </w:rPr>
            </w:pPr>
          </w:p>
        </w:tc>
        <w:tc>
          <w:tcPr>
            <w:tcW w:w="13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spacing w:after="0"/>
              <w:rPr>
                <w:sz w:val="13"/>
                <w:szCs w:val="13"/>
                <w:color w:val="auto"/>
              </w:rPr>
            </w:pPr>
          </w:p>
        </w:tc>
        <w:tc>
          <w:tcPr>
            <w:tcW w:w="13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16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October 2 - October 29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472,324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472,324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9,134,132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4,549,338</w:t>
            </w:r>
          </w:p>
        </w:tc>
      </w:tr>
      <w:tr>
        <w:trPr>
          <w:trHeight w:val="162"/>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October 30 - November 26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385,274</w:t>
            </w: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21.82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385,274</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8,406,284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4,164,064</w:t>
            </w:r>
          </w:p>
        </w:tc>
      </w:tr>
      <w:tr>
        <w:trPr>
          <w:trHeight w:val="16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November 27 - December 31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491,371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491,371</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10,760,263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3,672,693</w:t>
            </w:r>
          </w:p>
        </w:tc>
      </w:tr>
      <w:tr>
        <w:trPr>
          <w:trHeight w:val="20"/>
        </w:trPr>
        <w:tc>
          <w:tcPr>
            <w:tcW w:w="46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1,348,969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20.98</w:t>
            </w:r>
          </w:p>
        </w:tc>
        <w:tc>
          <w:tcPr>
            <w:tcW w:w="22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1,348,969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28,300,679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3,672,693</w:t>
            </w:r>
          </w:p>
        </w:tc>
      </w:tr>
      <w:tr>
        <w:trPr>
          <w:trHeight w:val="20"/>
        </w:trPr>
        <w:tc>
          <w:tcPr>
            <w:tcW w:w="4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8"/>
        </w:trPr>
        <w:tc>
          <w:tcPr>
            <w:tcW w:w="46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2"/>
                <w:szCs w:val="12"/>
                <w:color w:val="auto"/>
              </w:rPr>
              <w:t>27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46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96"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line graph below compares the cumulative total stockholder return on Vishay’s common stock over a 5-year period with the returns on the Standard &amp; Poor’s MidCap 400 Stock Index (of which Vishay is a component), the Standard &amp; Poor’s 500 Stock Index, and the Philadelphia Semiconductor Index. The line graph assumes that $100 had been invested at December 31, 2017 and assumes that all dividends were reinvested.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9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Base</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30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19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2"/>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960" w:type="dxa"/>
            <w:vAlign w:val="bottom"/>
            <w:tcBorders>
              <w:bottom w:val="single" w:sz="8" w:color="auto"/>
            </w:tcBorders>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94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4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42"/>
        </w:trPr>
        <w:tc>
          <w:tcPr>
            <w:tcW w:w="3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tc>
        <w:tc>
          <w:tcPr>
            <w:tcW w:w="1960" w:type="dxa"/>
            <w:vAlign w:val="bottom"/>
            <w:shd w:val="clear" w:color="auto" w:fill="CCEEFF"/>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88.11</w:t>
            </w:r>
          </w:p>
        </w:tc>
        <w:tc>
          <w:tcPr>
            <w:tcW w:w="940" w:type="dxa"/>
            <w:vAlign w:val="bottom"/>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106.31</w:t>
            </w:r>
          </w:p>
        </w:tc>
        <w:tc>
          <w:tcPr>
            <w:tcW w:w="142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8"/>
              </w:rPr>
              <w:t>105.76</w:t>
            </w:r>
          </w:p>
        </w:tc>
        <w:tc>
          <w:tcPr>
            <w:tcW w:w="12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113.65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114.41</w:t>
            </w: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S&amp;P 500 Index</w:t>
            </w:r>
          </w:p>
        </w:tc>
        <w:tc>
          <w:tcPr>
            <w:tcW w:w="19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95.62</w:t>
            </w:r>
          </w:p>
        </w:tc>
        <w:tc>
          <w:tcPr>
            <w:tcW w:w="9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125.72</w:t>
            </w:r>
          </w:p>
        </w:tc>
        <w:tc>
          <w:tcPr>
            <w:tcW w:w="14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98"/>
              </w:rPr>
              <w:t>148.85</w:t>
            </w: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191.58</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156.88</w:t>
            </w:r>
          </w:p>
        </w:tc>
      </w:tr>
      <w:tr>
        <w:trPr>
          <w:trHeight w:val="16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S&amp;P MidCap 400 Index</w:t>
            </w:r>
          </w:p>
        </w:tc>
        <w:tc>
          <w:tcPr>
            <w:tcW w:w="1960" w:type="dxa"/>
            <w:vAlign w:val="bottom"/>
            <w:shd w:val="clear" w:color="auto" w:fill="CCEEFF"/>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88.92</w:t>
            </w:r>
          </w:p>
        </w:tc>
        <w:tc>
          <w:tcPr>
            <w:tcW w:w="94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w w:val="98"/>
              </w:rPr>
              <w:t>112.21</w:t>
            </w:r>
          </w:p>
        </w:tc>
        <w:tc>
          <w:tcPr>
            <w:tcW w:w="1420" w:type="dxa"/>
            <w:vAlign w:val="bottom"/>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8"/>
              </w:rPr>
              <w:t>127.54</w:t>
            </w:r>
          </w:p>
        </w:tc>
        <w:tc>
          <w:tcPr>
            <w:tcW w:w="12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159.12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138.34</w:t>
            </w: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Philadelphia Semiconductor Index</w:t>
            </w:r>
          </w:p>
        </w:tc>
        <w:tc>
          <w:tcPr>
            <w:tcW w:w="19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100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93.95</w:t>
            </w:r>
          </w:p>
        </w:tc>
        <w:tc>
          <w:tcPr>
            <w:tcW w:w="94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153.39</w:t>
            </w:r>
          </w:p>
        </w:tc>
        <w:tc>
          <w:tcPr>
            <w:tcW w:w="14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98"/>
              </w:rPr>
              <w:t>235.71</w:t>
            </w:r>
          </w:p>
        </w:tc>
        <w:tc>
          <w:tcPr>
            <w:tcW w:w="12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336.71</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165100</wp:posOffset>
            </wp:positionV>
            <wp:extent cx="4200525" cy="2377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00525" cy="237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6.  RESERVED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0" w:right="299" w:bottom="1440" w:gutter="0" w:footer="0" w:header="0"/>
        </w:sectPr>
      </w:pPr>
    </w:p>
    <w:bookmarkStart w:id="28" w:name="page29"/>
    <w:bookmarkEnd w:id="28"/>
    <w:p>
      <w:pPr>
        <w:spacing w:after="0"/>
        <w:tabs>
          <w:tab w:leader="none" w:pos="540" w:val="left"/>
        </w:tabs>
        <w:rPr>
          <w:sz w:val="20"/>
          <w:szCs w:val="20"/>
          <w:color w:val="auto"/>
        </w:rPr>
      </w:pPr>
      <w:r>
        <w:rPr>
          <w:rFonts w:ascii="Times New Roman" w:cs="Times New Roman" w:eastAsia="Times New Roman" w:hAnsi="Times New Roman"/>
          <w:sz w:val="14"/>
          <w:szCs w:val="14"/>
          <w:b w:val="1"/>
          <w:bCs w:val="1"/>
          <w:u w:val="single" w:color="auto"/>
          <w:color w:val="auto"/>
        </w:rPr>
        <w:t>Item 7.</w:t>
        <w:tab/>
        <w:t>MANAGEMENT'S DISCUSSION AND ANALYSIS OF FINANCIAL CONDITION AND RESULTS OF OPERATIONS</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color w:val="auto"/>
        </w:rPr>
        <w:t>This Management's Discussion and Analysis (“MD&amp;A”) is intended to provide an understanding of Vishay's financial condition, results of operations and cash flows by focusing on changes in certain key measures from year to year. The MD&amp;A should be read in conjunction with our Consolidated Financial Statements and accompanying Notes filed herewith, commencing on page F-1 of this report. This discussion contains forward-looking statements that involve risks and uncertainties. Our actual results could differ materially from those anticipated in these forward-looking statements as a result of various factors, including those discussed elsewhere in this Annual Report on Form 10-K, particularly in Item 1A. “Risk Factors.”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Intertechnology, Inc. ("Vishay," "we," "us," or "our") manufactures one of the world’s largest portfolios of discrete semiconductors and passive electronic components that are essential to innovative designs in the automotive, industrial, computing, consumer, telecommunications, military, aerospace, and medical markets.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in six segments based on product functionality: MOSFETs, Diodes, Optoelectronic Components, Resistors, Inductors, and Capacitors.</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focused on enhancing stockholder value by growing our business and improving earnings per share. Since 1985, we have pursued a business strategy of growth through focused research and development and acquisitions. We plan to continue to grow our business through intensified internal growth supplemented by opportunistic acquisitions, while at the same time maintaining a prudent capital structure. Over the next few years, we expect to experience higher growth rates than over the last decade. To foster intensified internal growth, we have increased our worldwide R&amp;D and engineering technical staff; we are increasing our technical field sales force in Asia to increase our market access to the industrial segment and increase the design-in of our products in local markets; and we are directing increased funding and focus on developing products to capitalize on the mega trends of electrification, data storage, and wireless communications. We have identified thirty key product lines for growth and are planning to invest more to expand these key product lines. We expect to invest approximately $385 million in 2023 and approximately $1.2 billion over the next three years primarily for capital expansion projects outside of China as part of our growth and margin expansion plan.</w:t>
      </w:r>
    </w:p>
    <w:p>
      <w:pPr>
        <w:spacing w:after="0" w:line="1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 addition to enhancing stockholder value through growing our business, on February 7, 2022, our Board of Directors adopted a Stockholder Return Policy, which calls for us to return at least 70% of free cash flow, net of scheduled principal payments of long-term debt, on an annual basis. See further discussion in “Stockholder Return Policy” below.</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business and operating results have been, and will continue to be, impacted by worldwide economic conditions. Our revenues are dependent on end markets that are impacted by consumer and industrial demand, and our operating results can be adversely affected by reduced demand in those global markets. The worldwide economy and, specifically, our business were and continue to be impacted by the COVID-19 pandemic, particularly in 2020. While the wide-spread economic impact of the COVID-19 pandemic on Vishay was temporary as evidenced by our revenues since the beginning of 2021, similar disruptions have continued to occur on a more limited scale.</w:t>
      </w:r>
    </w:p>
    <w:p>
      <w:pPr>
        <w:spacing w:after="0" w:line="1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operations in the People's Republic of China, particularly in Shanghai, were impacted by COVID-19 government mandated shut-downs in the second fiscal quarter of 2022. These manufacturing facilities were temporarily closed and some were operating at levels less than full capacity. We incurred incremental costs separable from normal operations that are directly related to these government mandated shut-downs, primarily wages paid to manufacturing employees during the shut-downs, additional wages and hardship allowances for working during lockdown periods, and temporary housing for employees due to travel restrictions, which were partially offset by government subsidies. The net impact of the costs and subsidies are reported as cost of products sold ($6.7 million) and selling, general, and administrative expenses ($0.5 million) based on employee function on the consolidated statement of operations for the year ended December 31, 2022. Since 2021, certain costs directly attributable to the pandemic, such as additional costs of cleaning and disinfecting facilities and costs of additional safety equipment for employees, are no longer incremental and are considered normal operating costs. These expenses and all indirect financial changes from the COVID-19 pandemic, such as general macroeconomic effects and higher shipping costs due to reduced shipping capacity, are excluded from the amounts reported as COVID-19 pandemic expenses. In this volatile economic environment, we continue to closely monitor our fixed costs, capital expenditure plans, inventory, and capital resources to respond to changing conditions and to ensure we have the management, business processes, and resources to meet our future needs. We will react quickly and professionally to changes in demand to minimize manufacturing inefficiencies and excess inventory build in periods of decline and maximize opportunities in periods of growth. We believe we have sufficient liquidity to withstand temporary disruptions in the economic environment. See additional information regarding our competitive strengths and key challenges as disclosed in Part 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29" w:name="page30"/>
    <w:bookmarkEnd w:id="29"/>
    <w:p>
      <w:pPr>
        <w:jc w:val="both"/>
        <w:spacing w:after="0" w:line="251" w:lineRule="auto"/>
        <w:rPr>
          <w:sz w:val="20"/>
          <w:szCs w:val="20"/>
          <w:color w:val="auto"/>
        </w:rPr>
      </w:pPr>
      <w:r>
        <w:rPr>
          <w:rFonts w:ascii="Times New Roman" w:cs="Times New Roman" w:eastAsia="Times New Roman" w:hAnsi="Times New Roman"/>
          <w:sz w:val="14"/>
          <w:szCs w:val="14"/>
          <w:color w:val="auto"/>
        </w:rPr>
        <w:t>We utilize several financial metrics, including net revenues, gross profit margin, segment operating income, end-of-period backlog, book-to-bill ratio, inventory turnover, change in average selling prices, net cash and short-term investments (debt), and free cash generation to evaluate the performance and assess the future direction of our business. See further discussion in “Financial Metrics” and “Financial Condition, Liquidity, and Capital Resources” below. The key financial metrics remained strong in the fourth fiscal quarter of 2022, but were slightly negatively impacted by cost inflation, the beginning of a distributor inventory correction that resulted in lower orders, and foreign currency effects. Net revenues and margins increased versus the prior year period. Average selling prices remained stable in the fourth fiscal quarter of 2022 after broad increases in prior periods.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revenues for the year ended December 31, 2022 were $3.497 billion, compared to net revenues of $3.240 billion and $2.502 billion for the years ended December 31, 2021 and 2020, respectively. Net earnings attributable to Vishay stockholders for the year ended December 31, 2022 were $428.8 million, or $2.98 per diluted share, compared to $298.0 million, or $2.05 per diluted share, and $122.9 million, or $0.85 per share, for the years ended December 31, 2021 and 2020, respectively.</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define adjusted net earnings as net earnings determined in accordance with GAAP adjusted for various items that management believes are not indicative of the intrinsic operating performance of our business. We define free cash as the cash flows generated from continuing operations less capital expenditures plus net proceeds from the sale of property and equipment. The reconciliations below include certain financial measures which are not recognized in accordance with GAAP, including adjusted net earnings, adjusted earnings per share, and free cash. These non-GAAP measures should not be viewed as alternatives to GAAP measures of performance or liquidity. Non-GAAP measures such as adjusted net earnings, adjusted earnings per share, and free cash do not have uniform definitions. These measures, as calculated by Vishay, may not be comparable to similarly titled measures used by other companies. Management believes that adjusted net earnings and adjusted earnings per share are meaningful because they provide insight with respect to our intrinsic operating results. Management believes that free cash is a meaningful measure of our ability to fund acquisitions, repay debt, and otherwise enhance stockholder value through stock repurchases or dividends.</w:t>
      </w:r>
    </w:p>
    <w:p>
      <w:pPr>
        <w:spacing w:after="0" w:line="112"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color w:val="auto"/>
        </w:rPr>
        <w:t xml:space="preserve">Net earnings attributable to Vishay stockholders for the years ended December 31, 2022, 2021, and 2020 include items affecting comparability. The items affecting comparability are </w:t>
      </w:r>
      <w:r>
        <w:rPr>
          <w:rFonts w:ascii="Times New Roman" w:cs="Times New Roman" w:eastAsia="Times New Roman" w:hAnsi="Times New Roman"/>
          <w:sz w:val="14"/>
          <w:szCs w:val="14"/>
          <w:i w:val="1"/>
          <w:iCs w:val="1"/>
          <w:color w:val="auto"/>
        </w:rPr>
        <w:t>(in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thousands, except per share amounts)</w:t>
      </w:r>
      <w:r>
        <w:rPr>
          <w:rFonts w:ascii="Times New Roman" w:cs="Times New Roman" w:eastAsia="Times New Roman" w:hAnsi="Times New Roman"/>
          <w:sz w:val="14"/>
          <w:szCs w:val="14"/>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0"/>
        </w:trPr>
        <w:tc>
          <w:tcPr>
            <w:tcW w:w="2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r>
      <w:tr>
        <w:trPr>
          <w:trHeight w:val="142"/>
        </w:trPr>
        <w:tc>
          <w:tcPr>
            <w:tcW w:w="2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6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net earnings attributable to Vishay stockholders</w:t>
            </w:r>
          </w:p>
        </w:tc>
        <w:tc>
          <w:tcPr>
            <w:tcW w:w="30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428,810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297,970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122,923</w:t>
            </w:r>
          </w:p>
        </w:tc>
      </w:tr>
      <w:tr>
        <w:trPr>
          <w:trHeight w:val="144"/>
        </w:trPr>
        <w:tc>
          <w:tcPr>
            <w:tcW w:w="2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32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Reconciling items affecting gross profit:</w:t>
            </w:r>
          </w:p>
        </w:tc>
        <w:tc>
          <w:tcPr>
            <w:tcW w:w="2220" w:type="dxa"/>
            <w:vAlign w:val="bottom"/>
            <w:tcBorders>
              <w:bottom w:val="single" w:sz="8" w:color="CCEEFF"/>
            </w:tcBorders>
            <w:gridSpan w:val="4"/>
            <w:shd w:val="clear" w:color="auto" w:fill="CCEEFF"/>
          </w:tcPr>
          <w:p>
            <w:pPr>
              <w:spacing w:after="0"/>
              <w:rPr>
                <w:sz w:val="12"/>
                <w:szCs w:val="12"/>
                <w:color w:val="auto"/>
              </w:rPr>
            </w:pPr>
          </w:p>
        </w:tc>
        <w:tc>
          <w:tcPr>
            <w:tcW w:w="28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62"/>
        </w:trPr>
        <w:tc>
          <w:tcPr>
            <w:tcW w:w="45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Impact of COVID-19 pandemic</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6,661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4,563</w:t>
            </w:r>
          </w:p>
        </w:tc>
      </w:tr>
      <w:tr>
        <w:trPr>
          <w:trHeight w:val="144"/>
        </w:trPr>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2980" w:type="dxa"/>
            <w:vAlign w:val="bottom"/>
            <w:tcBorders>
              <w:bottom w:val="single" w:sz="8" w:color="auto"/>
            </w:tcBorders>
            <w:gridSpan w:val="3"/>
          </w:tcPr>
          <w:p>
            <w:pPr>
              <w:spacing w:after="0" w:line="135" w:lineRule="exact"/>
              <w:rPr>
                <w:sz w:val="20"/>
                <w:szCs w:val="20"/>
                <w:color w:val="auto"/>
              </w:rPr>
            </w:pPr>
            <w:r>
              <w:rPr>
                <w:rFonts w:ascii="Times New Roman" w:cs="Times New Roman" w:eastAsia="Times New Roman" w:hAnsi="Times New Roman"/>
                <w:sz w:val="14"/>
                <w:szCs w:val="14"/>
                <w:color w:val="auto"/>
              </w:rPr>
              <w:t>Other reconciling items affecting operating income:</w:t>
            </w:r>
          </w:p>
        </w:tc>
        <w:tc>
          <w:tcPr>
            <w:tcW w:w="1560" w:type="dxa"/>
            <w:vAlign w:val="bottom"/>
            <w:gridSpan w:val="2"/>
          </w:tcPr>
          <w:p>
            <w:pPr>
              <w:spacing w:after="0"/>
              <w:rPr>
                <w:sz w:val="12"/>
                <w:szCs w:val="12"/>
                <w:color w:val="auto"/>
              </w:rPr>
            </w:pPr>
          </w:p>
        </w:tc>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COVID-19 pandemic</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(1,451)</w:t>
            </w:r>
          </w:p>
        </w:tc>
      </w:tr>
      <w:tr>
        <w:trPr>
          <w:trHeight w:val="162"/>
        </w:trPr>
        <w:tc>
          <w:tcPr>
            <w:tcW w:w="45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Restructuring and severance costs</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743</w:t>
            </w:r>
          </w:p>
        </w:tc>
      </w:tr>
      <w:tr>
        <w:trPr>
          <w:trHeight w:val="144"/>
        </w:trPr>
        <w:tc>
          <w:tcPr>
            <w:tcW w:w="2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454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color w:val="auto"/>
              </w:rPr>
              <w:t>Reconciling items affecting other income (expense):</w:t>
            </w:r>
          </w:p>
        </w:tc>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30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15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8,073</w:t>
            </w:r>
          </w:p>
        </w:tc>
      </w:tr>
      <w:tr>
        <w:trPr>
          <w:trHeight w:val="144"/>
        </w:trPr>
        <w:tc>
          <w:tcPr>
            <w:tcW w:w="2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540" w:type="dxa"/>
            <w:vAlign w:val="bottom"/>
            <w:gridSpan w:val="5"/>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Reconciling items affecting tax expense (benefit):</w:t>
            </w:r>
          </w:p>
        </w:tc>
        <w:tc>
          <w:tcPr>
            <w:tcW w:w="2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Effects of changes in uncertain tax positions</w:t>
            </w:r>
          </w:p>
        </w:tc>
        <w:tc>
          <w:tcPr>
            <w:tcW w:w="1680" w:type="dxa"/>
            <w:vAlign w:val="bottom"/>
            <w:tcBorders>
              <w:top w:val="single" w:sz="8" w:color="CCEEFF"/>
            </w:tcBorders>
            <w:gridSpan w:val="3"/>
          </w:tcPr>
          <w:p>
            <w:pPr>
              <w:spacing w:after="0"/>
              <w:rPr>
                <w:sz w:val="14"/>
                <w:szCs w:val="14"/>
                <w:color w:val="auto"/>
              </w:rPr>
            </w:pPr>
          </w:p>
        </w:tc>
        <w:tc>
          <w:tcPr>
            <w:tcW w:w="3060" w:type="dxa"/>
            <w:vAlign w:val="bottom"/>
            <w:tcBorders>
              <w:top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(5,941)</w:t>
            </w:r>
          </w:p>
        </w:tc>
        <w:tc>
          <w:tcPr>
            <w:tcW w:w="24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3,751</w:t>
            </w:r>
          </w:p>
        </w:tc>
      </w:tr>
      <w:tr>
        <w:trPr>
          <w:trHeight w:val="162"/>
        </w:trPr>
        <w:tc>
          <w:tcPr>
            <w:tcW w:w="4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Effects of changes in valuation allowances</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(33,669)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(5,714)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45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Effect of change in indefinite reversal assertion</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59,642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4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tax laws and regulations</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45,040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45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Change in deferred taxes due to early extinguishment of debt</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(1,563)</w:t>
            </w:r>
          </w:p>
        </w:tc>
      </w:tr>
      <w:tr>
        <w:trPr>
          <w:trHeight w:val="162"/>
        </w:trPr>
        <w:tc>
          <w:tcPr>
            <w:tcW w:w="4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Effects of cash repatriation program</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(190)</w:t>
            </w:r>
          </w:p>
        </w:tc>
      </w:tr>
      <w:tr>
        <w:trPr>
          <w:trHeight w:val="162"/>
        </w:trPr>
        <w:tc>
          <w:tcPr>
            <w:tcW w:w="45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Tax effects of pre-tax items above</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(1,802)</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(2,799)</w:t>
            </w:r>
          </w:p>
        </w:tc>
      </w:tr>
      <w:tr>
        <w:trPr>
          <w:trHeight w:val="200"/>
        </w:trPr>
        <w:tc>
          <w:tcPr>
            <w:tcW w:w="45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net earnings</w:t>
            </w:r>
          </w:p>
        </w:tc>
        <w:tc>
          <w:tcPr>
            <w:tcW w:w="28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454,247</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337,296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134,050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20"/>
        </w:trPr>
        <w:tc>
          <w:tcPr>
            <w:tcW w:w="2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r>
      <w:tr>
        <w:trPr>
          <w:trHeight w:val="162"/>
        </w:trPr>
        <w:tc>
          <w:tcPr>
            <w:tcW w:w="4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weighted average diluted shares outstanding</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143,915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145,495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145,228</w:t>
            </w:r>
          </w:p>
        </w:tc>
      </w:tr>
      <w:tr>
        <w:trPr>
          <w:trHeight w:val="144"/>
        </w:trPr>
        <w:tc>
          <w:tcPr>
            <w:tcW w:w="2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6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5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earnings per diluted share</w:t>
            </w:r>
          </w:p>
        </w:tc>
        <w:tc>
          <w:tcPr>
            <w:tcW w:w="30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0.92</w:t>
            </w:r>
          </w:p>
        </w:tc>
      </w:tr>
      <w:tr>
        <w:trPr>
          <w:trHeight w:val="270"/>
        </w:trPr>
        <w:tc>
          <w:tcPr>
            <w:tcW w:w="2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800" w:type="dxa"/>
            <w:vAlign w:val="bottom"/>
          </w:tcPr>
          <w:p>
            <w:pPr>
              <w:jc w:val="right"/>
              <w:ind w:right="1571"/>
              <w:spacing w:after="0"/>
              <w:rPr>
                <w:sz w:val="20"/>
                <w:szCs w:val="20"/>
                <w:color w:val="auto"/>
              </w:rPr>
            </w:pPr>
            <w:r>
              <w:rPr>
                <w:rFonts w:ascii="Times New Roman" w:cs="Times New Roman" w:eastAsia="Times New Roman" w:hAnsi="Times New Roman"/>
                <w:sz w:val="12"/>
                <w:szCs w:val="12"/>
                <w:color w:val="auto"/>
              </w:rPr>
              <w:t>30</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6"/>
        </w:trPr>
        <w:tc>
          <w:tcPr>
            <w:tcW w:w="23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382" w:right="29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4"/>
          <w:szCs w:val="14"/>
          <w:color w:val="242424"/>
        </w:rPr>
        <w:t xml:space="preserve">The following table reconciles gross profit by segment to consolidated gross profit. Direct costs of the COVID-19 pandemic are not allocated to the segments as the chief operating decision maker's evaluation of segment performance does not include these costs </w:t>
      </w:r>
      <w:r>
        <w:rPr>
          <w:rFonts w:ascii="Times New Roman" w:cs="Times New Roman" w:eastAsia="Times New Roman" w:hAnsi="Times New Roman"/>
          <w:sz w:val="14"/>
          <w:szCs w:val="14"/>
          <w:i w:val="1"/>
          <w:iCs w:val="1"/>
          <w:color w:val="242424"/>
        </w:rPr>
        <w:t>(in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60"/>
        </w:trPr>
        <w:tc>
          <w:tcPr>
            <w:tcW w:w="7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MOSFETS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274,498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189,959</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114,236</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Diodes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198,105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168,365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90,004</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Optoelectronic Components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102,787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100,737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66,502</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Resistors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262,072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215,853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153,214</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Inductors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104,349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107,358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92,500</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Capacitors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123,839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105,641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70,010</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Unallocated gross profit (loss)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(6,661)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(4,563)</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1,058,989</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887,913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581,903</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 xml:space="preserve">Although the term "free cash" is not defined in GAAP, each of the elements used to calculate free cash is presented as a line item on the face of our consolidated statements of cash flows prepared in accordance with GAAP. Our free cash results are as follows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continuing operating activities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484,288</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457,104</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314,938</w:t>
            </w:r>
          </w:p>
        </w:tc>
        <w:tc>
          <w:tcPr>
            <w:tcW w:w="120" w:type="dxa"/>
            <w:vAlign w:val="bottom"/>
            <w:shd w:val="clear" w:color="auto" w:fill="CCEEFF"/>
          </w:tcPr>
          <w:p>
            <w:pPr>
              <w:spacing w:after="0"/>
              <w:rPr>
                <w:sz w:val="13"/>
                <w:szCs w:val="13"/>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1,317</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403</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Capital expenditures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(325,308)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(218,372)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(123,599)</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Free cash</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160,178</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240,049</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191,742</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results for 2022 and 2021 represent the continuation of the favorable business conditions that we have been experiencing since the latter part of 2020. Our percentage of euro-based sales approximates our percentage of euro-based expenses so the euro foreign currency impact on revenues was substantially offset by the impact on expenses. Our pre-tax results were consistent with expectations based on our business model.</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free cash results were significantly impacted by the installment payments of the U.S. transition tax of $14.8 million in 2022 and 2021 and $25.2 million of payments of foreign, withholding, and claw-back cash taxes on foreign earnings in Israel for the $81.2 million (net of taxes) that was repatriated to the U.S. in 2022.</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Financial Metrics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utilize several financial metrics to evaluate the performance and assess the future direction of our business. These key financial measures and metrics include net revenues, gross profit margin, operating margin, segment operating income, end-of-period backlog, and the book-to-bill ratio. We also monitor changes in our inventory turnover and our or publicly available average selling prices (“ASP”).</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Gross profit margin is computed as gross profit as a percentage of net revenues. Gross profit is generally net revenues less costs of products sold, but also deducts certain other period costs, particularly losses on purchase commitments and inventory write-downs. Losses on purchase commitments and inventory write-downs have the impact of reducing gross profit margin in the period of the charge, but result in improved gross profit margins in subsequent periods by reducing costs of products sold as inventory is used. We also regularly evaluate gross profit by segment to assist in the analysis of consolidated gross profit. Gross profit margin and gross profit margin by segment are clearly a function of net revenues, but also reflect our cost management programs and our ability to contain fixed costs.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Operating margin is computed as gross profit less operating expenses, expressed as a percentage of net revenues. Operating margin is clearly a function of net revenues, but also reflects our cost management programs and our ability to contain fixed costs.</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chief operating decision maker makes decisions, allocates resources, and evaluates business segment performance based on segment operating income. Only dedicated, direct selling, general, and administrative ("SG&amp;A") expenses of the segments are included in the calculation of segment operating income. We do not allocate certain SG&amp;A expenses that are managed at the regional or corporate global level to our segments. Accordingly, segment operating income excludes these SG&amp;A expenses that are not directly traceable to the segments. Segment operating income would also exclude costs not routinely used in the management of the segments in periods when those items are present, such as restructuring and severance costs, the direct impact of the COVID-19 pandemic, and other items affecting comparability. Segment operating income is clearly a function of net revenues, but also reflects our cost management programs and our ability to contain fixed costs. Segment operating margin is segment operating income expressed as a percentage of net revenues.</w:t>
      </w:r>
    </w:p>
    <w:p>
      <w:pPr>
        <w:spacing w:after="0" w:line="13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End-of-period backlog is one indicator of future revenues. We include in our backlog only open orders that we expect to ship in the next twelve months. If demand falls below customers’ forecasts, or if customers do not control their inventory effectively, they may cancel or reschedule the shipments that are included in our backlog, in many instances without the payment of any penalty. Therefore, the backlog is not necessarily indicative of the results to be expected for future periods.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 important indicator of demand in our industry is the book-to-bill ratio, which is the ratio of the amount of product ordered during a period as compared with the product that we ship during that period. A book-to-bill ratio that is greater than one indicates that our backlog is building and that we are likely to see increasing revenues in future periods. Conversely, a book-to-bill ratio that is less than one is an indicator of declining demand and may foretell declining revenues.</w:t>
      </w:r>
    </w:p>
    <w:p>
      <w:pPr>
        <w:spacing w:after="0" w:line="1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focus on our inventory turnover as a measure of how well we are managing our inventory. We define inventory turnover for a financial reporting period as our costs of products sold for the four fiscal quarters ending on the last day of the reporting period divided by our average inventory (computed using each fiscal quarter-end balance) for this same period. A higher level of inventory turnover reflects more efficient use of our capital.</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Pricing in our industry can be volatile. Using our and publicly available data, we analyze trends and changes in average selling prices to evaluate likely future pricing. The erosion of average selling prices of established products is typical for semiconductor products. We attempt to offset this deterioration with ongoing cost reduction activities and new product introductions. Our specialty passive components are more resistant to average selling price erosion. All pricing is subject to governing market conditions and is independently set by 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32" w:name="page33"/>
    <w:bookmarkEnd w:id="32"/>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 xml:space="preserve">The quarter-to-quarter trends in these financial metrics can also be an important indicator of the likely direction of our business. The following table shows net revenues, gross profit margin, operating margin, end-of-period backlog, book-to-bill ratio, inventory turnover, and changes in ASP for our business as a whole during the five fiscal quarters beginning with the fourth fiscal quarter of 2021 through the fourth fiscal quarter of 2022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4th Quarter</w:t>
            </w:r>
          </w:p>
        </w:tc>
        <w:tc>
          <w:tcPr>
            <w:tcW w:w="180" w:type="dxa"/>
            <w:vAlign w:val="bottom"/>
          </w:tcPr>
          <w:p>
            <w:pPr>
              <w:spacing w:after="0"/>
              <w:rPr>
                <w:sz w:val="13"/>
                <w:szCs w:val="13"/>
                <w:color w:val="auto"/>
              </w:rPr>
            </w:pPr>
          </w:p>
        </w:tc>
        <w:tc>
          <w:tcPr>
            <w:tcW w:w="11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1st Quarter</w:t>
            </w:r>
          </w:p>
        </w:tc>
        <w:tc>
          <w:tcPr>
            <w:tcW w:w="180" w:type="dxa"/>
            <w:vAlign w:val="bottom"/>
          </w:tcPr>
          <w:p>
            <w:pPr>
              <w:spacing w:after="0"/>
              <w:rPr>
                <w:sz w:val="13"/>
                <w:szCs w:val="13"/>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2nd Quarter</w:t>
            </w:r>
          </w:p>
        </w:tc>
        <w:tc>
          <w:tcPr>
            <w:tcW w:w="200" w:type="dxa"/>
            <w:vAlign w:val="bottom"/>
          </w:tcPr>
          <w:p>
            <w:pPr>
              <w:spacing w:after="0"/>
              <w:rPr>
                <w:sz w:val="13"/>
                <w:szCs w:val="13"/>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3rd Quarter</w:t>
            </w:r>
          </w:p>
        </w:tc>
        <w:tc>
          <w:tcPr>
            <w:tcW w:w="260" w:type="dxa"/>
            <w:vAlign w:val="bottom"/>
          </w:tcPr>
          <w:p>
            <w:pPr>
              <w:spacing w:after="0"/>
              <w:rPr>
                <w:sz w:val="13"/>
                <w:szCs w:val="13"/>
                <w:color w:val="auto"/>
              </w:rPr>
            </w:pPr>
          </w:p>
        </w:tc>
        <w:tc>
          <w:tcPr>
            <w:tcW w:w="10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4th Quarter</w:t>
            </w:r>
          </w:p>
        </w:tc>
      </w:tr>
      <w:tr>
        <w:trPr>
          <w:trHeight w:val="142"/>
        </w:trPr>
        <w:tc>
          <w:tcPr>
            <w:tcW w:w="3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r>
      <w:tr>
        <w:trPr>
          <w:trHeight w:val="151"/>
        </w:trPr>
        <w:tc>
          <w:tcPr>
            <w:tcW w:w="3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843,072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853,793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863,512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924,798</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$ 855,298</w:t>
            </w:r>
          </w:p>
        </w:tc>
      </w:tr>
      <w:tr>
        <w:trPr>
          <w:trHeight w:val="144"/>
        </w:trPr>
        <w:tc>
          <w:tcPr>
            <w:tcW w:w="3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2"/>
        </w:trPr>
        <w:tc>
          <w:tcPr>
            <w:tcW w:w="32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 xml:space="preserve">Gross profit margin </w:t>
            </w:r>
            <w:r>
              <w:rPr>
                <w:rFonts w:ascii="Times New Roman" w:cs="Times New Roman" w:eastAsia="Times New Roman" w:hAnsi="Times New Roman"/>
                <w:sz w:val="18"/>
                <w:szCs w:val="18"/>
                <w:color w:val="auto"/>
                <w:vertAlign w:val="superscript"/>
              </w:rPr>
              <w:t>(1)</w:t>
            </w:r>
          </w:p>
        </w:tc>
        <w:tc>
          <w:tcPr>
            <w:tcW w:w="158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27.3%</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30.3%</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30.3%</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31.3%</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44"/>
        </w:trPr>
        <w:tc>
          <w:tcPr>
            <w:tcW w:w="3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2"/>
        </w:trPr>
        <w:tc>
          <w:tcPr>
            <w:tcW w:w="32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 xml:space="preserve">Operating margin </w:t>
            </w:r>
            <w:r>
              <w:rPr>
                <w:rFonts w:ascii="Times New Roman" w:cs="Times New Roman" w:eastAsia="Times New Roman" w:hAnsi="Times New Roman"/>
                <w:sz w:val="18"/>
                <w:szCs w:val="18"/>
                <w:color w:val="auto"/>
                <w:vertAlign w:val="superscript"/>
              </w:rPr>
              <w:t>(2)</w:t>
            </w:r>
          </w:p>
        </w:tc>
        <w:tc>
          <w:tcPr>
            <w:tcW w:w="158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17.1%</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19.8%</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44"/>
        </w:trPr>
        <w:tc>
          <w:tcPr>
            <w:tcW w:w="3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End-of-period backlog</w:t>
            </w:r>
          </w:p>
        </w:tc>
        <w:tc>
          <w:tcPr>
            <w:tcW w:w="1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2,306,500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2,416,700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2,425,200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2,261,400</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2,292,700</w:t>
            </w:r>
          </w:p>
        </w:tc>
      </w:tr>
      <w:tr>
        <w:trPr>
          <w:trHeight w:val="144"/>
        </w:trPr>
        <w:tc>
          <w:tcPr>
            <w:tcW w:w="3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58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1.09</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1.14</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0.88</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0.94</w:t>
            </w:r>
          </w:p>
        </w:tc>
      </w:tr>
      <w:tr>
        <w:trPr>
          <w:trHeight w:val="144"/>
        </w:trPr>
        <w:tc>
          <w:tcPr>
            <w:tcW w:w="3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Inventory turnover</w:t>
            </w:r>
          </w:p>
        </w:tc>
        <w:tc>
          <w:tcPr>
            <w:tcW w:w="158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w:t>
            </w:r>
          </w:p>
        </w:tc>
      </w:tr>
      <w:tr>
        <w:trPr>
          <w:trHeight w:val="144"/>
        </w:trPr>
        <w:tc>
          <w:tcPr>
            <w:tcW w:w="3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6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ASP vs. prior quarter</w:t>
            </w:r>
          </w:p>
        </w:tc>
        <w:tc>
          <w:tcPr>
            <w:tcW w:w="158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57"/>
        </w:trPr>
        <w:tc>
          <w:tcPr>
            <w:tcW w:w="3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_______________</w:t>
            </w: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r>
    </w:tbl>
    <w:p>
      <w:pPr>
        <w:spacing w:after="0" w:line="12" w:lineRule="exact"/>
        <w:rPr>
          <w:sz w:val="20"/>
          <w:szCs w:val="20"/>
          <w:color w:val="auto"/>
        </w:rPr>
      </w:pPr>
    </w:p>
    <w:p>
      <w:pPr>
        <w:ind w:left="168" w:hanging="168"/>
        <w:spacing w:after="0"/>
        <w:tabs>
          <w:tab w:leader="none" w:pos="16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Gross margin for the second fiscal quarter of 2022 includes $6.7 million of expenses directly related to the COVID-19 pandemic (see Note 8 to our consolidated financial statements).</w:t>
      </w:r>
    </w:p>
    <w:p>
      <w:pPr>
        <w:spacing w:after="0" w:line="42"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margin for the second fiscal quarter of 2022 includes $7.2 million of expenses directly related to the COVID-19 pandemic (see Note 8 to our consolidated financial statements).</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See “Financial Metrics by Segment” below for net revenues, book-to-bill ratio, and gross profit margin broken out by segment.</w:t>
      </w:r>
    </w:p>
    <w:p>
      <w:pPr>
        <w:spacing w:after="0" w:line="145" w:lineRule="exact"/>
        <w:rPr>
          <w:sz w:val="20"/>
          <w:szCs w:val="20"/>
          <w:color w:val="auto"/>
        </w:rPr>
      </w:pPr>
    </w:p>
    <w:p>
      <w:pPr>
        <w:jc w:val="both"/>
        <w:ind w:left="8"/>
        <w:spacing w:after="0" w:line="250" w:lineRule="auto"/>
        <w:rPr>
          <w:sz w:val="20"/>
          <w:szCs w:val="20"/>
          <w:color w:val="auto"/>
        </w:rPr>
      </w:pPr>
      <w:r>
        <w:rPr>
          <w:rFonts w:ascii="Times New Roman" w:cs="Times New Roman" w:eastAsia="Times New Roman" w:hAnsi="Times New Roman"/>
          <w:sz w:val="14"/>
          <w:szCs w:val="14"/>
          <w:color w:val="auto"/>
        </w:rPr>
        <w:t>Revenues increased slightly versus the fourth fiscal quarter of 2021 primarily due to higher average selling prices. Revenues decreased significantly versus the prior fiscal quarter, primarily due to lower volume. The decrease versus the prior fiscal quarter is partially due to a sales catch-up experienced in the third fiscal quarter of 2022 following the government mandated COVID-19 shut-down of our manufacturing facilities in Shanghai, People's Republic of China in the second fiscal quarter and the beginning of a distributor inventory correction in the fourth fiscal of 2022. We expect that the distributor inventory correction will continue in the first and second fiscal quarters of 2023. We continue to increase manufacturing capacity for critical product lines. Average selling prices were stable in the fourth fiscal quarter following broad price increases that we implemented in prior periods across the product portfolio to offset increased materials and transportation costs and general inflation.</w:t>
      </w:r>
    </w:p>
    <w:p>
      <w:pPr>
        <w:spacing w:after="0" w:line="278" w:lineRule="exact"/>
        <w:rPr>
          <w:sz w:val="20"/>
          <w:szCs w:val="20"/>
          <w:color w:val="auto"/>
        </w:rPr>
      </w:pPr>
    </w:p>
    <w:p>
      <w:pPr>
        <w:jc w:val="both"/>
        <w:ind w:left="8" w:right="20"/>
        <w:spacing w:after="0" w:line="261" w:lineRule="auto"/>
        <w:rPr>
          <w:sz w:val="20"/>
          <w:szCs w:val="20"/>
          <w:color w:val="auto"/>
        </w:rPr>
      </w:pPr>
      <w:r>
        <w:rPr>
          <w:rFonts w:ascii="Times New Roman" w:cs="Times New Roman" w:eastAsia="Times New Roman" w:hAnsi="Times New Roman"/>
          <w:sz w:val="14"/>
          <w:szCs w:val="14"/>
          <w:color w:val="auto"/>
        </w:rPr>
        <w:t>Gross profit margin decreased versus the prior fiscal quarter primarily due to lower volume. Gross profit margin increased versus the prior year quarter primarily due to higher average selling prices.</w:t>
      </w:r>
    </w:p>
    <w:p>
      <w:pPr>
        <w:spacing w:after="0" w:line="3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book-to-bill ratio in the fourth fiscal quarter of 2022 increased to 0.94 versus 0.88 in the third fiscal quarter of 2022.</w:t>
      </w:r>
    </w:p>
    <w:p>
      <w:pPr>
        <w:spacing w:after="0" w:line="3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526"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Financial Metrics by Segment</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 xml:space="preserve">The following table shows net revenues, book-to-bill ratio, gross profit margin, and segment operating margin broken out by segment for the five fiscal quarters beginning with the fourth fiscal quarter of 2021 through the fourth fiscal quarter of 2022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4th Quarter</w:t>
            </w:r>
          </w:p>
        </w:tc>
        <w:tc>
          <w:tcPr>
            <w:tcW w:w="180" w:type="dxa"/>
            <w:vAlign w:val="bottom"/>
          </w:tcPr>
          <w:p>
            <w:pPr>
              <w:spacing w:after="0"/>
              <w:rPr>
                <w:sz w:val="13"/>
                <w:szCs w:val="13"/>
                <w:color w:val="auto"/>
              </w:rPr>
            </w:pPr>
          </w:p>
        </w:tc>
        <w:tc>
          <w:tcPr>
            <w:tcW w:w="11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1st Quarter</w:t>
            </w:r>
          </w:p>
        </w:tc>
        <w:tc>
          <w:tcPr>
            <w:tcW w:w="180" w:type="dxa"/>
            <w:vAlign w:val="bottom"/>
          </w:tcPr>
          <w:p>
            <w:pPr>
              <w:spacing w:after="0"/>
              <w:rPr>
                <w:sz w:val="13"/>
                <w:szCs w:val="13"/>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2nd Quarter</w:t>
            </w:r>
          </w:p>
        </w:tc>
        <w:tc>
          <w:tcPr>
            <w:tcW w:w="200" w:type="dxa"/>
            <w:vAlign w:val="bottom"/>
          </w:tcPr>
          <w:p>
            <w:pPr>
              <w:spacing w:after="0"/>
              <w:rPr>
                <w:sz w:val="13"/>
                <w:szCs w:val="13"/>
                <w:color w:val="auto"/>
              </w:rPr>
            </w:pPr>
          </w:p>
        </w:tc>
        <w:tc>
          <w:tcPr>
            <w:tcW w:w="11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3rd Quarter</w:t>
            </w:r>
          </w:p>
        </w:tc>
        <w:tc>
          <w:tcPr>
            <w:tcW w:w="260" w:type="dxa"/>
            <w:vAlign w:val="bottom"/>
          </w:tcPr>
          <w:p>
            <w:pPr>
              <w:spacing w:after="0"/>
              <w:rPr>
                <w:sz w:val="13"/>
                <w:szCs w:val="13"/>
                <w:color w:val="auto"/>
              </w:rPr>
            </w:pPr>
          </w:p>
        </w:tc>
        <w:tc>
          <w:tcPr>
            <w:tcW w:w="10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4th Quarter</w:t>
            </w:r>
          </w:p>
        </w:tc>
        <w:tc>
          <w:tcPr>
            <w:tcW w:w="0" w:type="dxa"/>
            <w:vAlign w:val="bottom"/>
          </w:tcPr>
          <w:p>
            <w:pPr>
              <w:spacing w:after="0"/>
              <w:rPr>
                <w:sz w:val="1"/>
                <w:szCs w:val="1"/>
                <w:color w:val="auto"/>
              </w:rPr>
            </w:pPr>
          </w:p>
        </w:tc>
      </w:tr>
      <w:tr>
        <w:trPr>
          <w:trHeight w:val="142"/>
        </w:trPr>
        <w:tc>
          <w:tcPr>
            <w:tcW w:w="31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i w:val="1"/>
                <w:iCs w:val="1"/>
                <w:color w:val="auto"/>
              </w:rPr>
              <w:t>MOSFETs</w:t>
            </w:r>
          </w:p>
        </w:tc>
        <w:tc>
          <w:tcPr>
            <w:tcW w:w="170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gridSpan w:val="5"/>
            <w:vMerge w:val="continue"/>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171,339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172,674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158,395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225,186</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206,005</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70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1.28</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0.78</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70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30.1%</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34.0%</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35.0%</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36.9%</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70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23.5%</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28.1%</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28.2%</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31.9%</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w w:val="95"/>
              </w:rPr>
              <w:t>Diodes</w:t>
            </w:r>
          </w:p>
        </w:tc>
        <w:tc>
          <w:tcPr>
            <w:tcW w:w="2700" w:type="dxa"/>
            <w:vAlign w:val="bottom"/>
            <w:tcBorders>
              <w:bottom w:val="single" w:sz="8" w:color="CCEEFF"/>
            </w:tcBorders>
            <w:gridSpan w:val="4"/>
            <w:shd w:val="clear" w:color="auto" w:fill="CCEEFF"/>
          </w:tcPr>
          <w:p>
            <w:pPr>
              <w:spacing w:after="0"/>
              <w:rPr>
                <w:sz w:val="12"/>
                <w:szCs w:val="12"/>
                <w:color w:val="auto"/>
              </w:rPr>
            </w:pPr>
          </w:p>
        </w:tc>
        <w:tc>
          <w:tcPr>
            <w:tcW w:w="17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192,117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182,334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192,083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209,012</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181,791</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700" w:type="dxa"/>
            <w:vAlign w:val="bottom"/>
          </w:tcPr>
          <w:p>
            <w:pPr>
              <w:spacing w:after="0"/>
              <w:rPr>
                <w:sz w:val="14"/>
                <w:szCs w:val="14"/>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tcPr>
          <w:p>
            <w:pPr>
              <w:spacing w:after="0"/>
              <w:rPr>
                <w:sz w:val="14"/>
                <w:szCs w:val="14"/>
                <w:color w:val="auto"/>
              </w:rPr>
            </w:pP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1.16</w:t>
            </w:r>
          </w:p>
        </w:tc>
        <w:tc>
          <w:tcPr>
            <w:tcW w:w="180" w:type="dxa"/>
            <w:vAlign w:val="bottom"/>
          </w:tcPr>
          <w:p>
            <w:pPr>
              <w:spacing w:after="0"/>
              <w:rPr>
                <w:sz w:val="14"/>
                <w:szCs w:val="14"/>
                <w:color w:val="auto"/>
              </w:rPr>
            </w:pP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Pr>
          <w:p>
            <w:pPr>
              <w:spacing w:after="0"/>
              <w:rPr>
                <w:sz w:val="14"/>
                <w:szCs w:val="14"/>
                <w:color w:val="auto"/>
              </w:rPr>
            </w:pP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0.79</w:t>
            </w:r>
          </w:p>
        </w:tc>
        <w:tc>
          <w:tcPr>
            <w:tcW w:w="260" w:type="dxa"/>
            <w:vAlign w:val="bottom"/>
          </w:tcPr>
          <w:p>
            <w:pPr>
              <w:spacing w:after="0"/>
              <w:rPr>
                <w:sz w:val="14"/>
                <w:szCs w:val="14"/>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0.88</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700" w:type="dxa"/>
            <w:vAlign w:val="bottom"/>
          </w:tcPr>
          <w:p>
            <w:pPr>
              <w:spacing w:after="0"/>
              <w:rPr>
                <w:sz w:val="14"/>
                <w:szCs w:val="14"/>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23.7%</w:t>
            </w:r>
          </w:p>
        </w:tc>
        <w:tc>
          <w:tcPr>
            <w:tcW w:w="180" w:type="dxa"/>
            <w:vAlign w:val="bottom"/>
          </w:tcPr>
          <w:p>
            <w:pPr>
              <w:spacing w:after="0"/>
              <w:rPr>
                <w:sz w:val="14"/>
                <w:szCs w:val="14"/>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25.1%</w:t>
            </w:r>
          </w:p>
        </w:tc>
        <w:tc>
          <w:tcPr>
            <w:tcW w:w="180" w:type="dxa"/>
            <w:vAlign w:val="bottom"/>
          </w:tcPr>
          <w:p>
            <w:pPr>
              <w:spacing w:after="0"/>
              <w:rPr>
                <w:sz w:val="14"/>
                <w:szCs w:val="14"/>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27.8%</w:t>
            </w:r>
          </w:p>
        </w:tc>
        <w:tc>
          <w:tcPr>
            <w:tcW w:w="200" w:type="dxa"/>
            <w:vAlign w:val="bottom"/>
          </w:tcPr>
          <w:p>
            <w:pPr>
              <w:spacing w:after="0"/>
              <w:rPr>
                <w:sz w:val="14"/>
                <w:szCs w:val="14"/>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27.0%</w:t>
            </w:r>
          </w:p>
        </w:tc>
        <w:tc>
          <w:tcPr>
            <w:tcW w:w="2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700" w:type="dxa"/>
            <w:vAlign w:val="bottom"/>
          </w:tcPr>
          <w:p>
            <w:pPr>
              <w:spacing w:after="0"/>
              <w:rPr>
                <w:sz w:val="14"/>
                <w:szCs w:val="14"/>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20.6%</w:t>
            </w:r>
          </w:p>
        </w:tc>
        <w:tc>
          <w:tcPr>
            <w:tcW w:w="180" w:type="dxa"/>
            <w:vAlign w:val="bottom"/>
          </w:tcPr>
          <w:p>
            <w:pPr>
              <w:spacing w:after="0"/>
              <w:rPr>
                <w:sz w:val="14"/>
                <w:szCs w:val="14"/>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22.2%</w:t>
            </w:r>
          </w:p>
        </w:tc>
        <w:tc>
          <w:tcPr>
            <w:tcW w:w="180" w:type="dxa"/>
            <w:vAlign w:val="bottom"/>
          </w:tcPr>
          <w:p>
            <w:pPr>
              <w:spacing w:after="0"/>
              <w:rPr>
                <w:sz w:val="14"/>
                <w:szCs w:val="14"/>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25.3%</w:t>
            </w:r>
          </w:p>
        </w:tc>
        <w:tc>
          <w:tcPr>
            <w:tcW w:w="200" w:type="dxa"/>
            <w:vAlign w:val="bottom"/>
          </w:tcPr>
          <w:p>
            <w:pPr>
              <w:spacing w:after="0"/>
              <w:rPr>
                <w:sz w:val="14"/>
                <w:szCs w:val="14"/>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24.6%</w:t>
            </w:r>
          </w:p>
        </w:tc>
        <w:tc>
          <w:tcPr>
            <w:tcW w:w="2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Optoelectronic Components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78,398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81,016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77,936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73,447</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63,985</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70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1.22</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0.78</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0.86</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0.57</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0.78</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70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34.2%</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40.0%</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33.9%</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35.3%</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70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27.2%</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34.8%</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28.7%</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Borders>
              <w:bottom w:val="single" w:sz="8" w:color="auto"/>
              <w:right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w w:val="97"/>
              </w:rPr>
              <w:t>Resistors</w:t>
            </w:r>
          </w:p>
        </w:tc>
        <w:tc>
          <w:tcPr>
            <w:tcW w:w="2560" w:type="dxa"/>
            <w:vAlign w:val="bottom"/>
            <w:tcBorders>
              <w:left w:val="single" w:sz="8" w:color="CCEEFF"/>
              <w:bottom w:val="single" w:sz="8" w:color="CCEEFF"/>
            </w:tcBorders>
            <w:gridSpan w:val="3"/>
            <w:shd w:val="clear" w:color="auto" w:fill="CCEEFF"/>
          </w:tcPr>
          <w:p>
            <w:pPr>
              <w:spacing w:after="0"/>
              <w:rPr>
                <w:sz w:val="12"/>
                <w:szCs w:val="12"/>
                <w:color w:val="auto"/>
              </w:rPr>
            </w:pPr>
          </w:p>
        </w:tc>
        <w:tc>
          <w:tcPr>
            <w:tcW w:w="17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190,041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207,032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213,176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207,437</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205,161</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700" w:type="dxa"/>
            <w:vAlign w:val="bottom"/>
          </w:tcPr>
          <w:p>
            <w:pPr>
              <w:spacing w:after="0"/>
              <w:rPr>
                <w:sz w:val="14"/>
                <w:szCs w:val="14"/>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1.14</w:t>
            </w:r>
          </w:p>
        </w:tc>
        <w:tc>
          <w:tcPr>
            <w:tcW w:w="180" w:type="dxa"/>
            <w:vAlign w:val="bottom"/>
          </w:tcPr>
          <w:p>
            <w:pPr>
              <w:spacing w:after="0"/>
              <w:rPr>
                <w:sz w:val="14"/>
                <w:szCs w:val="14"/>
                <w:color w:val="auto"/>
              </w:rPr>
            </w:pP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1.24</w:t>
            </w:r>
          </w:p>
        </w:tc>
        <w:tc>
          <w:tcPr>
            <w:tcW w:w="180" w:type="dxa"/>
            <w:vAlign w:val="bottom"/>
          </w:tcPr>
          <w:p>
            <w:pPr>
              <w:spacing w:after="0"/>
              <w:rPr>
                <w:sz w:val="14"/>
                <w:szCs w:val="14"/>
                <w:color w:val="auto"/>
              </w:rPr>
            </w:pP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1.05</w:t>
            </w:r>
          </w:p>
        </w:tc>
        <w:tc>
          <w:tcPr>
            <w:tcW w:w="200" w:type="dxa"/>
            <w:vAlign w:val="bottom"/>
          </w:tcPr>
          <w:p>
            <w:pPr>
              <w:spacing w:after="0"/>
              <w:rPr>
                <w:sz w:val="14"/>
                <w:szCs w:val="14"/>
                <w:color w:val="auto"/>
              </w:rPr>
            </w:pP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1.08</w:t>
            </w:r>
          </w:p>
        </w:tc>
        <w:tc>
          <w:tcPr>
            <w:tcW w:w="260" w:type="dxa"/>
            <w:vAlign w:val="bottom"/>
          </w:tcPr>
          <w:p>
            <w:pPr>
              <w:spacing w:after="0"/>
              <w:rPr>
                <w:sz w:val="14"/>
                <w:szCs w:val="14"/>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0.85</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700" w:type="dxa"/>
            <w:vAlign w:val="bottom"/>
          </w:tcPr>
          <w:p>
            <w:pPr>
              <w:spacing w:after="0"/>
              <w:rPr>
                <w:sz w:val="14"/>
                <w:szCs w:val="14"/>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28.5%</w:t>
            </w:r>
          </w:p>
        </w:tc>
        <w:tc>
          <w:tcPr>
            <w:tcW w:w="180" w:type="dxa"/>
            <w:vAlign w:val="bottom"/>
          </w:tcPr>
          <w:p>
            <w:pPr>
              <w:spacing w:after="0"/>
              <w:rPr>
                <w:sz w:val="14"/>
                <w:szCs w:val="14"/>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31.4%</w:t>
            </w:r>
          </w:p>
        </w:tc>
        <w:tc>
          <w:tcPr>
            <w:tcW w:w="180" w:type="dxa"/>
            <w:vAlign w:val="bottom"/>
          </w:tcPr>
          <w:p>
            <w:pPr>
              <w:spacing w:after="0"/>
              <w:rPr>
                <w:sz w:val="14"/>
                <w:szCs w:val="14"/>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33.1%</w:t>
            </w:r>
          </w:p>
        </w:tc>
        <w:tc>
          <w:tcPr>
            <w:tcW w:w="200" w:type="dxa"/>
            <w:vAlign w:val="bottom"/>
          </w:tcPr>
          <w:p>
            <w:pPr>
              <w:spacing w:after="0"/>
              <w:rPr>
                <w:sz w:val="14"/>
                <w:szCs w:val="14"/>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33.0%</w:t>
            </w:r>
          </w:p>
        </w:tc>
        <w:tc>
          <w:tcPr>
            <w:tcW w:w="2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700" w:type="dxa"/>
            <w:vAlign w:val="bottom"/>
          </w:tcPr>
          <w:p>
            <w:pPr>
              <w:spacing w:after="0"/>
              <w:rPr>
                <w:sz w:val="14"/>
                <w:szCs w:val="14"/>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25.6%</w:t>
            </w:r>
          </w:p>
        </w:tc>
        <w:tc>
          <w:tcPr>
            <w:tcW w:w="180" w:type="dxa"/>
            <w:vAlign w:val="bottom"/>
          </w:tcPr>
          <w:p>
            <w:pPr>
              <w:spacing w:after="0"/>
              <w:rPr>
                <w:sz w:val="14"/>
                <w:szCs w:val="14"/>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28.1%</w:t>
            </w:r>
          </w:p>
        </w:tc>
        <w:tc>
          <w:tcPr>
            <w:tcW w:w="180" w:type="dxa"/>
            <w:vAlign w:val="bottom"/>
          </w:tcPr>
          <w:p>
            <w:pPr>
              <w:spacing w:after="0"/>
              <w:rPr>
                <w:sz w:val="14"/>
                <w:szCs w:val="14"/>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29.9%</w:t>
            </w:r>
          </w:p>
        </w:tc>
        <w:tc>
          <w:tcPr>
            <w:tcW w:w="200" w:type="dxa"/>
            <w:vAlign w:val="bottom"/>
          </w:tcPr>
          <w:p>
            <w:pPr>
              <w:spacing w:after="0"/>
              <w:rPr>
                <w:sz w:val="14"/>
                <w:szCs w:val="14"/>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29.7%</w:t>
            </w:r>
          </w:p>
        </w:tc>
        <w:tc>
          <w:tcPr>
            <w:tcW w:w="2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gridSpan w:val="5"/>
          </w:tcPr>
          <w:p>
            <w:pPr>
              <w:spacing w:after="0" w:line="135" w:lineRule="exact"/>
              <w:rPr>
                <w:sz w:val="20"/>
                <w:szCs w:val="20"/>
                <w:color w:val="auto"/>
              </w:rPr>
            </w:pPr>
            <w:r>
              <w:rPr>
                <w:rFonts w:ascii="Times New Roman" w:cs="Times New Roman" w:eastAsia="Times New Roman" w:hAnsi="Times New Roman"/>
                <w:sz w:val="14"/>
                <w:szCs w:val="14"/>
                <w:i w:val="1"/>
                <w:iCs w:val="1"/>
                <w:color w:val="auto"/>
              </w:rPr>
              <w:t>Inductors</w:t>
            </w: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7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81,825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82,777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89,608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83,503</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75,198</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70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1.13</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1.14</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0.97</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0.83</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70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29.4%</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33.1%</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30.8%</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170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26.4%</w:t>
            </w:r>
          </w:p>
        </w:tc>
        <w:tc>
          <w:tcPr>
            <w:tcW w:w="18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26.8%</w:t>
            </w:r>
          </w:p>
        </w:tc>
        <w:tc>
          <w:tcPr>
            <w:tcW w:w="18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shd w:val="clear" w:color="auto" w:fill="CCEEFF"/>
          </w:tcPr>
          <w:p>
            <w:pPr>
              <w:spacing w:after="0"/>
              <w:rPr>
                <w:sz w:val="14"/>
                <w:szCs w:val="14"/>
                <w:color w:val="auto"/>
              </w:rPr>
            </w:pP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27.0%</w:t>
            </w:r>
          </w:p>
        </w:tc>
        <w:tc>
          <w:tcPr>
            <w:tcW w:w="26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Borders>
              <w:bottom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i w:val="1"/>
                <w:iCs w:val="1"/>
                <w:color w:val="auto"/>
                <w:w w:val="99"/>
              </w:rPr>
              <w:t>Capacitors</w:t>
            </w:r>
          </w:p>
        </w:tc>
        <w:tc>
          <w:tcPr>
            <w:tcW w:w="2460" w:type="dxa"/>
            <w:vAlign w:val="bottom"/>
            <w:tcBorders>
              <w:bottom w:val="single" w:sz="8" w:color="CCEEFF"/>
            </w:tcBorders>
            <w:gridSpan w:val="2"/>
            <w:shd w:val="clear" w:color="auto" w:fill="CCEEFF"/>
          </w:tcPr>
          <w:p>
            <w:pPr>
              <w:spacing w:after="0"/>
              <w:rPr>
                <w:sz w:val="12"/>
                <w:szCs w:val="12"/>
                <w:color w:val="auto"/>
              </w:rPr>
            </w:pPr>
          </w:p>
        </w:tc>
        <w:tc>
          <w:tcPr>
            <w:tcW w:w="17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1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129,352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127,960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132,314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126,213</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123,158</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Book-to-bill ratio</w:t>
            </w:r>
          </w:p>
        </w:tc>
        <w:tc>
          <w:tcPr>
            <w:tcW w:w="1700" w:type="dxa"/>
            <w:vAlign w:val="bottom"/>
          </w:tcPr>
          <w:p>
            <w:pPr>
              <w:spacing w:after="0"/>
              <w:rPr>
                <w:sz w:val="14"/>
                <w:szCs w:val="14"/>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1.04</w:t>
            </w:r>
          </w:p>
        </w:tc>
        <w:tc>
          <w:tcPr>
            <w:tcW w:w="180" w:type="dxa"/>
            <w:vAlign w:val="bottom"/>
          </w:tcPr>
          <w:p>
            <w:pPr>
              <w:spacing w:after="0"/>
              <w:rPr>
                <w:sz w:val="14"/>
                <w:szCs w:val="14"/>
                <w:color w:val="auto"/>
              </w:rPr>
            </w:pPr>
          </w:p>
        </w:tc>
        <w:tc>
          <w:tcPr>
            <w:tcW w:w="118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1.02</w:t>
            </w:r>
          </w:p>
        </w:tc>
        <w:tc>
          <w:tcPr>
            <w:tcW w:w="180" w:type="dxa"/>
            <w:vAlign w:val="bottom"/>
          </w:tcPr>
          <w:p>
            <w:pPr>
              <w:spacing w:after="0"/>
              <w:rPr>
                <w:sz w:val="14"/>
                <w:szCs w:val="14"/>
                <w:color w:val="auto"/>
              </w:rPr>
            </w:pP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1.17</w:t>
            </w:r>
          </w:p>
        </w:tc>
        <w:tc>
          <w:tcPr>
            <w:tcW w:w="200" w:type="dxa"/>
            <w:vAlign w:val="bottom"/>
          </w:tcPr>
          <w:p>
            <w:pPr>
              <w:spacing w:after="0"/>
              <w:rPr>
                <w:sz w:val="14"/>
                <w:szCs w:val="14"/>
                <w:color w:val="auto"/>
              </w:rPr>
            </w:pPr>
          </w:p>
        </w:tc>
        <w:tc>
          <w:tcPr>
            <w:tcW w:w="116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0.95</w:t>
            </w:r>
          </w:p>
        </w:tc>
        <w:tc>
          <w:tcPr>
            <w:tcW w:w="260" w:type="dxa"/>
            <w:vAlign w:val="bottom"/>
          </w:tcPr>
          <w:p>
            <w:pPr>
              <w:spacing w:after="0"/>
              <w:rPr>
                <w:sz w:val="14"/>
                <w:szCs w:val="14"/>
                <w:color w:val="auto"/>
              </w:rPr>
            </w:pP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0.99</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1700" w:type="dxa"/>
            <w:vAlign w:val="bottom"/>
          </w:tcPr>
          <w:p>
            <w:pPr>
              <w:spacing w:after="0"/>
              <w:rPr>
                <w:sz w:val="14"/>
                <w:szCs w:val="14"/>
                <w:color w:val="auto"/>
              </w:rPr>
            </w:pPr>
          </w:p>
        </w:tc>
        <w:tc>
          <w:tcPr>
            <w:tcW w:w="11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21.6%</w:t>
            </w:r>
          </w:p>
        </w:tc>
        <w:tc>
          <w:tcPr>
            <w:tcW w:w="180" w:type="dxa"/>
            <w:vAlign w:val="bottom"/>
          </w:tcPr>
          <w:p>
            <w:pPr>
              <w:spacing w:after="0"/>
              <w:rPr>
                <w:sz w:val="14"/>
                <w:szCs w:val="14"/>
                <w:color w:val="auto"/>
              </w:rPr>
            </w:pPr>
          </w:p>
        </w:tc>
        <w:tc>
          <w:tcPr>
            <w:tcW w:w="11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25.2%</w:t>
            </w:r>
          </w:p>
        </w:tc>
        <w:tc>
          <w:tcPr>
            <w:tcW w:w="180" w:type="dxa"/>
            <w:vAlign w:val="bottom"/>
          </w:tcPr>
          <w:p>
            <w:pPr>
              <w:spacing w:after="0"/>
              <w:rPr>
                <w:sz w:val="14"/>
                <w:szCs w:val="14"/>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24.5%</w:t>
            </w:r>
          </w:p>
        </w:tc>
        <w:tc>
          <w:tcPr>
            <w:tcW w:w="200" w:type="dxa"/>
            <w:vAlign w:val="bottom"/>
          </w:tcPr>
          <w:p>
            <w:pPr>
              <w:spacing w:after="0"/>
              <w:rPr>
                <w:sz w:val="14"/>
                <w:szCs w:val="14"/>
                <w:color w:val="auto"/>
              </w:rPr>
            </w:pPr>
          </w:p>
        </w:tc>
        <w:tc>
          <w:tcPr>
            <w:tcW w:w="11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23.7%</w:t>
            </w:r>
          </w:p>
        </w:tc>
        <w:tc>
          <w:tcPr>
            <w:tcW w:w="2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62"/>
        </w:trPr>
        <w:tc>
          <w:tcPr>
            <w:tcW w:w="4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00" w:type="dxa"/>
            <w:vAlign w:val="bottom"/>
            <w:gridSpan w:val="5"/>
          </w:tcPr>
          <w:p>
            <w:pPr>
              <w:spacing w:after="0" w:line="144" w:lineRule="exact"/>
              <w:rPr>
                <w:sz w:val="20"/>
                <w:szCs w:val="20"/>
                <w:color w:val="auto"/>
              </w:rPr>
            </w:pPr>
            <w:r>
              <w:rPr>
                <w:rFonts w:ascii="Times New Roman" w:cs="Times New Roman" w:eastAsia="Times New Roman" w:hAnsi="Times New Roman"/>
                <w:sz w:val="14"/>
                <w:szCs w:val="14"/>
                <w:color w:val="auto"/>
              </w:rPr>
              <w:t>Segment operating margin</w:t>
            </w:r>
          </w:p>
        </w:tc>
        <w:tc>
          <w:tcPr>
            <w:tcW w:w="1700" w:type="dxa"/>
            <w:vAlign w:val="bottom"/>
          </w:tcPr>
          <w:p>
            <w:pPr>
              <w:spacing w:after="0"/>
              <w:rPr>
                <w:sz w:val="12"/>
                <w:szCs w:val="12"/>
                <w:color w:val="auto"/>
              </w:rPr>
            </w:pPr>
          </w:p>
        </w:tc>
        <w:tc>
          <w:tcPr>
            <w:tcW w:w="1120" w:type="dxa"/>
            <w:vAlign w:val="bottom"/>
            <w:gridSpan w:val="4"/>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17.7%</w:t>
            </w:r>
          </w:p>
        </w:tc>
        <w:tc>
          <w:tcPr>
            <w:tcW w:w="180" w:type="dxa"/>
            <w:vAlign w:val="bottom"/>
          </w:tcPr>
          <w:p>
            <w:pPr>
              <w:spacing w:after="0"/>
              <w:rPr>
                <w:sz w:val="12"/>
                <w:szCs w:val="12"/>
                <w:color w:val="auto"/>
              </w:rPr>
            </w:pPr>
          </w:p>
        </w:tc>
        <w:tc>
          <w:tcPr>
            <w:tcW w:w="1180" w:type="dxa"/>
            <w:vAlign w:val="bottom"/>
            <w:gridSpan w:val="5"/>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21.4%</w:t>
            </w:r>
          </w:p>
        </w:tc>
        <w:tc>
          <w:tcPr>
            <w:tcW w:w="180" w:type="dxa"/>
            <w:vAlign w:val="bottom"/>
          </w:tcPr>
          <w:p>
            <w:pPr>
              <w:spacing w:after="0"/>
              <w:rPr>
                <w:sz w:val="12"/>
                <w:szCs w:val="12"/>
                <w:color w:val="auto"/>
              </w:rPr>
            </w:pPr>
          </w:p>
        </w:tc>
        <w:tc>
          <w:tcPr>
            <w:tcW w:w="1160" w:type="dxa"/>
            <w:vAlign w:val="bottom"/>
            <w:gridSpan w:val="5"/>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20.9%</w:t>
            </w:r>
          </w:p>
        </w:tc>
        <w:tc>
          <w:tcPr>
            <w:tcW w:w="200" w:type="dxa"/>
            <w:vAlign w:val="bottom"/>
          </w:tcPr>
          <w:p>
            <w:pPr>
              <w:spacing w:after="0"/>
              <w:rPr>
                <w:sz w:val="12"/>
                <w:szCs w:val="12"/>
                <w:color w:val="auto"/>
              </w:rPr>
            </w:pPr>
          </w:p>
        </w:tc>
        <w:tc>
          <w:tcPr>
            <w:tcW w:w="1160" w:type="dxa"/>
            <w:vAlign w:val="bottom"/>
            <w:gridSpan w:val="5"/>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20.1%</w:t>
            </w:r>
          </w:p>
        </w:tc>
        <w:tc>
          <w:tcPr>
            <w:tcW w:w="260" w:type="dxa"/>
            <w:vAlign w:val="bottom"/>
          </w:tcPr>
          <w:p>
            <w:pPr>
              <w:spacing w:after="0"/>
              <w:rPr>
                <w:sz w:val="12"/>
                <w:szCs w:val="12"/>
                <w:color w:val="auto"/>
              </w:rPr>
            </w:pPr>
          </w:p>
        </w:tc>
        <w:tc>
          <w:tcPr>
            <w:tcW w:w="1060" w:type="dxa"/>
            <w:vAlign w:val="bottom"/>
            <w:gridSpan w:val="4"/>
          </w:tcPr>
          <w:p>
            <w:pPr>
              <w:jc w:val="right"/>
              <w:spacing w:after="0" w:line="144" w:lineRule="exact"/>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88"/>
        </w:trPr>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_________</w:t>
            </w:r>
          </w:p>
        </w:tc>
        <w:tc>
          <w:tcPr>
            <w:tcW w:w="1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color w:val="auto"/>
              </w:rPr>
              <w:t>34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24"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Stockholder Value</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are focused on enhancing stockholder value by growing our business and improving earnings per share. Over the next few years, we expect to experience higher internal growth rates than over the last decade. This expectation is based upon accelerated electrification, such as factory automation, electrical vehicles, and 5G infrastructures. To meet this expected increase in demand and to fully participate in growing markets, we intend to increase our capital expenditures for expansion outside of China in the mid-term. The increased capital expenditures will be primarily used to increase manufacturing capacity for the thirty key product lines for growth that we identified. The most significant expansion projects include building a 12-inch wafer fab in Itzehoe, Germany adjacent to our existing 8-inch fab, expanding our Inductors manufacturing, and expanding our GaAs fab in Heilbronn, Germany.</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On February 7, 2022, our Board of Directors adopted a Stockholder Return Policy, which calls for us to return at least 70% of free cash flow, net of scheduled principal payments of long-term debt, on an annual basis. We intend to return such amounts to stockholders directly, in the form of dividends, or indirectly, in the form of stock repurchases.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activity pursuant to this policy </w:t>
      </w:r>
      <w:r>
        <w:rPr>
          <w:rFonts w:ascii="Times New Roman" w:cs="Times New Roman" w:eastAsia="Times New Roman" w:hAnsi="Times New Roman"/>
          <w:sz w:val="14"/>
          <w:szCs w:val="14"/>
          <w:i w:val="1"/>
          <w:iCs w:val="1"/>
          <w:color w:val="auto"/>
        </w:rPr>
        <w:t>(in thousands):</w:t>
      </w:r>
    </w:p>
    <w:p>
      <w:pPr>
        <w:spacing w:after="0" w:line="163" w:lineRule="exact"/>
        <w:rPr>
          <w:sz w:val="20"/>
          <w:szCs w:val="20"/>
          <w:color w:val="auto"/>
        </w:rPr>
      </w:pPr>
    </w:p>
    <w:p>
      <w:pPr>
        <w:jc w:val="center"/>
        <w:ind w:left="99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jc w:val="center"/>
        <w:ind w:left="99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 w:lineRule="exact"/>
        <w:rPr>
          <w:sz w:val="20"/>
          <w:szCs w:val="20"/>
          <w:color w:val="auto"/>
        </w:rPr>
      </w:pPr>
    </w:p>
    <w:p>
      <w:pPr>
        <w:jc w:val="center"/>
        <w:ind w:left="99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57,187</w:t>
            </w:r>
          </w:p>
        </w:tc>
        <w:tc>
          <w:tcPr>
            <w:tcW w:w="120" w:type="dxa"/>
            <w:vAlign w:val="bottom"/>
            <w:shd w:val="clear" w:color="auto" w:fill="CCEEFF"/>
          </w:tcPr>
          <w:p>
            <w:pPr>
              <w:spacing w:after="0"/>
              <w:rPr>
                <w:sz w:val="13"/>
                <w:szCs w:val="13"/>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Stock repurchases</w:t>
            </w: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82,972</w:t>
            </w:r>
          </w:p>
        </w:tc>
        <w:tc>
          <w:tcPr>
            <w:tcW w:w="120" w:type="dxa"/>
            <w:vAlign w:val="bottom"/>
          </w:tcPr>
          <w:p>
            <w:pPr>
              <w:spacing w:after="0"/>
              <w:rPr>
                <w:sz w:val="14"/>
                <w:szCs w:val="14"/>
                <w:color w:val="auto"/>
              </w:rPr>
            </w:pPr>
          </w:p>
        </w:tc>
      </w:tr>
      <w:tr>
        <w:trPr>
          <w:trHeight w:val="200"/>
        </w:trPr>
        <w:tc>
          <w:tcPr>
            <w:tcW w:w="10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140,159</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direct result of a change in tax law in Israel, we made the determination during the fourth quarter of 2021 that substantially all unremitted foreign earnings in Israel are no longer permanently reinvested. We intend to primarily utilize these earnings, distributed from Israel to the United States, to initially fund our Stockholder Return Policy. We repatriated $81.2 million (net of taxes) to the United States from Israel during 2022. The repatriated cash is being used to fund our Stockholder Return Policy.</w:t>
      </w:r>
    </w:p>
    <w:p>
      <w:pPr>
        <w:spacing w:after="0" w:line="1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Over the long-term, we expect to fund the Stockholder Return Policy from our historically strong cash flows from operations. However, because most of our operating cash flow is typically generated by our non-U.S. subsidiaries, we made the determination during the fourth fiscal quarter of 2022 that substantially all unremitted earnings in Germany are no longer indefinitely reinvested and recorded additional tax expense of $59.6 million. Substantially all of these additional taxes would be withholding and foreign taxes on cash remitted to the U.S., as such dividends are generally not subject to U.S. federal income tax. The change in this indefinite reinvestment assertion will provide greater access to our worldwide cash balances to fund our growth plan and our Stockholder Return Policy, but will also increase our effective tax rate.</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structure of our Stockholder Return Policy enables us to allocate capital responsibly among our business, our lenders, and our stockholders. We will continue to invest in growth initiatives including key product line expansions, targeted R&amp;D, and synergistic acquisitions.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paid dividends each quarter since the first quarter of 2014, and the Stockholder Return Policy will remain in effect until such time as the Board votes to amend or rescind the policy. Implementation of the Stockholder Return Policy is subject to future declarations of dividends by the Board of Directors, market and business conditions, legal requirements, and other factors. The policy sets forth our intention, but does not obligate us to acquire any shares of common stock or declare any dividends, and the policy may be terminated or suspended at any time at our discretion, in accordance with applicable laws and regulations.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Acquisition Activity</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As part of its growth strategy, the Company seeks to expand through targeted acquisitions of other manufacturers of electronic components. These acquisition targets include businesses that have established positions in major markets, reputations for product quality and reliability, and product lines with which the Company has substantial marketing and technical expertise. It also includes certain businesses that possess technologies which the Company expects to further develop and commercialize. To limit our financial exposure, we have implemented a policy not to pursue acquisitions if our post-acquisition debt would exceed 2.5x our pro forma earnings before interest, taxes, depreciation, and amortization (“EBITDA”). For these purposes, we calculate pro forma EBITDA as the adjusted EBITDA of Vishay and the target for Vishay’s four preceding fiscal quarters, with a pro forma adjustment for savings which management estimates would have been achieved had the target been acquired by Vishay at the beginning of the four fiscal quarter period.</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October 28, 2022, we acquired MaxPower Semiconductor, Inc. ("MaxPower"), a San Jose, California-based fabless power semiconductor provider dedicated to delivering innovative and cost-effective technologies that optimize power management solutions. MaxPower's proprietary device structures and process techniques provide leading edge silicon and silicon carbide ("SiC") MOSFET products. Its SiC product development targets automotive and industrial applications. We paid cash of $50.0 million, net of cash acquired, at closing. Related to the transaction, we may also be required to make certain contingent payments of up to $57.5 million, which would be payable upon the achievement of certain technology milestones, upon favorable resolution of certain technology licensing matters with a third party, and upon the disposition of MaxPower's investment in an equity affiliate. MaxPower is included in our MOSFETs segment. The inclusion of this acquisition did not have a material impact on the Company's consolidated results for the year ended December 31, 2022.</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December 31, 2021, we acquired substantially all of the assets and certain liabilities of Barry Industries, a Massachusetts-based, privately-held manufacturer of resistive products for $20.8 million. Barry Industries is included in our Resistors segment. The inclusion of this acquisition did not have an impact on the Company's consolidated results for the years ended December 31, 2022 and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no assurance that we will be able to identify and acquire additional suitable acquisition candidates at price levels and on terms and conditions we consider acceptable.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2 to our consolidated financial statements.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Cost Management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place a strong emphasis on controlling our costs, and use various measures and metrics to evaluate our cost structure.</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define variable costs as expenses that vary with respect to quantity produced. Fixed costs do not vary with respect to quantity produced over the relevant time period. Contributive margin is calculated as net revenue less variable costs. It may be expressed in dollars or as a percentage of net revenue. Management uses this measure to determine the amount of profit to be expected for any change in revenues. While these measures are typical cost accounting measures, none of these measures are recognized in accordance with GAAP. The classification of expenses as either variable or fixed is judgmental and other companies might classify such expenses differently. These measures, as calculated by Vishay, may not be comparable to similarly titled measures used by other companies.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closely monitor variable costs and seek to achieve the contributive margin in our business model. Over a period of many years, we have generally maintained a contributive margin of between 45% and 47% of revenues. The erosion of average selling prices, particularly of our semiconductor products, that is typical of our industry, and inflation negatively impact contributive margin and drive us to continually seek ways to reduce our variable costs. Our variable cost reduction efforts include increasing the efficiency in our production facilities by expending capital for automation, reducing materials costs, materials substitution, increasing wafer size and shrinking dies to maximize efficiency in our semiconductor production processes, and other yield improvement activities.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cost management strategy also includes a focus on controlling fixed costs recorded as costs of products sold or selling, general, and administrative expenses and maintaining our break-even point (adjusted for acquisitions). We seek to limit increases in selling, general, and administrative expenses to the rate of inflation, excluding foreign currency exchange effects and substantially independent of sales volume changes. At constant fixed costs, we would expect each $1 million increase in revenues to increase our operating income by approximately $450,000 to $470,000. Sudden changes in the business conditions, however, may not allow us to quickly adapt our manufacturing capacity and cost structure.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Occasionally, our ongoing cost containment activities are not adequate and we must take actions to maintain our cost competitiveness. We incurred significant restructuring expenses in our past to reduce our cost structure. Historically, our primary cost reduction technique was through the transfer of production to the extent possible from high-labor-cost countries to lower-labor-cost countries. We believe that our manufacturing footprint is suitable to serve our customers and end markets, while maintaining lower manufacturing costs. Since 2013, our cost reduction programs have primarily focused on reducing fixed costs, including selling, general, and administrative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continue to monitor the economic environment and its potential effects on our customers and the end markets that we serve.</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do not anticipate any material restructuring activities in 2023. However, a worsening business environment for the electronics industry or a significant economic downturn may require us to implement additional restructuring initiatives.</w:t>
      </w:r>
    </w:p>
    <w:p>
      <w:pPr>
        <w:spacing w:after="0" w:line="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In uncertain times, we focus on managing our production capacities in accordance with customer requirements, and maintain discipline in terms of our fixed costs and capital expenditures. Even as we seek to manage our costs, we remain cognizant of the future requirements of our demanding markets. We continue to pursue our growth plans through investing in capacities for strategic product lines, and through increasing our resources for R&amp;D, technical marketing, and field application engineering; supplemented by opportunistic acquisitions of specialty businesses.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long-term strategy includes growth through the integration of acquired businesses, and GAAP requires plant closure and employee termination costs that we incur in connection with our acquisition activities to be recorded as expenses in our consolidated statement of operations, as such expenses are incurred. We have not incurred any material plant closure or employee termination costs related to any of the businesses acquired since 2011, but we expect to have some level of future restructuring expenses due to acquisitions.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are exposed to foreign currency exchange rate risks, particularly due to transactions in currencies other than the functional currencies of certain subsidiaries. We occasionally use forward exchange contracts to economically hedge a portion of our projected cash flows from these exposures.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GAAP requires that entities identify the “functional currency” of each of their subsidiaries and measure all elements of the financial statements in that functional currency. A subsidiary’s functional currency is the currency of the primary economic environment in which it operates. In cases where a subsidiary is relatively self-contained within a particular country, the local currency is generally deemed to be the functional currency. However, a foreign subsidiary that is a direct and integral component or extension of the parent company’s operations generally would have the parent company’s currency as its functional currency. We have both situations among our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Subsidiaries which use the Local Currency as the Functional Currency</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finance our operations in Europe and certain locations in Asia in local currencies, and accordingly, these subsidiaries utilize the local currency as their functional currency. For those subsidiaries where the local currency is the functional currency, assets and liabilities in the consolidated balance sheets have been translated at the rate of exchange as of the balance sheet date. Translation adjustments do not impact the results of operations and are reported as a separate component of stockholders’ equity.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those subsidiaries where the local currency is the functional currency, revenues and expenses are translated at the average exchange rate for the year. While the translation of revenues and expenses into U.S. dollars does not directly impact the consolidated statement of operations, the translation effectively increases or decreases the U.S. dollar equivalent of revenues generated and expenses incurred in those foreign currencies. The dollar was stronger during 2022 versus 2021, but weaker during 2021 versus 2020, with the translation of foreign currency revenues and expenses into U.S. dollars decreasing reported revenues and expenses in 2022 versus 2021, but increasing reported revenues and expenses in 2021 versus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Subsidiaries which use the U.S. Dollar as the Functional Currency</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operations in Israel and most significant locations in Asia are largely financed in U.S. dollars, and accordingly, these subsidiaries utilize the U.S. dollar as their functional currency. For those foreign subsidiaries where the U.S. dollar is the functional currency, all foreign currency financial statement amounts are remeasured into U.S. dollars. Exchange gains and losses arising from remeasurement of foreign currency-denominated monetary assets and liabilities are included in the results of operations. While these subsidiaries transact most business in U.S. dollars, they may have significant costs, particularly payroll-related, which are incurred in the local currency. The cost of products sold and selling, general, and administrative expense for the year ended December 31, 2022 have been favorably impacted compared to 2021 by local currency transactions of subsidiaries which use the U.S. dollar as their functional currency, while the cost of products sold and selling, general, and administrative expense for the year ended December 31, 2021 were unfavorably impacted compared to 2020 by local currency transactions of subsidiaries which use the U.S. dollar as their functional currency.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7A for additional discussion of foreign currency exchange risk.</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significant accounting policies are summarized in Note 1 to our consolidated financial statements. We identify here a number of policies that entail significant judgments or estimates.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Revenue is measured based on the consideration specified in contracts with customers, and excludes any sales incentives and amounts collected on behalf of third parties. We recognize revenue when we satisfy our performance obligations.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have a broad line of products that we sell to OEMs, electronic manufacturing services ("EMS") companies, which manufacture for OEMs on an outsourcing basis, and independent distributors that maintain large inventories of electronic components for resale to OEMs and EMS companies.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recognize revenue on sales to distributors when the distributor takes control of the products ("sold-to" model). We have agreements with distributors that allow distributors a limited credit for unsaleable products, which we refer to as a "scrap allowance." Consistent with industry practice, we also have a "stock, ship and debit" program whereby we consider requests by distributors for credits on previously purchased products that remain in distributors' inventory, to enable the distributors to offer more competitive pricing. In addition, we have contractual arrangements whereby we provide distributors with protection against price reductions initiated by us after product is sold by us to the distributor and prior to resale by the distributor.</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recognize the estimated variable consideration to be received as revenue and record a related accrued expense for the consideration not expected to be received, based upon an estimate of product returns, scrap allowances, "stock, ship and debit" credits, and price protection credits that will be attributable to sales recorded through the end of the period. We make these estimates based upon sales levels to our customers during the period, inventory levels at the distributors, current and projected market conditions, and historical experience under the programs. While we utilize a number of different methodologies to estimate the accruals, all of the methodologies take into account sales levels to customers during the relevant period, inventory levels at the distributors, current and projected market trends and conditions, recent and historical activity under the relevant programs, changes in program policies, and open requests for credits. These procedures require the exercise of significant judgments. We believe that we have a reasonable basis to estimate future credits under the programs.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1 and 9 to our consolidated financial statements for further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value our inventories at the lower of cost or net realizable value, with cost determined under the first-in, first-out method. The valuation of our inventories requires our management to make market estimates. For work in process goods, we are required to estimate the cost to completion of the products and the prices at which we will be able to sell the products. For finished goods, we must assess the prices at which we believe the inventory can be sold. Inventories are also adjusted for estimated obsolescence and written down to net realizable value based upon estimates of future demand, technology developments and market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 to our consolidated financial statements for a description of our goodwill impairment tests.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fair value of reporting units for goodwill impairment testing purposes is measured primarily using present value techniques based on projected cash flows from the reporting unit. The calculated results are evaluated for reasonableness using comparable company data. The determination of the fair value of the reporting units requires us to make significant estimates and assumptions. These estimates and assumptions primarily include, but are not limited to: the selection of appropriate peer group companies; control premiums appropriate for acquisitions in the industries in which we compete; the discount rate; terminal growth rates; and forecasts of revenue, operating income, depreciation and amortization, and capital expenditures.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Due to the inherent uncertainty involved in making these estimates, actual financial results could differ from those estimates. In addition, changes in assumptions concerning future financial results or other underlying assumptions could have a significant impact on the fair value of the reporting unit and the amount of the goodwill impairment charge.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and Other Postretirement Benefits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defined benefit plans are concentrated in the United States, Germany, and the Republic of China (Taiwan). At December 31, 2022, our U.S. plans include various non-qualified plans. The table below summarizes information about our pension and other postretirement benefit plans. This information should be read in conjunction with Note 11 to our consolidated financial statements </w:t>
      </w:r>
      <w:r>
        <w:rPr>
          <w:rFonts w:ascii="Times New Roman" w:cs="Times New Roman" w:eastAsia="Times New Roman" w:hAnsi="Times New Roman"/>
          <w:sz w:val="14"/>
          <w:szCs w:val="14"/>
          <w:i w:val="1"/>
          <w:iCs w:val="1"/>
          <w:color w:val="auto"/>
        </w:rPr>
        <w:t>(amounts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62"/>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Funded</w:t>
            </w:r>
          </w:p>
        </w:tc>
        <w:tc>
          <w:tcPr>
            <w:tcW w:w="12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Informally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actuarial</w:t>
            </w:r>
          </w:p>
        </w:tc>
      </w:tr>
      <w:tr>
        <w:trPr>
          <w:trHeight w:val="182"/>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4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Plan assets</w:t>
            </w:r>
          </w:p>
        </w:tc>
        <w:tc>
          <w:tcPr>
            <w:tcW w:w="1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funded assets</w:t>
            </w:r>
          </w:p>
        </w:tc>
        <w:tc>
          <w:tcPr>
            <w:tcW w:w="14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 position</w:t>
            </w: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items</w:t>
            </w:r>
          </w:p>
        </w:tc>
      </w:tr>
      <w:tr>
        <w:trPr>
          <w:trHeight w:val="16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non-qualified pension plans</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37,221</w:t>
            </w:r>
          </w:p>
        </w:tc>
        <w:tc>
          <w:tcPr>
            <w:tcW w:w="2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(37,221)</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21,638</w:t>
            </w: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(15,583)</w:t>
            </w: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3"/>
                <w:szCs w:val="13"/>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German pension plans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125,377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(125,377)</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3,677</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(121,700)</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12,500</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Taiwanese pension plans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39,461</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(7,749)</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(7,749)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4,000</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Other pension plans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26,159</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(4,795)</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(4,795)</w:t>
            </w:r>
          </w:p>
        </w:tc>
        <w:tc>
          <w:tcPr>
            <w:tcW w:w="1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(108)</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OPEB plans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11,043</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(11,043)</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(11,043)</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(1,288)</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Other retirement obligations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(10,560)</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(10,560)</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3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262,365</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65,620</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(196,745)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25,315</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(171,430)</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15,173</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Accounting for defined benefit pension and other postretirement plans involves numerous assumptions and estimates. The discount rate at which obligations could effectively be settled and the expected long-term rate of return on plan assets are two critical assumptions in measuring the cost and benefit obligations of our pension and other postretirement benefit plans. Other important assumptions include the anticipated rate of future increases in compensation levels, estimated mortality, and for certain postretirement medical plans, increases or trends in health care costs. Management reviews these assumptions at least annually. We use independent actuaries and investment advisers to assist us in formulating assumptions and making estimates. These assumptions are updated periodically to reflect the actual experience and expectations on a plan specific basis as appropriate.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U.S., we utilize published long-term high quality bonds to determine the discount rate at the measurement date. In Germany and the Republic of China (Taiwan), we utilize published long-term government bond rates to determine the discount rate at the measurement date. We utilize bond yields at various maturity dates that reflect the timing of expected future benefit payments. We believe the discount rates selected are the rates at which these obligations could effectively be settled.</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Non-qualified plans in the U.S. are considered by law to be unfunded. However, the Company maintains assets in a rabbi trust to fund benefit payments under certain of these plans. Such assets would be subject to creditor claims under certain conditions. (See also Notes 11 and 18 to our consolidated financial statements.)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Many of our non-U.S. plans are unfunded based on local laws and customs. For those non-U.S. plans that do maintain investments, their asset holdings are primarily cash and fixed income securities, based on local laws and customs. Some non-U.S. plans also informally fund their plans by holding certain available-for-sale investments. Such assets would be subject to creditor claims under certain conditions. (See also Note 18 to our consolidated financial statements.)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set the expected long-term rate of return based on the expected long-term average rates of return to be achieved by the underlying investment portfolios. In establishing this rate, we consider historical and expected returns for the asset classes in which the plans are invested, advice from pension consultants and investment advisors, and current economic and capital market conditions. The expected return on plan assets is incorporated into the computation of pension expense. The difference between this expected return and the actual return on plan assets is deferred. The net deferral of past asset losses (gains) affects the calculated value of plan assets and, ultimately, future pension expense (income).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continue to seek to de-risk our global pension exposures. Such actions could result in increased net periodic pension cost due to lower expected rates of return on plan assets and/or possible additional charges to recognize unamortized actuarial items if all or a portion of the obligations were to be settled.</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believe that the current assumptions used to estimate plan obligations and annual expenses are appropriate. However, if economic conditions change or if our investment strategy changes, we may be inclined to change some of our assumptions, and the resulting change could have a material impact on the consolidated statements of operations and on the consolidated balance sheet.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are subject to income taxes in the U.S.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and the provision for income taxes includes the impact of reserve provisions and changes to reserves that are considered appropriate.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accruals for tax-related uncertainties are based on our best estimate of potential tax exposures. When particular matters arise, a number of years may elapse before such matters are audited by tax authorities and finally resolved. Favorable resolution of such matters could be recognized as a reduction to our effective tax rate in the year of resolution. Unfavorable resolution of any particular issue could increase the effective tax rate and may require the use of cash in the year of resolution.</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Our U.S. federal income tax returns are under examination for the years ended December 31, 2017 through 2019. The IRS may, however, ask for supporting documentation for net operating losses for the years ended December 31, 2013 through 2016, which were utilized in the year ended December 31, 2017. During 2022, certain tax examinations were concluded and certain statutes of limitations lapsed. Our tax provision for those years includes adjustments related to the resolution of these matters. The tax returns of significant non-U.S. subsidiaries currently under examination are located in the following jurisdictions: Germany (2017 through 2021), India (2004 through 2020), and Italy (2017 through 2019). The Company and its subsidiaries also file income tax returns in other taxing jurisdictions in the U.S. and around the world, many of which are still open to examination.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Notes 1 and 5 to consolidated financial statements for additional information.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0"/>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6"/>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Statement of operations’ captions as a percentage of net revenues and the effective tax rates were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42"/>
        </w:trPr>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of products sold</w:t>
            </w:r>
          </w:p>
        </w:tc>
        <w:tc>
          <w:tcPr>
            <w:tcW w:w="24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62"/>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4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62"/>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taxes and noncontrolling interest</w:t>
            </w:r>
          </w:p>
        </w:tc>
        <w:tc>
          <w:tcPr>
            <w:tcW w:w="24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earnings attributable to Vishay stockholders</w:t>
            </w:r>
          </w:p>
        </w:tc>
        <w:tc>
          <w:tcPr>
            <w:tcW w:w="2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2"/>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________</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8"/>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288"/>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were as follows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7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r>
      <w:tr>
        <w:trPr>
          <w:trHeight w:val="142"/>
        </w:trPr>
        <w:tc>
          <w:tcPr>
            <w:tcW w:w="73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r>
      <w:tr>
        <w:trPr>
          <w:trHeight w:val="162"/>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3,497,401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3,240,487</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2,501,898</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prior year</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256,914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738,589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prior year</w:t>
            </w:r>
          </w:p>
        </w:tc>
        <w:tc>
          <w:tcPr>
            <w:tcW w:w="24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net revenues were attributable to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2021 vs. 2020</w:t>
            </w:r>
          </w:p>
        </w:tc>
      </w:tr>
      <w:tr>
        <w:trPr>
          <w:trHeight w:val="304"/>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volume</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in average selling prices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2"/>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2"/>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62"/>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0"/>
        </w:trPr>
        <w:tc>
          <w:tcPr>
            <w:tcW w:w="7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20"/>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increased significantly in 2022 and 2021 versus the prior years. We experienced good economic conditions while we increased critical manufacturing capacities through 2022. We implemented broad price increases across the product portfolio. Net revenues increased versus 2021 primarily due to increases in volume and average selling prices.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Margins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Gross profit margins for the year ended December 31, 2022 were 30.3%, as compared to 27.4% for the year ended December 31, 2021. The increase in gross profit margin is primarily due to increased average selling prices and increased sales volume. Higher transportation and metals and materials costs negatively impacted the contributive margin.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Segments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Analysis of revenues and margins for our segments is provided below. Direct costs of the COVID-19 pandemic are not allocated to the segments.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MOSFETs</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MOSFETs segment were as follows </w:t>
            </w:r>
            <w:r>
              <w:rPr>
                <w:rFonts w:ascii="Times New Roman" w:cs="Times New Roman" w:eastAsia="Times New Roman" w:hAnsi="Times New Roman"/>
                <w:sz w:val="14"/>
                <w:szCs w:val="14"/>
                <w:i w:val="1"/>
                <w:iCs w:val="1"/>
                <w:color w:val="auto"/>
              </w:rPr>
              <w:t>(dollars in thousands):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9"/>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78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762,260</w:t>
            </w: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667,998</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501,380</w:t>
            </w: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7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94,262</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166,618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7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32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MOSFETs segment net revenues were attributable to the following:</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30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volume</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MOSFETs segment were as follows:</w:t>
            </w: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9"/>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7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36.0%</w:t>
            </w: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88"/>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780" w:type="dxa"/>
            <w:vAlign w:val="bottom"/>
          </w:tcPr>
          <w:p>
            <w:pPr>
              <w:spacing w:after="0"/>
              <w:rPr>
                <w:sz w:val="16"/>
                <w:szCs w:val="16"/>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30.0%</w:t>
            </w:r>
          </w:p>
        </w:tc>
        <w:tc>
          <w:tcPr>
            <w:tcW w:w="32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MOSFETs segment net revenues increased significantly in 2022 versus the prior year. The increase is primarily due to increased average selling prices and sales volume. The increase in net revenues was achieved despite the two-month government mandated COVID-19 shut-down in Shanghai, People's Republic of China that required an almost complete closure of our main manufacturing facility in the second fiscal quarter of 2022, while we had no significant closures in 2021. All regions and customer channels, particularly distribution customers in the Americas region, contributed to the increase.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gross profit margin in 2022 increased versus the prior year primarily due to increased average selling prices and sales volume, partially offset by significant cost inflation.</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segment operating margin increased versus the prior year primarily due to increased gross profit. Increased segment SG&amp;A expenses primarily due to increased R&amp;D activity, including those of recently acquired MaxPower, limited the increase.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increased versus the prior year due to the strategic price increases implemented beginning in the second half of 2021.</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continue to invest to expand mid- and long-term manufacturing capacity for strategic product lines. We have begun building a 12-inch wafer fab in Itzehoe, Germany adjacent to our existing 8-inch wafer fab, which we expect will increase our in-house wafer capacity by approximately 70% within 3-4 years and allow us to balance our in-house and foundry wafer supply.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acquired leading edge silicon and silicon carbide MOSFETs products with our acquisition of MaxPower in the fourth fiscal quarter of 2022.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93" w:right="2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5"/>
              </w:rPr>
              <w:t>Diodes</w:t>
            </w:r>
          </w:p>
        </w:tc>
        <w:tc>
          <w:tcPr>
            <w:tcW w:w="694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Net revenues of the Diodes segment were as follows </w:t>
            </w: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00" w:type="dxa"/>
            <w:vAlign w:val="bottom"/>
            <w:gridSpan w:val="10"/>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162"/>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765,220</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709,416</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502,548</w:t>
            </w:r>
          </w:p>
        </w:tc>
      </w:tr>
      <w:tr>
        <w:trPr>
          <w:trHeight w:val="162"/>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55,804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206,868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220" w:type="dxa"/>
            <w:vAlign w:val="bottom"/>
            <w:shd w:val="clear" w:color="auto" w:fill="CCEEFF"/>
          </w:tcPr>
          <w:p>
            <w:pPr>
              <w:spacing w:after="0"/>
              <w:rPr>
                <w:sz w:val="14"/>
                <w:szCs w:val="14"/>
                <w:color w:val="auto"/>
              </w:rPr>
            </w:pPr>
          </w:p>
        </w:tc>
        <w:tc>
          <w:tcPr>
            <w:tcW w:w="11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4"/>
                <w:szCs w:val="14"/>
                <w:color w:val="auto"/>
              </w:rPr>
            </w:pPr>
          </w:p>
        </w:tc>
        <w:tc>
          <w:tcPr>
            <w:tcW w:w="1280" w:type="dxa"/>
            <w:vAlign w:val="bottom"/>
            <w:tcBorders>
              <w:right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Changes in Diodes segment net revenues were attributable to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24"/>
                <w:szCs w:val="24"/>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2021 vs. 2020</w:t>
            </w:r>
          </w:p>
        </w:tc>
      </w:tr>
      <w:tr>
        <w:trPr>
          <w:trHeight w:val="304"/>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volume</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r>
      <w:tr>
        <w:trPr>
          <w:trHeight w:val="162"/>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Increase in average selling prices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2"/>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2"/>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0"/>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290"/>
        </w:trPr>
        <w:tc>
          <w:tcPr>
            <w:tcW w:w="73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Diodes segment were as follows:</w:t>
            </w:r>
          </w:p>
        </w:tc>
        <w:tc>
          <w:tcPr>
            <w:tcW w:w="2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10"/>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4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00" w:type="dxa"/>
            <w:vAlign w:val="bottom"/>
          </w:tcPr>
          <w:p>
            <w:pPr>
              <w:spacing w:after="0"/>
              <w:rPr>
                <w:sz w:val="12"/>
                <w:szCs w:val="12"/>
                <w:color w:val="auto"/>
              </w:rPr>
            </w:pPr>
          </w:p>
        </w:tc>
        <w:tc>
          <w:tcPr>
            <w:tcW w:w="69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spacing w:after="0"/>
              <w:rPr>
                <w:sz w:val="12"/>
                <w:szCs w:val="12"/>
                <w:color w:val="auto"/>
              </w:rPr>
            </w:pPr>
          </w:p>
        </w:tc>
      </w:tr>
      <w:tr>
        <w:trPr>
          <w:trHeight w:val="162"/>
        </w:trPr>
        <w:tc>
          <w:tcPr>
            <w:tcW w:w="7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8"/>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2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13.9%</w:t>
            </w:r>
          </w:p>
        </w:tc>
      </w:tr>
    </w:tbl>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revenues of the Diodes segment increased significantly in 2022. The increase in net revenues was achieved despite various government mandated COVID-19 shut-downs in the People's Republic of China that impacted our operations in Tianjin, Shanghai, and Xi'an, while we had no significant closures in 2021. The increase is primarily due to increased average selling prices and sales volume, partially offset by negative foreign currency impacts. End market customers in all regions and distribution customers in the Americas region contributed to the growth.</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profit margin increased versus the prior year primarily due to increased average selling prices, our cost reduction measures, and increases in sales volume, partially offset by cost inflation.</w:t>
      </w:r>
    </w:p>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Segment operating margin increased versus the prior year primarily due to increased gross profit. The impact of a weaker euro decreased segment SG&amp;A expenses. The decrease in segment SG&amp;A expenses was partially offset by cost inflation and increased R&amp;D activities.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Average selling prices increased versus the prior year. Ongoing strong demand allowed us to continue with strategic price increases. Positive customer and product mix also contributed to the increased prices.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Optoelectronic Components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Optoelectronic Components segment were as follows </w:t>
            </w: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1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12"/>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6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6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296,384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302,714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236,616</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(6,330)</w:t>
            </w:r>
          </w:p>
        </w:tc>
        <w:tc>
          <w:tcPr>
            <w:tcW w:w="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66,098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Optoelectronic Components segment net revenues were attributable to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1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2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 vs. 2020</w:t>
            </w:r>
          </w:p>
        </w:tc>
      </w:tr>
      <w:tr>
        <w:trPr>
          <w:trHeight w:val="30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volume</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in average selling prices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16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0"/>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290"/>
        </w:trPr>
        <w:tc>
          <w:tcPr>
            <w:tcW w:w="72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Optoelectronic Components segment were as follows:</w:t>
            </w: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16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12"/>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60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60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spacing w:after="0"/>
              <w:rPr>
                <w:sz w:val="12"/>
                <w:szCs w:val="12"/>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188"/>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21.3%</w:t>
            </w:r>
          </w:p>
        </w:tc>
      </w:tr>
    </w:tbl>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Optoelectronic Components segment net revenues decreased slightly versus the prior year. The decrease was primarily due to the negative impact of a weaker euro and decreased sales volume, partially offset by increased average selling prices. Sales to customers in the Asia region, particularly consumer and telecommunications end market customers, decreased, partially offset by increased sales to customers in the Americas region.</w:t>
      </w:r>
    </w:p>
    <w:p>
      <w:pPr>
        <w:spacing w:after="0" w:line="1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gross profit margin increased versus the prior year. The increase is primarily due to increased average selling prices, a more profitable product mix, and our cost reduction measures, partially offset by cost inflation and lower sales volume.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segment operating margin increased primarily due to the increase in gross profit. Decreased segment SG&amp;A expenses, primarily due to the weaker euro, positively impacted the segment operating margin.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increased versus the prior year. The high level of demand and cost inflation allowed us to continue to increase average selling prices for certain customers.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now using our recently modernized and expanded wafer fab in Heilbronn, Germany.</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7"/>
              </w:rPr>
              <w:t>Resistors</w:t>
            </w:r>
          </w:p>
        </w:tc>
        <w:tc>
          <w:tcPr>
            <w:tcW w:w="6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Resistors segment were as follows </w:t>
            </w:r>
            <w:r>
              <w:rPr>
                <w:rFonts w:ascii="Times New Roman" w:cs="Times New Roman" w:eastAsia="Times New Roman" w:hAnsi="Times New Roman"/>
                <w:sz w:val="14"/>
                <w:szCs w:val="14"/>
                <w:i w:val="1"/>
                <w:iCs w:val="1"/>
                <w:color w:val="auto"/>
              </w:rPr>
              <w:t>(dollars in thousands):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9"/>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78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832,806</w:t>
            </w: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752,554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606,183</w:t>
            </w: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7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80,252</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146,371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78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Resistors segment net revenues were attributable to the following:</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5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2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30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volume</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in average selling prices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change</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Resistors segment were as follows:</w:t>
            </w: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9"/>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7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6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88"/>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78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revenues of the Resistors segment increased significantly versus the prior year. All regions, particularly the Americas, contributed to the increase. Sales to distributor and EMS customers and industrial end market customers increased significantly, partially offset by decreased sales to automotive end market customers. The acquisition of Barry Industries in the fourth fiscal quarter of 2021 also contributed to the increase in net revenues.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gross profit margin increased versus the prior year. The increase is due to increased sales volume, increased average selling prices, manufacturing efficiencies, and cost reduction measures, partially offset by increased labor, materials, metals, and logistics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increased versus the prior year. The increase is primarily due to increased gross profit.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increased versus the prior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increasing critical manufacturing capacities for certain product lines. We continue to broaden our business with targeted acquisitions of specialty resistors businesses.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Inductors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Inductors segment were as follows </w:t>
            </w: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5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11"/>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54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331,086</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335,638</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293,629</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(4,552)</w:t>
            </w:r>
          </w:p>
        </w:tc>
        <w:tc>
          <w:tcPr>
            <w:tcW w:w="20" w:type="dxa"/>
            <w:vAlign w:val="bottom"/>
          </w:tcPr>
          <w:p>
            <w:pPr>
              <w:spacing w:after="0"/>
              <w:rPr>
                <w:sz w:val="14"/>
                <w:szCs w:val="14"/>
                <w:color w:val="auto"/>
              </w:rPr>
            </w:pP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42,009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2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Inductors segment net revenues were attributable to the following:</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5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24"/>
                <w:szCs w:val="24"/>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2021 vs. 2020</w:t>
            </w:r>
          </w:p>
        </w:tc>
      </w:tr>
      <w:tr>
        <w:trPr>
          <w:trHeight w:val="304"/>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volume</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15.4%</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average selling prices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r>
      <w:tr>
        <w:trPr>
          <w:trHeight w:val="162"/>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0"/>
        </w:trPr>
        <w:tc>
          <w:tcPr>
            <w:tcW w:w="5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0"/>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14.3%</w:t>
            </w:r>
          </w:p>
        </w:tc>
      </w:tr>
      <w:tr>
        <w:trPr>
          <w:trHeight w:val="290"/>
        </w:trPr>
        <w:tc>
          <w:tcPr>
            <w:tcW w:w="72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Inductors segment were as follows:</w:t>
            </w: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5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11"/>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54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4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spacing w:after="0"/>
              <w:rPr>
                <w:sz w:val="12"/>
                <w:szCs w:val="12"/>
                <w:color w:val="auto"/>
              </w:rPr>
            </w:pPr>
          </w:p>
        </w:tc>
      </w:tr>
      <w:tr>
        <w:trPr>
          <w:trHeight w:val="162"/>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88"/>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28.1%</w:t>
            </w: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Inductors segment decreased slightly versus the prior year. The Asia and Europe regions contributed to the decrease, while the Americas region increased. Sales to distributor customers and automotive and industrial end markets decreased, partially offset by increases to EMS customers and military and aerospace end market customers.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gross profit margin decreased versus the prior year. The decrease is primarily due to increased logistics, labor, and materials costs, manufacturing inefficiencies, lower sales volume, and negative foreign currency impacts, partially offset by increased average selling prices and cost reductions.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decreased versus the prior year. The decrease is primarily due to decreased gross profit.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increased slightly versus the prior year.</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expect long-term growth in this segment, and are continuously expanding manufacturing capacity for certain product lines and evaluating acquisition opportunities, particularly of specialty businesses.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Capacitors</w:t>
            </w:r>
          </w:p>
        </w:tc>
        <w:tc>
          <w:tcPr>
            <w:tcW w:w="6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Net revenues of the Capacitors segment were as follows </w:t>
            </w:r>
            <w:r>
              <w:rPr>
                <w:rFonts w:ascii="Times New Roman" w:cs="Times New Roman" w:eastAsia="Times New Roman" w:hAnsi="Times New Roman"/>
                <w:sz w:val="14"/>
                <w:szCs w:val="14"/>
                <w:i w:val="1"/>
                <w:iCs w:val="1"/>
                <w:color w:val="auto"/>
              </w:rPr>
              <w:t>(dollars in thousands):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1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64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78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509,645</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472,167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361,542</w:t>
            </w: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versus comparable prior year period</w:t>
            </w:r>
          </w:p>
        </w:tc>
        <w:tc>
          <w:tcPr>
            <w:tcW w:w="7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37,478</w:t>
            </w:r>
          </w:p>
        </w:tc>
        <w:tc>
          <w:tcPr>
            <w:tcW w:w="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110,625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Percentage change versus comparable prior year period</w:t>
            </w:r>
          </w:p>
        </w:tc>
        <w:tc>
          <w:tcPr>
            <w:tcW w:w="78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31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Capacitors segment net revenues were attributable to the following:</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20" w:type="dxa"/>
            <w:vAlign w:val="bottom"/>
          </w:tcPr>
          <w:p>
            <w:pPr>
              <w:spacing w:after="0"/>
              <w:rPr>
                <w:sz w:val="24"/>
                <w:szCs w:val="24"/>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 vs. 2020</w:t>
            </w:r>
          </w:p>
        </w:tc>
      </w:tr>
      <w:tr>
        <w:trPr>
          <w:trHeight w:val="304"/>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 attributable to:</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volume</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in average selling prices</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effects</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2"/>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
        </w:trPr>
        <w:tc>
          <w:tcPr>
            <w:tcW w:w="64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00"/>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290"/>
        </w:trPr>
        <w:tc>
          <w:tcPr>
            <w:tcW w:w="72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Gross profit margins and segment operating margins for the Capacitors segment were as follows:</w:t>
            </w:r>
          </w:p>
        </w:tc>
        <w:tc>
          <w:tcPr>
            <w:tcW w:w="78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78"/>
        </w:trPr>
        <w:tc>
          <w:tcPr>
            <w:tcW w:w="6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40" w:type="dxa"/>
            <w:vAlign w:val="bottom"/>
            <w:gridSpan w:val="1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64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spacing w:after="0"/>
              <w:rPr>
                <w:sz w:val="12"/>
                <w:szCs w:val="12"/>
                <w:color w:val="auto"/>
              </w:rPr>
            </w:pPr>
          </w:p>
        </w:tc>
      </w:tr>
      <w:tr>
        <w:trPr>
          <w:trHeight w:val="162"/>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 margin</w:t>
            </w:r>
          </w:p>
        </w:tc>
        <w:tc>
          <w:tcPr>
            <w:tcW w:w="7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188"/>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margin</w:t>
            </w:r>
          </w:p>
        </w:tc>
        <w:tc>
          <w:tcPr>
            <w:tcW w:w="78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14.0%</w:t>
            </w: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revenues of the Capacitors segment increased significantly versus the prior year. Sales to the Americas and Asia regions increased, while sales to the Europe region decreased slightly. The increase is primarily due to increased sales to EMS customers and the industrial end market, partially offset by decreased sales to the automotive end market.</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gross profit margin increased versus the prior year. The increase is due to increased sales volume, increased average selling prices, and positive impact of product mix, partially offset by increased materials, metals, and labor costs and manufacturing inefficiencies.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operating margin increased versus the prior year. The increase is primarily due to increased gross profit.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selling prices have increased versus the prior year.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06"/>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Selling, general, and administrative expenses are summarized as follows </w:t>
            </w:r>
            <w:r>
              <w:rPr>
                <w:rFonts w:ascii="Times New Roman" w:cs="Times New Roman" w:eastAsia="Times New Roman" w:hAnsi="Times New Roman"/>
                <w:sz w:val="14"/>
                <w:szCs w:val="14"/>
                <w:i w:val="1"/>
                <w:iCs w:val="1"/>
                <w:color w:val="auto"/>
              </w:rPr>
              <w:t>(dollars in thousands)</w:t>
            </w: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8"/>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2"/>
        </w:trPr>
        <w:tc>
          <w:tcPr>
            <w:tcW w:w="7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SG&amp;A expenses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443,503</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420,111</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371,450</w:t>
            </w:r>
          </w:p>
        </w:tc>
      </w:tr>
      <w:tr>
        <w:trPr>
          <w:trHeight w:val="188"/>
        </w:trPr>
        <w:tc>
          <w:tcPr>
            <w:tcW w:w="7320" w:type="dxa"/>
            <w:vAlign w:val="bottom"/>
          </w:tcPr>
          <w:p>
            <w:pPr>
              <w:spacing w:after="0"/>
              <w:rPr>
                <w:sz w:val="20"/>
                <w:szCs w:val="20"/>
                <w:color w:val="auto"/>
              </w:rPr>
            </w:pPr>
            <w:r>
              <w:rPr>
                <w:rFonts w:ascii="Times New Roman" w:cs="Times New Roman" w:eastAsia="Times New Roman" w:hAnsi="Times New Roman"/>
                <w:sz w:val="14"/>
                <w:szCs w:val="14"/>
                <w:color w:val="auto"/>
              </w:rPr>
              <w:t>as a percentage of sales</w:t>
            </w: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w:t>
            </w:r>
          </w:p>
        </w:tc>
        <w:tc>
          <w:tcPr>
            <w:tcW w:w="2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13.0%</w:t>
            </w:r>
          </w:p>
        </w:tc>
        <w:tc>
          <w:tcPr>
            <w:tcW w:w="2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w:t>
            </w:r>
          </w:p>
        </w:tc>
      </w:tr>
    </w:tbl>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SG&amp;A expenses for the year ended December 31, 2022 increased versus the year ended December 31, 2021 due to cost inflation. SG&amp;A expenses for the year ended December 31, 2022 includes $0.5 million of incremental net costs separable from normal operations directly attributable to the COVID-19 pandemic.</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2"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2022 Compared to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for the year ended December 31, 2022 decreased by $0.4 million versus the year ended December 31,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analyzes the components of the line “Other” on the consolidated statements of operations </w:t>
      </w:r>
      <w:r>
        <w:rPr>
          <w:rFonts w:ascii="Times New Roman" w:cs="Times New Roman" w:eastAsia="Times New Roman" w:hAnsi="Times New Roman"/>
          <w:sz w:val="14"/>
          <w:szCs w:val="14"/>
          <w:i w:val="1"/>
          <w:i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5,690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(2,692)</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8,382</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7,560</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1,269</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6,291</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components of net periodic pension expense</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(11,090)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(13,206)</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2,116</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(loss)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(6,812)</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(1,036)</w:t>
            </w: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(5,776)</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(211)</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(4,852)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(15,654)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10,802</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2021 Compared to 2020</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Interest expense for the year ended December 31, 2021 decreased by $14.0 million versus the year ended December 31, 2020. The decrease is primarily due to the elimination of non-cash debt discount amortization upon the adoption of ASU No. 2020-06 effective January 1, 2021 and repurchases of convertible notes in the second and third fiscal quarters of 2020.</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analyzes the components of the line “Other” on the consolidated statements of operations </w:t>
      </w:r>
      <w:r>
        <w:rPr>
          <w:rFonts w:ascii="Times New Roman" w:cs="Times New Roman" w:eastAsia="Times New Roman" w:hAnsi="Times New Roman"/>
          <w:sz w:val="14"/>
          <w:szCs w:val="14"/>
          <w:i w:val="1"/>
          <w:i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36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33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(2,692)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(4,095)</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1,403</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1,269</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3,709</w:t>
            </w: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(2,440)</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components of net periodic pension expense</w:t>
            </w:r>
          </w:p>
        </w:tc>
        <w:tc>
          <w:tcPr>
            <w:tcW w:w="3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(13,206)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(13,613)</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 (loss)</w:t>
            </w:r>
          </w:p>
        </w:tc>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(1,036)</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2,271</w:t>
            </w: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(3,307)</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424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(15,654)</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(11,754)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(3,900)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100" w:type="dxa"/>
            <w:vAlign w:val="bottom"/>
            <w:vMerge w:val="restart"/>
          </w:tcPr>
          <w:p>
            <w:pPr>
              <w:jc w:val="right"/>
              <w:ind w:right="1574"/>
              <w:spacing w:after="0"/>
              <w:rPr>
                <w:sz w:val="20"/>
                <w:szCs w:val="20"/>
                <w:color w:val="auto"/>
              </w:rPr>
            </w:pPr>
            <w:r>
              <w:rPr>
                <w:rFonts w:ascii="Times New Roman" w:cs="Times New Roman" w:eastAsia="Times New Roman" w:hAnsi="Times New Roman"/>
                <w:sz w:val="12"/>
                <w:szCs w:val="12"/>
                <w:color w:val="auto"/>
              </w:rPr>
              <w:t>50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24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22"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the years ended December 31, 2022, 2021, and 2020, the effective tax rates were 27.5%, 31.2%, and 21.8%, respectively. With the reduction in the U.S. statutory rate to 21% beginning January 1, 2018, we expect that our effective tax rate will be higher than the U.S. statutory rate, excluding unusual transactions. Historically, the effective tax rates were generally less than the U.S. statutory rate of 35% primarily because of earnings in foreign jurisdictions. Discrete tax items impacted our effective tax rate for each period presented. These items were $20.0 million in 2022, $39.3 million in 2021, and $2.0 million in 2020.</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effective tax rate for the year ended December 31, 2022 was impacted by $5.9 million of tax benefits recognized for changes in uncertain tax positions following the resolution of a tax audit, $59.6 million of tax expense recognized upon the change in indefinite reversal assertion on earnings in Germany, and $33.7 million of tax benefits recognized upon the release of a valuation allowance.</w:t>
      </w:r>
    </w:p>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made the determination during the fourth fiscal quarter of 2022 that substantially all unremitted earnings in Germany are no longer indefinitely reinvested. We recorded additional tax expense during the fourth fiscal quarter of 2022 to accrue the $59.6 million of withholding taxes necessary to distribute these approximately $360.0 million of accumulated earnings to the United States.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effective tax rate for the year ended December 31, 2021 was impacted by $53.3 million of tax expense recognized upon a change in Israeli tax law that was enacted on November 15, 2021. We have historically benefited from tax incentive programs offered by the Israeli government, including the generation of income not subject to current income tax. Any tax-exempt earnings generated under these programs would incur an additional “claw-back” tax at approximately 11.1% if they were distributed or invested outside of Israel, in addition to normal withholding taxes on earnings distributed from Israel. Otherwise, taxes on such earnings were indefinitely deferred.</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change in Israeli tax law provided companies with an election to currently pay a reduced claw-back rate of as low as 6% upon meeting certain conditions, with the ability to distribute or invest those amounts outside of Israel at any time in the future. We elected to pay taxes on all previously untaxed earnings at the reduced 6% claw-back rate. As a direct result of this change in tax law, we made the determination during the fourth fiscal quarter of 2021 that substantially all unremitted foreign earnings in Israel are no longer permanently reinvested. We recorded the additional tax expense during the fourth fiscal quarter of 2021 to accrue the claw-back tax on applicable earnings and withholding taxes necessary to distribute these approximately $385.0 million of accumulated earnings to the United States. We repatriated $81.2 million (net of taxes) to the United States in 2022 pursuant to this repatriation program. We paid withholding taxes, foreign taxes, and Israeli clawback taxes of $25.2 million due to the repatriation.</w:t>
      </w:r>
    </w:p>
    <w:p>
      <w:pPr>
        <w:spacing w:after="0" w:line="1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effective tax rate for the year ended December 31, 2021 was also impacted by a $5.7 million tax benefit recognized upon the release of a valuation allowance and $8.3 million of tax benefits recognized due to changes in tax regulations.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repatriated $104.1 million to the United States, and paid withholding and foreign taxes of $16.3 million in the year ended December 31, 2020, which completed the cash repatriation program that we initiated in 2017 in response to the TCJA enacted in the United States. We recorded tax benefits of $0.2 million during the year ended December 31, 2020 due to adjustments to remeasure the deferred taxes related to our cash repatriation program, such as foreign currency effects, and to consider certain corporate reorganizational activities that impact repatriation.</w:t>
      </w:r>
    </w:p>
    <w:p>
      <w:pPr>
        <w:spacing w:after="0" w:line="1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effective tax rate for the year ended December 31, 2020 was also impacted by a $1.6 million tax benefit recognized upon the repurchase of convertible debentures reflecting the reduction in deferred tax liabilities related to the special tax attributes of the convertible debentures and $3.8 million of net tax expense recognized for changes in uncertain tax positions.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operate in a global environment with significant operations in various locations outside the United States. Accordingly, the consolidated income tax rate is a composite rate reflecting our earnings and the applicable tax rates in the various locations where we operate. Part of our historical strategy has been to achieve cost savings through the transfer and expansion of manufacturing operations to countries where we can take advantage of lower labor costs and available tax and other government-sponsored incentives.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information about income taxes is included in Note 5 to our consolidated financial statements.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Financial Condition, Liquidity, and Capital Resources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financial condition as of December 31, 2022 continued to be strong. Cash and short-term investments exceed our long-term debt balances, and we have historically been a strong generator of operating cash flows. The cash generated from operations is used to fund our capital expenditure plans, and cash in excess of our capital expenditure needs is available to fund our acquisition strategy, to reduce debt levels, and to pay dividends and repurchase stock. We have generated cash flows from operations in excess of $200 million in each of the last 21 years, and cash flows from operations in excess of $100 million in each of the last 28 years.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Management uses a non-GAAP measure, "free cash," to evaluate our ability to fund acquisitions, repay debt, and otherwise enhance stockholder value through stock repurchases or dividends. See "Overview" above for "free cash" definition and reconciliation to GAAP. Vishay has generated positive "free cash" in each of the past 26 years, and "free cash" in excess of $80 million in each of the last 21 years. In this volatile economic environment, we continue to focus on the generation of free cash, including an emphasis on cost controls.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Cash flows provided by operating activities were $484.3 million for the year ended December 31, 2022, as compared to cash flows provided by operations of $457.1 million for the year ended December 31, 2021.</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Cash paid for property and equipment for the year ended December 31, 2022 was $325.3 million, as compared to $218.4 million for the year ended December 31, 2021. To be well positioned to service our customers and to fully participate in growing markets, we intend to increase our capital expenditures for expansion in the mid-term. We expect to invest approximately $385 million in 2023 and approximately $1.2 billion over the next three years primarily for capital expansion projects outside of China.</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Free cash flow for the year ended December 31, 2022 was negatively impacted by working capital changes, higher than usual capital expenditures, and cash taxes paid for repatriation. We expect our business to continue to be a reliable generator of free cash. There is no assurance, however, that we will be able to continue to generate cash flows from operations and free cash at our historical levels, or at all, going forward if the economic environment worsens. The COVID-19 pandemic and the mitigation efforts by governments to control its spread have not had a significant impact on our financial condition, liquidity, or capital resources.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a direct result of a change in Israeli tax law, we made the determination during the fourth fiscal quarter of 2021 that substantially all unremitted foreign earnings in Israel are no longer indefinitely reinvested. We recorded the additional tax expense during the fourth fiscal quarter of 2021 to accrue the claw-back tax on applicable earnings and withholding taxes necessary to distribute these approximately $385.0 million of accumulated earnings to the United States. We repatriated $81.2 million (net of taxes) to the United States in 2022 pursuant to this repatriation program.</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made the determination during the fourth fiscal quarter of 2022 that substantially all unremitted earnings in Germany are no longer indefinitely reinvested. We recorded additional tax expense during the fourth fiscal quarter of 2022 to accrue the $59.6 million of withholding taxes necessary to distribute these approximately $360.0 million of accumulated earnings to the United States.</w:t>
      </w:r>
    </w:p>
    <w:p>
      <w:pPr>
        <w:spacing w:after="0" w:line="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These changes in this indefinite reinvestment assertion provide greater access to our worldwide cash balances to fund our growth plan and our Stockholder Return Policy. While the change in assertion provides access to these balances, these amounts will be repatriated only as needed. The withholding taxes associated with any distribution to the United States is payable upon distribution.</w:t>
      </w:r>
    </w:p>
    <w:p>
      <w:pPr>
        <w:spacing w:after="0" w:line="2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On February 7, 2022, our Board of Directors adopted a Stockholder Return Policy that will remain in effect until such time as the Board votes to amend or rescind the policy. See “Stockholder Value” above for additional information.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the components of net cash and short-term investments (debt)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8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465,344</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465,344</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financing costs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(6,407)</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(9,678)</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debt</w:t>
            </w:r>
          </w:p>
        </w:tc>
        <w:tc>
          <w:tcPr>
            <w:tcW w:w="1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500,937</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455,666</w:t>
            </w:r>
          </w:p>
        </w:tc>
      </w:tr>
      <w:tr>
        <w:trPr>
          <w:trHeight w:val="144"/>
        </w:trPr>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610,825</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774,108</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305,272</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146,743</w:t>
            </w:r>
          </w:p>
        </w:tc>
      </w:tr>
      <w:tr>
        <w:trPr>
          <w:trHeight w:val="144"/>
        </w:trPr>
        <w:tc>
          <w:tcPr>
            <w:tcW w:w="8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and short-term investments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415,160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465,185</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cash and short-term investments (debt)" does not have a uniform definition and is not recognized in accordance with GAAP. This measure should not be viewed as an alternative to GAAP measures of performance or liquidity. However, management believes that an analysis of "net cash and short-term investments (debt)" assists investors in understanding aspects of our cash and debt management. The measure, as calculated by us, may not be comparable to similarly titled measures used by other companies.</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invest a portion of our excess cash in highly liquid, high-quality instruments with maturities greater than 90 days, but less than 1 year, which we classify as short-term investments on our consolidated balance sheets. As these investments were funded using a portion of excess cash and represent a significant aspect of our cash management strategy, we include the investments in the calculation of net cash and short-term investments (debt).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The interest rates on our short-term investments vary by location. Transactions related to these investments are classified as investing activities on our consolidated statements of cash flows.</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As of December 31, 2022, substantially all of our cash and cash equivalents and short-term investments were held in countries outside of the United States. Cash dividends to stockholders, share repurchases, and principal and interest payments on our debt instruments need to be paid by the U.S. parent company, Vishay Intertechnology, Inc. Our U.S. subsidiaries also have cash operating needs. The distribution of earnings from Israel and Germany to the United States will be used to fund our Stockholder Return Policy. We expect that cash on-hand and cash flows from operations will be sufficient to meet our longer-term financing needs related to normal operating requirements, regular dividend payments, share repurchases pursuant to our Stockholder Return Policy, and our research and development and capital expenditure plans. Our substantially undrawn credit facility provides us with significant operating liquidity in the United States.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revolving credit facility provides an aggregate commitment of $750 million of revolving loans available until June 5, 2024. The maximum amount available on the revolving credit facility is restricted by the financial covenants described below. The credit facility also provides us the ability to request up to $300 million of incremental facilities, subject to the satisfaction of certain conditions, which could take the form of additional revolving commitments, incremental “term loan A” or “term loan B” facilities, or incremental equivalent debt.</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had no amounts outstanding on our revolving credit facility at December 31, 2021 and $42 million outstanding at December 31, 2022. We borrowed $759 million and repaid $717 million on the revolving credit facility during the year ended December 31, 2022. The average outstanding balance on our revolving credit facility calculated at fiscal month-ends was $48.9 million and the highest amount outstanding on our revolving credit facility at a fiscal month end was $124.0 million during the year ended December 31, 2022.</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revolving credit facility limits or restricts us from, among other things, incurring indebtedness, incurring liens on its respective assets, making investments and acquisitions (assuming our pro forma leverage ratio is greater than 2.75 to 1.00), making asset sales, and paying cash dividends and making other restricted payments (assuming our pro forma leverage ratio is greater than 2.50 to 1.00), and requires us to comply with other covenants, including the maintenance of specific financial ratios.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financial maintenance covenants include (a) an interest coverage ratio of not less than 2.00 to 1; and (b) a leverage ratio of not more than 3.25 to 1 (and a pro forma ratio of 3.00 to 1 on the date of incurrence of additional debt). The computation of these ratios is prescribed in Article VI of the Credit Agreement between Vishay Intertechnology, Inc. and JPMorgan Chase Bank, N.A., which has been filed with the SEC as Exhibit 10.1 to our current report on Form 8-K filed June 5, 2019.</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were in compliance with all financial covenants under the credit facility at December 31, 2022. Our interest coverage ratio and leverage ratio were 32.78 to 1 and 0.65 to 1, respectively. We expect to continue to be in compliance with these covenants based on current projections.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we are not in compliance with all of the required financial covenants, the credit facility could be terminated by the lenders, and any amounts then outstanding pursuant to the credit facility could become immediately payable. Additionally, our convertible senior notes due 2025 have cross-default provisions that could accelerate repayment in the event the indebtedness under the credit facility is accelerated.</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Borrowings under the credit facility bear interest at LIBOR plus an interest margin. The applicable interest margin is based on our leverage ratio. We also pay a commitment fee, also based on our leverage ratio, on undrawn amounts. Based on our current leverage ratio, any new borrowings will bear interest at LIBOR plus 1.50%, and the undrawn commitment fee is 0.25% per annum.</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borrowings under the credit facility are secured by a lien on substantially all assets, including accounts receivable, inventory, machinery and equipment, and general intangibles (but excluding real estate, intellectual property registered or licensed solely for use in, or arising solely under the laws of, any country other than the United States, assets located solely outside of the United States and deposit and securities accounts), of Vishay and certain significant subsidiaries located in the United States, and pledges of stock in certain significant domestic and foreign subsidiaries; and are guaranteed by certain significant subsidiaries.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expect, at least initially, to fund certain future obligations required to be paid by the U.S. parent company by borrowing under our revolving credit facility. We also expect to continue to use the credit facility from time-to-time to meet certain short-term financing needs. Additional acquisition activity, convertible debt repurchases, or conversion of our convertible debt instruments may require additional borrowing under our credit facility or may otherwise require us to incur additional debt. No principal payments on our debt are due before June 2024 when our revolving credit facility expires.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convertible senior notes due 2025 are not currently convertible. Pursuant to the indenture governing the convertible senior notes due 2025 and the amendments thereto incorporated in the Supplemental Indenture dated December 23, 2020, we will cash-settle the principal amount of $1,000 per note and settle any additional amounts in shares of our common stock. We intend to finance the principal amount of any converted notes using borrowings under our credit facility. No conversions have occurred to date.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 xml:space="preserve">In evaluating our liquidity and capital resources, we consider our outstanding commitments. As of December 31, 2022 our commitments were as follows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Payments due by period</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2027</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120" w:type="dxa"/>
            <w:vAlign w:val="bottom"/>
          </w:tcPr>
          <w:p>
            <w:pPr>
              <w:spacing w:after="0"/>
              <w:rPr>
                <w:sz w:val="12"/>
                <w:szCs w:val="12"/>
                <w:color w:val="auto"/>
              </w:rPr>
            </w:pPr>
          </w:p>
        </w:tc>
      </w:tr>
      <w:tr>
        <w:trPr>
          <w:trHeight w:val="142"/>
        </w:trPr>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507,344</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42,000</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465,344</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Interest payments on long-term debt</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31,773</w:t>
            </w:r>
          </w:p>
        </w:tc>
        <w:tc>
          <w:tcPr>
            <w:tcW w:w="6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14,688</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12,286</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4,799</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171,147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25,067</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22,891</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19,687</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16,989</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15,766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70,747</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Letters of credit</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939</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pension and postretirement plan funding</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195,885</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25,269</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18,701</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19,792</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26,285</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19,986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85,852</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Estimated costs to complete construction in progress</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162,000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157,300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4,700</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Estimated costs to complete MOSFETs wafer fab</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329,500</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38,400</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175,700</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115,400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TCJA transition tax</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110,680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27,670</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36,893</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46,117</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Uncertain tax positions</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19,525</w:t>
            </w: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17,983</w:t>
            </w:r>
          </w:p>
        </w:tc>
      </w:tr>
      <w:tr>
        <w:trPr>
          <w:trHeight w:val="144"/>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Purchase commitments</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63,360</w:t>
            </w:r>
          </w:p>
        </w:tc>
        <w:tc>
          <w:tcPr>
            <w:tcW w:w="64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48,073</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15,287</w:t>
            </w:r>
          </w:p>
        </w:tc>
        <w:tc>
          <w:tcPr>
            <w:tcW w:w="24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74,547</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74,547</w:t>
            </w:r>
          </w:p>
        </w:tc>
      </w:tr>
      <w:tr>
        <w:trPr>
          <w:trHeight w:val="20"/>
        </w:trPr>
        <w:tc>
          <w:tcPr>
            <w:tcW w:w="2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Total contractual cash obligations</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1,666,700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338,009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329,397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671,139</w:t>
            </w:r>
          </w:p>
        </w:tc>
        <w:tc>
          <w:tcPr>
            <w:tcW w:w="220" w:type="dxa"/>
            <w:vAlign w:val="bottom"/>
          </w:tcPr>
          <w:p>
            <w:pPr>
              <w:spacing w:after="0"/>
              <w:rPr>
                <w:sz w:val="12"/>
                <w:szCs w:val="12"/>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43,274</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35,752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249,129</w:t>
            </w:r>
          </w:p>
        </w:tc>
      </w:tr>
      <w:tr>
        <w:trPr>
          <w:trHeight w:val="20"/>
        </w:trPr>
        <w:tc>
          <w:tcPr>
            <w:tcW w:w="2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Commitments for long-term debt are based on the amount required to settle the obligation. Accordingly, the capitalized deferred financing costs associated with our convertible notes are excluded from the calculation of long-term debt commitments in the table above.</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Commitments for interest payments on long-term debt are cash commitments based on the stated maturity dates of each agreement and include fees under our revolving credit facility, which expires on June 4, 2024. Commitments for interest payments on long-term debt exclude non-cash interest expense related to the amortization of deferred financing costs.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Various factors could have a material effect on the amount of future principal and interest payments. Principal and interest commitments associated with our convertible notes are based on the amounts outstanding as of December 31, 2022. Additionally, interest commitments for our revolving credit facility are based on the rate prevailing at December 31, 2022, but actual rates are variable and are certain to change over time.</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TCJA imposed a one-time transition tax on deferred foreign earnings, payable in defined increments over eight years. As a result of this requirement, we expect to pay $184.5 million, net of estimated applicable foreign tax credits, and after utilization of net operating loss and R&amp;D and FTC Credit carryforwards. As of December 31, 2022, $73.8 million has been paid.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costs to complete the MOSFETs wafer fab include amounts that we are not contractually required to complete.</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consolidated balance sheet at December 31, 2022 includes liabilities associated with uncertain tax positions in multiple taxing jurisdictions where we conduct business. Due to the uncertain and complex application of tax regulations, combined with the difficulty in predicting when tax audits throughout the world may be concluded, we cannot make reliable estimates of the timing of the remaining cash outflows relating to these liabilities. Accordingly, we have classified the amount recorded as a current liability as payable within one year, and the remaining uncertain tax positions are classified as payments due thereafter, although actual timing of payments may be sooner.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Expected pension and postretirement plan funding is based on a projected schedule of benefit payments under the plans.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maintain long-term foundry arrangements with subcontractors to ensure access to external front-end capacity for our semiconductor products. The purchase commitments in the table above represent the estimated minimum commitments for silicon wafers under these arrangements. Our actual purchases in future periods are expected to be greater than these minimum commitments.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Other long-term liabilities in the table above include obligations that are reflected on our consolidated balance sheets as of December 31, 2022. We include the current portion of the long-term liabilities in the table above. Other long-term liabilities for which we are unable to reasonably estimate the timing of the settlement are classified as payments due thereafter in the table above, although actual timing of payments may be sooner.</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For a further discussion of our long-term debt, pensions and other postretirement benefits, leases, uncertain tax positions, and purchase commitments, see Notes 4, 5, 6, 11, and 13 to our consolidated financial statements.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812" w:right="299" w:bottom="1440" w:gutter="0" w:footer="0" w:header="0"/>
        </w:sectPr>
      </w:pPr>
    </w:p>
    <w:bookmarkStart w:id="54" w:name="page55"/>
    <w:bookmarkEnd w:id="54"/>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7A.</w:t>
      </w:r>
      <w:r>
        <w:rPr>
          <w:sz w:val="20"/>
          <w:szCs w:val="20"/>
          <w:color w:val="auto"/>
        </w:rPr>
        <w:tab/>
      </w:r>
      <w:r>
        <w:rPr>
          <w:rFonts w:ascii="Times New Roman" w:cs="Times New Roman" w:eastAsia="Times New Roman" w:hAnsi="Times New Roman"/>
          <w:sz w:val="14"/>
          <w:szCs w:val="14"/>
          <w:b w:val="1"/>
          <w:bCs w:val="1"/>
          <w:u w:val="single" w:color="auto"/>
          <w:color w:val="auto"/>
        </w:rPr>
        <w:t>QUANTITATIVE AND QUALITATIVE DISCLOSURES ABOUT MARKET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 Disclosure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are exposed to certain financial risks, including fluctuations in foreign currency exchange rates, interest rates, and commodity prices. We manage our exposure to these market risks through internally established policies and procedures and, when deemed appropriate, through the use of derivative financial instruments. Our policies do not allow speculation in derivative instruments for profit or execution of derivative instrument contracts for which there are no underlying exposures. We do not use financial instruments for trading purposes and we are not a party to any leveraged derivatives. We monitor our underlying market risk exposures on an ongoing basis and believe that we can modify or adapt our hedging strategies as needed.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exposed to changes in interest rates as a result of our borrowing activities and our cash balances. On a selective basis, we have in the past entered into interest rate swap or cap agreements to reduce the potential negative impact that increases in interest rates could have on our outstanding variable rate debt. As of December 31, 2022, 2021, and 2020 we did not have any outstanding interest rate swap or cap agreements.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interest paid on our credit facility is based on a LIBOR spread. At December 31, 2022, we had no amounts outstanding under the revolving credit facility. Future borrowings under the revolving credit commitment will bear interest at LIBOR plus 1.50%.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convertible debt instruments bear interest at a fixed rate, and accordingly are not subject to interest rate fluctuation risks.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2022, we had $610.8 million of cash and cash equivalents and $305.3 million of short-term investments, which earn interest at various variable rates.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Based on the debt and cash positions at December 31, 2022, we would expect a 50 basis point increase or decrease in interest rates to increase or decrease our annualized net earnings by approximately $3.3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6 to our consolidated financial statements for additional information about our long-term debt.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Exchange Risk</w:t>
      </w:r>
    </w:p>
    <w:p>
      <w:pPr>
        <w:spacing w:after="0" w:line="1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are exposed to foreign currency exchange rate risks, particularly due to market values of transactions in currencies other than the functional currencies of certain subsidiaries. We have used forward exchange contracts to economically hedge a portion of these exposures in the past. We had no outstanding forward contracts as of December 31, 2022. We do not utilize derivatives or other financial instruments for trading or other speculative purposes.</w:t>
      </w:r>
    </w:p>
    <w:p>
      <w:pPr>
        <w:spacing w:after="0" w:line="1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Our significant foreign subsidiaries are located in Germany, Israel, and Asia. We finance our operations in Europe and certain locations in Asia in local currencies. Our operations in Israel and most significant locations in Asia are largely financed in U.S. dollars, but these subsidiaries also have significant transactions in local currencies. Our exposure to foreign currency risk is mitigated to the extent that the costs incurred and the revenues earned in a particular currency offset one another. Our exposure to foreign currency risk is more pronounced in Israel, the Czech Republic, and China because the percentage of expenses denominated in Israeli shekels, Czech koruna, and Chinese renminbi to total expenses is much greater than the percentage of sales denominated in Israeli shekels, Czech koruna, and Chinese renminbi to total sales. Therefore, if the Israeli shekel, Czech koruna, and Chinese renminbi strengthen against all or most of our other major currencies, our operating profit is reduced. Where possible, we maintain local currency denominated cash balances in these countries approximately equal to the local currency liabilities to naturally hedge our exposures. We also have a slightly higher percentage of euro-denominated sales than expenses. Therefore, when the euro strengthens against all or most of our other major currencies, our operating profit is slightly increased. Accordingly, we monitor several important cross-rates.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55" w:name="page56"/>
    <w:bookmarkEnd w:id="55"/>
    <w:p>
      <w:pPr>
        <w:jc w:val="both"/>
        <w:spacing w:after="0" w:line="249" w:lineRule="auto"/>
        <w:rPr>
          <w:sz w:val="20"/>
          <w:szCs w:val="20"/>
          <w:color w:val="auto"/>
        </w:rPr>
      </w:pPr>
      <w:r>
        <w:rPr>
          <w:rFonts w:ascii="Times New Roman" w:cs="Times New Roman" w:eastAsia="Times New Roman" w:hAnsi="Times New Roman"/>
          <w:sz w:val="14"/>
          <w:szCs w:val="14"/>
          <w:color w:val="auto"/>
        </w:rPr>
        <w:t>We have performed sensitivity analyses of our consolidated foreign exchange risk as of December 31, 2022, using a model that measures the change in the values arising from a hypothetical 10% adverse movement in foreign currency exchange rates relative to the U.S. dollar, with all other variables held constant. The foreign currency exchange rates we used were based on market rates in effect at December 31, 2022. The sensitivity analyses indicated that a hypothetical 10% adverse movement in foreign currency exchange rates would impact our net earnings by approximately $10.0 million at December 31, 2022, although individual line items in our consolidated statement of operations would be materially affected. For example, a 10% weakening in all foreign currencies would decrease the U.S. dollar equivalent of operating income generated in foreign currencies, which would be offset by foreign exchange gains of our foreign subsidiaries that have significant transactions in U.S. dollars or have the U.S. dollar as their functional currency.</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change in the mix of the currencies in which we transact our business could have a material effect on the estimated impact of the hypothetical 10% movement in the value of the U.S. dollar. Furthermore, the timing of cash receipts and disbursements could result in materially different actual results versus the hypothetical 10% movement in the value of the U.S. dollar, particularly if there are significant changes in exchange rates in a short period of time.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Although most materials incorporated in our products are available from a number of sources, certain materials are available only from a relatively limited number of suppliers or are subject to significant price volatility. Our results of operations may be materially and adversely affected if we have difficulty obtaining these raw materials, the quality of available raw materials deteriorates, or there are significant price changes for these raw materials. The determination that any of the raw materials used in our products are conflict minerals originating from the Democratic Republic of the Congo and adjoining countries could increase the probability that we will encounter the challenges noted above, incur additional expenses to comply with government regulations, and face public scrutiny. For periods in which the prices of these raw materials are rising, we may be unable to pass on the increased cost to our customers which would result in decreased margins for the products in which they are used. For periods in which the prices are declining, we may be required to write down our inventory carrying cost of these raw materials, since we record our inventory at the lower of cost or market. Depending on the extent of the difference between market price and our carrying cost, this write-down could have a material adverse effect on our net earnings. We also may need to record losses for adverse purchase commitments for these materials in periods of declining prices.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Silicon wafers are the most important raw material for the manufacturing of our semiconductor products. Silicon wafers are manufactured from high-purity silicon, a metalloid. There have at times been industry-wide shortages of high-purity silicon resulting primarily from growing demand of the electronic component and solar power industries, and limited growth in high-purity silicon manufacturing capacities. Shifts in demand for high-purity silicon and in turn, silicon wafers, have resulted in significant fluctuation in prices of silicon wafers.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We are a major consumer of the world’s annual production of tantalum, a metal used in the manufacturing of tantalum capacitors. There are few suppliers that process tantalum ore into capacitor grade tantalum powder.</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Palladium, a metal used to produce multi-layer ceramic capacitors, is currently found primarily in South Africa and Russia. Palladium is a commodity metal that is subject to price volatility. Certain other metals used in the manufacture of our products, such as copper, are traded on active markets, and can also be subject to significant price volatility. We periodically enter into short-term commitments to purchase palladium and defined portions of annual consumption of other metals if market prices decline below budget. In certain circumstances, we also purchase precious metals bullion in excess of our immediate manufacturing needs to mitigate the risk of supply shortages or volatile price fluctuations.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estimate that a 10% increase or decrease in the costs of raw materials subject to commodity price risk would decrease or increase our net earnings by $9.6 million, assuming that such changes in our costs have no impact on the selling prices of our products and that we have no pending commitments to purchase metals at fixed prices.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56" w:name="page57"/>
    <w:bookmarkEnd w:id="56"/>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8.</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AND SUPPLEMENTARY DATA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financial statements required by this Item are filed herewith, commencing on page F-1 of this report.</w:t>
      </w:r>
    </w:p>
    <w:p>
      <w:pPr>
        <w:spacing w:after="0" w:line="14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b w:val="1"/>
          <w:bCs w:val="1"/>
          <w:u w:val="single" w:color="auto"/>
          <w:color w:val="auto"/>
        </w:rPr>
        <w:t>Item 9.</w:t>
      </w:r>
      <w:r>
        <w:rPr>
          <w:sz w:val="20"/>
          <w:szCs w:val="20"/>
          <w:color w:val="auto"/>
        </w:rPr>
        <w:tab/>
      </w:r>
      <w:r>
        <w:rPr>
          <w:rFonts w:ascii="Times New Roman" w:cs="Times New Roman" w:eastAsia="Times New Roman" w:hAnsi="Times New Roman"/>
          <w:sz w:val="14"/>
          <w:szCs w:val="14"/>
          <w:b w:val="1"/>
          <w:bCs w:val="1"/>
          <w:u w:val="single" w:color="auto"/>
          <w:color w:val="auto"/>
        </w:rPr>
        <w:t>CHANGES IN AND DISAGREEMENTS WITH ACCOUNTANTS ON ACCOUNTING AND FINANCIAL DISCLOSURE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u w:val="single" w:color="auto"/>
          <w:color w:val="auto"/>
        </w:rPr>
        <w:t>Item 9A.</w:t>
      </w:r>
      <w:r>
        <w:rPr>
          <w:sz w:val="20"/>
          <w:szCs w:val="20"/>
          <w:color w:val="auto"/>
        </w:rPr>
        <w:tab/>
      </w:r>
      <w:r>
        <w:rPr>
          <w:rFonts w:ascii="Times New Roman" w:cs="Times New Roman" w:eastAsia="Times New Roman" w:hAnsi="Times New Roman"/>
          <w:sz w:val="14"/>
          <w:szCs w:val="14"/>
          <w:b w:val="1"/>
          <w:bCs w:val="1"/>
          <w:u w:val="single" w:color="auto"/>
          <w:color w:val="auto"/>
        </w:rPr>
        <w:t>CONTROLS AND PROCEDURES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An evaluation was performed under the supervision and with the participation of our management, including the Chief Executive Officer (“CEO”) and Chief Financial Officer (“CFO”), of the effectiveness of the design and operation of our disclosure controls and procedures, as such term is defined under Rule 13a-15(e) and Rule 15d-15(e) promulgated under the Securities Exchange Act of 1934, as amended. Based on that evaluation, our CEO and CFO concluded that our disclosure controls and procedures were effective as of the end of the period covered by this annual report to ensure that information required to be disclosed in reports that we file or submit under the Exchange Act is: (1) recorded, processed, summarized, and reported within the time periods specified in the SEC’s rules and forms; and (2) accumulated and communicated to our management, including our CEO and CFO, as appropriate to allow timely decisions regarding required disclosure.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during our last fiscal quarter that have materially affected, or are reasonably likely to materially affect, our internal control over financial reporting.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certifications of our CEO and CFO pursuant to Section 302 of the Sarbanes-Oxley Act of 2002 are filed as Exhibits 31.1 and 31.2 to this Annual Report on Form 10-K. We have also filed with the New York Stock Exchange the most recent Annual Certification as required by Section 303A.12(a) of the New York Stock Exchange Listed Company Manual.</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CEO and CFO, we conducted an evaluation of the effectiveness of our internal control over financial reporting as of December 31, 2022 based on the 2013 framework set forth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issued by the Committee of Sponsoring Organizations of the Treadway Commission. Based on that evaluation, our management concluded that our internal control over financial reporting was effective as of December 31,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Ernst &amp; Young LLP has issued an attestation report on the effectiveness of our internal control over financial reporting. Their report is set forth below.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57" w:name="page58"/>
    <w:bookmarkEnd w:id="57"/>
    <w:p>
      <w:pPr>
        <w:ind w:left="384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Vishay Intertechnology,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4"/>
          <w:szCs w:val="14"/>
          <w:color w:val="auto"/>
        </w:rPr>
        <w:t>We have audited Vishay Intertechnology, Inc.’s internal control over financial reporting as of December 31, 2022, based on criteria established in Internal Control—Integrated Framework issued by the Committee of Sponsoring Organizations of the Treadway Commission (2013 framework) (the COSO criteria). In our opinion, Vishay Intertechnology, Inc. (the Company) maintained, in all material respects, effective internal control over financial reporting as of December 31, 2022, based on the COSO criteria.</w:t>
      </w:r>
    </w:p>
    <w:p>
      <w:pPr>
        <w:spacing w:after="0" w:line="11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2022 and 2021, and the related consolidated statements of operations, comprehensive income, stockholders’ equity, and cash flows for each of the three years in the period ended December 31, 2022, and the related notes and our report dated February 22, 2023 expressed an unqualified opinion thereon.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Item 9B.</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9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r>
      <w:tr>
        <w:trPr>
          <w:trHeight w:val="321"/>
        </w:trPr>
        <w:tc>
          <w:tcPr>
            <w:tcW w:w="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None.</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1"/>
        </w:trPr>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9C.</w:t>
            </w: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9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DISCLOSURE REGARDING FOREIGN JURISDICTIONS THAT PREVENT INSPECTIONS</w:t>
            </w:r>
          </w:p>
        </w:tc>
      </w:tr>
      <w:tr>
        <w:trPr>
          <w:trHeight w:val="321"/>
        </w:trPr>
        <w:tc>
          <w:tcPr>
            <w:tcW w:w="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None.</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71"/>
        </w:trPr>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PART III</w:t>
            </w:r>
          </w:p>
        </w:tc>
        <w:tc>
          <w:tcPr>
            <w:tcW w:w="1360" w:type="dxa"/>
            <w:vAlign w:val="bottom"/>
            <w:gridSpan w:val="2"/>
          </w:tcPr>
          <w:p>
            <w:pPr>
              <w:spacing w:after="0"/>
              <w:rPr>
                <w:sz w:val="23"/>
                <w:szCs w:val="23"/>
                <w:color w:val="auto"/>
              </w:rPr>
            </w:pPr>
          </w:p>
        </w:tc>
      </w:tr>
      <w:tr>
        <w:trPr>
          <w:trHeight w:val="286"/>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Item10.</w:t>
            </w:r>
          </w:p>
        </w:tc>
        <w:tc>
          <w:tcPr>
            <w:tcW w:w="4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9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DIRECTORS, EXECUTIVE OFFICERS, AND CORPORATE GOVERNANCE</w:t>
            </w:r>
          </w:p>
        </w:tc>
        <w:tc>
          <w:tcPr>
            <w:tcW w:w="1020" w:type="dxa"/>
            <w:vAlign w:val="bottom"/>
          </w:tcPr>
          <w:p>
            <w:pPr>
              <w:spacing w:after="0"/>
              <w:rPr>
                <w:sz w:val="24"/>
                <w:szCs w:val="24"/>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 code of ethics applicable to our Chief Executive Officer, Chief Financial Officer, Principal Accounting Officer or Controller, and financial managers. The text of this code has been posted on our website. To view the code, go to our website at ir.vishay.com and click on Corporate Governance. You can obtain a printed copy of this code, free of charge, by contacting us at the following address: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Corporate Investor Relations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63 Lancaster Avenue</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Malvern, PA 19355-2143</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It is our intention to satisfy the disclosure requirement under Item 5.05 of Form 8-K regarding any amendment to, or any waiver from, a provision of this code by posting such information on our website, at the aforementioned address and location.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information required under this Item with respect to our Executive Officers is set forth in Part I hereof under the caption “Executive Officers of the Registrant.”</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Other information required under this Item will be contained in our definitive proxy statement, which will be filed within 120 days of December 31, 2022,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11.</w:t>
      </w:r>
      <w:r>
        <w:rPr>
          <w:sz w:val="20"/>
          <w:szCs w:val="20"/>
          <w:color w:val="auto"/>
        </w:rPr>
        <w:tab/>
      </w:r>
      <w:r>
        <w:rPr>
          <w:rFonts w:ascii="Times New Roman" w:cs="Times New Roman" w:eastAsia="Times New Roman" w:hAnsi="Times New Roman"/>
          <w:sz w:val="14"/>
          <w:szCs w:val="14"/>
          <w:b w:val="1"/>
          <w:bCs w:val="1"/>
          <w:u w:val="single" w:color="auto"/>
          <w:color w:val="auto"/>
        </w:rPr>
        <w:t>EXECUTIVE COMPENSATION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2022,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12.</w:t>
      </w:r>
      <w:r>
        <w:rPr>
          <w:sz w:val="20"/>
          <w:szCs w:val="20"/>
          <w:color w:val="auto"/>
        </w:rPr>
        <w:tab/>
      </w:r>
      <w:r>
        <w:rPr>
          <w:rFonts w:ascii="Times New Roman" w:cs="Times New Roman" w:eastAsia="Times New Roman" w:hAnsi="Times New Roman"/>
          <w:sz w:val="14"/>
          <w:szCs w:val="14"/>
          <w:b w:val="1"/>
          <w:bCs w:val="1"/>
          <w:u w:val="single" w:color="auto"/>
          <w:color w:val="auto"/>
        </w:rPr>
        <w:t>SECURITY OWNERSHIP OF CERTAIN BENEFICIAL OWNERS AND MANAGEMENT AND RELATED STOCKHOLDER MATTERS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2022,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13.</w:t>
      </w:r>
      <w:r>
        <w:rPr>
          <w:sz w:val="20"/>
          <w:szCs w:val="20"/>
          <w:color w:val="auto"/>
        </w:rPr>
        <w:tab/>
      </w:r>
      <w:r>
        <w:rPr>
          <w:rFonts w:ascii="Times New Roman" w:cs="Times New Roman" w:eastAsia="Times New Roman" w:hAnsi="Times New Roman"/>
          <w:sz w:val="14"/>
          <w:szCs w:val="14"/>
          <w:b w:val="1"/>
          <w:bCs w:val="1"/>
          <w:u w:val="single" w:color="auto"/>
          <w:color w:val="auto"/>
        </w:rPr>
        <w:t>CERTAIN RELATIONSHIPS AND RELATED TRANSACTIONS, AND DIRECTOR INDEPENDENCE</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2022, our most recent fiscal year end, and is incorporated herein by reference.</w:t>
      </w:r>
    </w:p>
    <w:p>
      <w:pPr>
        <w:spacing w:after="0" w:line="8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u w:val="single" w:color="auto"/>
          <w:color w:val="auto"/>
        </w:rPr>
        <w:t>Item 14.</w:t>
      </w:r>
      <w:r>
        <w:rPr>
          <w:sz w:val="20"/>
          <w:szCs w:val="20"/>
          <w:color w:val="auto"/>
        </w:rPr>
        <w:tab/>
      </w:r>
      <w:r>
        <w:rPr>
          <w:rFonts w:ascii="Times New Roman" w:cs="Times New Roman" w:eastAsia="Times New Roman" w:hAnsi="Times New Roman"/>
          <w:sz w:val="14"/>
          <w:szCs w:val="14"/>
          <w:b w:val="1"/>
          <w:bCs w:val="1"/>
          <w:u w:val="single" w:color="auto"/>
          <w:color w:val="auto"/>
        </w:rPr>
        <w:t>PRINCIPAL ACCOUNTING FEES AND SERVICES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Information required under this Item will be contained in our definitive proxy statement, which will be filed within 120 days of December 31, 2022, our most recent fiscal year end, and is incorporated herein by reference.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19" w:right="299" w:bottom="1440" w:gutter="0" w:footer="0" w:header="0"/>
        </w:sectPr>
      </w:pPr>
    </w:p>
    <w:bookmarkStart w:id="59" w:name="page60"/>
    <w:bookmarkEnd w:id="59"/>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PART IV</w:t>
      </w:r>
    </w:p>
    <w:p>
      <w:pPr>
        <w:spacing w:after="0" w:line="145" w:lineRule="exact"/>
        <w:rPr>
          <w:sz w:val="20"/>
          <w:szCs w:val="20"/>
          <w:color w:val="auto"/>
        </w:rPr>
      </w:pPr>
    </w:p>
    <w:p>
      <w:pPr>
        <w:ind w:left="28"/>
        <w:spacing w:after="0"/>
        <w:tabs>
          <w:tab w:leader="none" w:pos="1388" w:val="left"/>
        </w:tabs>
        <w:rPr>
          <w:sz w:val="20"/>
          <w:szCs w:val="20"/>
          <w:color w:val="auto"/>
        </w:rPr>
      </w:pPr>
      <w:r>
        <w:rPr>
          <w:rFonts w:ascii="Times New Roman" w:cs="Times New Roman" w:eastAsia="Times New Roman" w:hAnsi="Times New Roman"/>
          <w:sz w:val="14"/>
          <w:szCs w:val="14"/>
          <w:b w:val="1"/>
          <w:bCs w:val="1"/>
          <w:u w:val="single" w:color="auto"/>
          <w:color w:val="auto"/>
        </w:rPr>
        <w:t>Item 15.</w:t>
      </w:r>
      <w:r>
        <w:rPr>
          <w:sz w:val="20"/>
          <w:szCs w:val="20"/>
          <w:color w:val="auto"/>
        </w:rPr>
        <w:tab/>
      </w:r>
      <w:r>
        <w:rPr>
          <w:rFonts w:ascii="Times New Roman" w:cs="Times New Roman" w:eastAsia="Times New Roman" w:hAnsi="Times New Roman"/>
          <w:sz w:val="14"/>
          <w:szCs w:val="14"/>
          <w:b w:val="1"/>
          <w:bCs w:val="1"/>
          <w:u w:val="single" w:color="auto"/>
          <w:color w:val="auto"/>
        </w:rPr>
        <w:t>EXHIBITS, FINANCIAL STATEMENT SCHEDULES</w:t>
      </w:r>
    </w:p>
    <w:p>
      <w:pPr>
        <w:spacing w:after="0" w:line="147" w:lineRule="exact"/>
        <w:rPr>
          <w:sz w:val="20"/>
          <w:szCs w:val="20"/>
          <w:color w:val="auto"/>
        </w:rPr>
      </w:pPr>
    </w:p>
    <w:p>
      <w:pPr>
        <w:ind w:left="228" w:hanging="228"/>
        <w:spacing w:after="0"/>
        <w:tabs>
          <w:tab w:leader="none" w:pos="22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Documents Filed as Part of Form 10-K</w:t>
      </w:r>
    </w:p>
    <w:p>
      <w:pPr>
        <w:spacing w:after="0" w:line="145" w:lineRule="exact"/>
        <w:rPr>
          <w:sz w:val="20"/>
          <w:szCs w:val="20"/>
          <w:color w:val="auto"/>
        </w:rPr>
      </w:pPr>
    </w:p>
    <w:p>
      <w:pPr>
        <w:ind w:left="428" w:hanging="428"/>
        <w:spacing w:after="0"/>
        <w:tabs>
          <w:tab w:leader="none" w:pos="42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Statements</w:t>
      </w:r>
    </w:p>
    <w:p>
      <w:pPr>
        <w:spacing w:after="0" w:line="145" w:lineRule="exact"/>
        <w:rPr>
          <w:rFonts w:ascii="Times New Roman" w:cs="Times New Roman" w:eastAsia="Times New Roman" w:hAnsi="Times New Roman"/>
          <w:sz w:val="14"/>
          <w:szCs w:val="14"/>
          <w:color w:val="auto"/>
        </w:rPr>
      </w:pPr>
    </w:p>
    <w:p>
      <w:pPr>
        <w:ind w:left="4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Financial Statements for the year ended December 31, 2022 are filed herewith. See Index to the Consolidated Financial Statements on page F-1 of this report.</w:t>
      </w:r>
    </w:p>
    <w:p>
      <w:pPr>
        <w:spacing w:after="0" w:line="145"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Statement Schedules</w:t>
      </w:r>
    </w:p>
    <w:p>
      <w:pPr>
        <w:spacing w:after="0" w:line="145" w:lineRule="exact"/>
        <w:rPr>
          <w:rFonts w:ascii="Times New Roman" w:cs="Times New Roman" w:eastAsia="Times New Roman" w:hAnsi="Times New Roman"/>
          <w:sz w:val="14"/>
          <w:szCs w:val="14"/>
          <w:color w:val="auto"/>
        </w:rPr>
      </w:pPr>
    </w:p>
    <w:p>
      <w:pPr>
        <w:ind w:left="428" w:right="20"/>
        <w:spacing w:after="0" w:line="28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financial statement schedules have been omitted because they are not applicable, not material, or the required information is shown in the consolidated financial statements or the notes thereto.</w:t>
      </w:r>
    </w:p>
    <w:p>
      <w:pPr>
        <w:spacing w:after="0" w:line="82" w:lineRule="exact"/>
        <w:rPr>
          <w:rFonts w:ascii="Times New Roman" w:cs="Times New Roman" w:eastAsia="Times New Roman" w:hAnsi="Times New Roman"/>
          <w:sz w:val="14"/>
          <w:szCs w:val="14"/>
          <w:color w:val="auto"/>
        </w:rPr>
      </w:pPr>
    </w:p>
    <w:p>
      <w:pPr>
        <w:ind w:left="428" w:hanging="428"/>
        <w:spacing w:after="0"/>
        <w:tabs>
          <w:tab w:leader="none" w:pos="42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tbl>
      <w:tblPr>
        <w:tblLayout w:type="fixed"/>
        <w:tblInd w:w="8" w:type="dxa"/>
        <w:tblCellMar>
          <w:top w:w="0" w:type="dxa"/>
          <w:left w:w="0" w:type="dxa"/>
          <w:bottom w:w="0" w:type="dxa"/>
          <w:right w:w="0" w:type="dxa"/>
        </w:tblCellMar>
      </w:tblPr>
      <w:tr>
        <w:trPr>
          <w:trHeight w:val="142"/>
        </w:trPr>
        <w:tc>
          <w:tcPr>
            <w:tcW w:w="420" w:type="dxa"/>
            <w:vAlign w:val="bottom"/>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ind w:left="300"/>
              <w:spacing w:after="0" w:line="142" w:lineRule="exact"/>
              <w:rPr>
                <w:rFonts w:ascii="Times New Roman" w:cs="Times New Roman" w:eastAsia="Times New Roman" w:hAnsi="Times New Roman"/>
                <w:sz w:val="14"/>
                <w:szCs w:val="14"/>
                <w:color w:val="0000EE"/>
                <w:w w:val="91"/>
              </w:rPr>
            </w:pPr>
            <w:hyperlink r:id="rId61">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1</w:t>
              </w:r>
            </w:hyperlink>
          </w:p>
        </w:tc>
        <w:tc>
          <w:tcPr>
            <w:tcW w:w="1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580" w:type="dxa"/>
            <w:vAlign w:val="bottom"/>
            <w:gridSpan w:val="30"/>
            <w:shd w:val="clear" w:color="auto" w:fill="CCEEFF"/>
          </w:tcPr>
          <w:p>
            <w:pPr>
              <w:spacing w:after="0" w:line="142"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Corrected Amended and Restated Certificate of Incorporation of Vishay Intertechnology, Inc. dated June 5, 2012. Incorporated by reference to Exhibit 3.1 to our</w:t>
              </w:r>
            </w:hyperlink>
          </w:p>
        </w:tc>
      </w:tr>
      <w:tr>
        <w:trPr>
          <w:trHeight w:val="142"/>
        </w:trPr>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460" w:type="dxa"/>
            <w:vAlign w:val="bottom"/>
            <w:tcBorders>
              <w:top w:val="single" w:sz="8" w:color="0000EE"/>
            </w:tcBorders>
            <w:gridSpan w:val="24"/>
            <w:shd w:val="clear" w:color="auto" w:fill="CCEEFF"/>
          </w:tcPr>
          <w:p>
            <w:pPr>
              <w:spacing w:after="0" w:line="142" w:lineRule="exact"/>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0000EE"/>
                </w:rPr>
                <w:t>current report on Form 8-K filed June 5, 2012.</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720" w:type="dxa"/>
            <w:vAlign w:val="bottom"/>
            <w:gridSpan w:val="2"/>
          </w:tcPr>
          <w:p>
            <w:pPr>
              <w:spacing w:after="0"/>
              <w:rPr>
                <w:sz w:val="11"/>
                <w:szCs w:val="11"/>
                <w:color w:val="auto"/>
              </w:rPr>
            </w:pPr>
          </w:p>
        </w:tc>
        <w:tc>
          <w:tcPr>
            <w:tcW w:w="180" w:type="dxa"/>
            <w:vAlign w:val="bottom"/>
          </w:tcPr>
          <w:p>
            <w:pPr>
              <w:spacing w:after="0" w:line="135" w:lineRule="exact"/>
              <w:rPr>
                <w:rFonts w:ascii="Times New Roman" w:cs="Times New Roman" w:eastAsia="Times New Roman" w:hAnsi="Times New Roman"/>
                <w:sz w:val="14"/>
                <w:szCs w:val="14"/>
                <w:color w:val="0000EE"/>
                <w:w w:val="91"/>
              </w:rPr>
            </w:pPr>
            <w:hyperlink r:id="rId62">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2</w:t>
              </w:r>
            </w:hyperlink>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580" w:type="dxa"/>
            <w:vAlign w:val="bottom"/>
            <w:gridSpan w:val="30"/>
          </w:tcPr>
          <w:p>
            <w:pPr>
              <w:spacing w:after="0" w:line="135" w:lineRule="exact"/>
              <w:rPr>
                <w:rFonts w:ascii="Times New Roman" w:cs="Times New Roman" w:eastAsia="Times New Roman" w:hAnsi="Times New Roman"/>
                <w:sz w:val="14"/>
                <w:szCs w:val="14"/>
                <w:color w:val="0000EE"/>
              </w:rPr>
            </w:pPr>
            <w:hyperlink r:id="rId62">
              <w:r>
                <w:rPr>
                  <w:rFonts w:ascii="Times New Roman" w:cs="Times New Roman" w:eastAsia="Times New Roman" w:hAnsi="Times New Roman"/>
                  <w:sz w:val="14"/>
                  <w:szCs w:val="14"/>
                  <w:color w:val="0000EE"/>
                </w:rPr>
                <w:t>Amended and Restated Bylaws dated June 1, 2011. Incorporated by reference to Exhibit 3.2 to our current report on Form 8-K filed June 2, 2011.</w:t>
              </w:r>
            </w:hyperlink>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720" w:type="dxa"/>
            <w:vAlign w:val="bottom"/>
            <w:gridSpan w:val="2"/>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rFonts w:ascii="Times New Roman" w:cs="Times New Roman" w:eastAsia="Times New Roman" w:hAnsi="Times New Roman"/>
                <w:sz w:val="14"/>
                <w:szCs w:val="14"/>
                <w:color w:val="0000EE"/>
                <w:w w:val="91"/>
              </w:rPr>
            </w:pPr>
            <w:hyperlink r:id="rId63">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3</w:t>
              </w:r>
            </w:hyperlink>
          </w:p>
        </w:tc>
        <w:tc>
          <w:tcPr>
            <w:tcW w:w="1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580" w:type="dxa"/>
            <w:vAlign w:val="bottom"/>
            <w:gridSpan w:val="30"/>
            <w:shd w:val="clear" w:color="auto" w:fill="CCEEFF"/>
          </w:tcPr>
          <w:p>
            <w:pPr>
              <w:spacing w:after="0" w:line="135" w:lineRule="exact"/>
              <w:rPr>
                <w:rFonts w:ascii="Times New Roman" w:cs="Times New Roman" w:eastAsia="Times New Roman" w:hAnsi="Times New Roman"/>
                <w:sz w:val="14"/>
                <w:szCs w:val="14"/>
                <w:color w:val="0000EE"/>
              </w:rPr>
            </w:pPr>
            <w:hyperlink r:id="rId63">
              <w:r>
                <w:rPr>
                  <w:rFonts w:ascii="Times New Roman" w:cs="Times New Roman" w:eastAsia="Times New Roman" w:hAnsi="Times New Roman"/>
                  <w:sz w:val="14"/>
                  <w:szCs w:val="14"/>
                  <w:color w:val="0000EE"/>
                </w:rPr>
                <w:t>First Amendment to Amended and Restated Bylaws. Incorporated by reference to Exhibit 3.1 to our Current Report on Form 8-K, filed on August 11, 2015.</w:t>
              </w:r>
            </w:hyperlink>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2"/>
        </w:trPr>
        <w:tc>
          <w:tcPr>
            <w:tcW w:w="720" w:type="dxa"/>
            <w:vAlign w:val="bottom"/>
            <w:gridSpan w:val="2"/>
          </w:tcPr>
          <w:p>
            <w:pPr>
              <w:spacing w:after="0"/>
              <w:rPr>
                <w:sz w:val="12"/>
                <w:szCs w:val="12"/>
                <w:color w:val="auto"/>
              </w:rPr>
            </w:pPr>
          </w:p>
        </w:tc>
        <w:tc>
          <w:tcPr>
            <w:tcW w:w="180" w:type="dxa"/>
            <w:vAlign w:val="bottom"/>
            <w:tcBorders>
              <w:bottom w:val="single" w:sz="8" w:color="0000EE"/>
            </w:tcBorders>
          </w:tcPr>
          <w:p>
            <w:pPr>
              <w:spacing w:after="0" w:line="135" w:lineRule="exact"/>
              <w:rPr>
                <w:rFonts w:ascii="Times New Roman" w:cs="Times New Roman" w:eastAsia="Times New Roman" w:hAnsi="Times New Roman"/>
                <w:sz w:val="14"/>
                <w:szCs w:val="14"/>
                <w:color w:val="0000EE"/>
                <w:w w:val="91"/>
              </w:rPr>
            </w:pPr>
            <w:hyperlink r:id="rId64">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4</w:t>
              </w:r>
            </w:hyperlink>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300" w:type="dxa"/>
            <w:vAlign w:val="bottom"/>
            <w:tcBorders>
              <w:bottom w:val="single" w:sz="8" w:color="0000EE"/>
            </w:tcBorders>
            <w:gridSpan w:val="17"/>
          </w:tcPr>
          <w:p>
            <w:pPr>
              <w:spacing w:after="0" w:line="135" w:lineRule="exact"/>
              <w:rPr>
                <w:rFonts w:ascii="Times New Roman" w:cs="Times New Roman" w:eastAsia="Times New Roman" w:hAnsi="Times New Roman"/>
                <w:sz w:val="14"/>
                <w:szCs w:val="14"/>
                <w:color w:val="0000EE"/>
              </w:rPr>
            </w:pPr>
            <w:hyperlink r:id="rId64">
              <w:r>
                <w:rPr>
                  <w:rFonts w:ascii="Times New Roman" w:cs="Times New Roman" w:eastAsia="Times New Roman" w:hAnsi="Times New Roman"/>
                  <w:sz w:val="14"/>
                  <w:szCs w:val="14"/>
                  <w:color w:val="0000EE"/>
                </w:rPr>
                <w:t>Second Amendment to Amended and Restated Bylaws. Incorporated by reference to Exhibit 3.1 to our Current Report on Form 8-K, filed on February 21, 2023.</w:t>
              </w:r>
            </w:hyperlink>
          </w:p>
        </w:tc>
        <w:tc>
          <w:tcPr>
            <w:tcW w:w="280" w:type="dxa"/>
            <w:vAlign w:val="bottom"/>
            <w:gridSpan w:val="13"/>
          </w:tcPr>
          <w:p>
            <w:pPr>
              <w:spacing w:after="0"/>
              <w:rPr>
                <w:sz w:val="12"/>
                <w:szCs w:val="12"/>
                <w:color w:val="auto"/>
              </w:rPr>
            </w:pPr>
          </w:p>
        </w:tc>
      </w:tr>
      <w:tr>
        <w:trPr>
          <w:trHeight w:val="135"/>
        </w:trPr>
        <w:tc>
          <w:tcPr>
            <w:tcW w:w="900" w:type="dxa"/>
            <w:vAlign w:val="bottom"/>
            <w:gridSpan w:val="3"/>
            <w:shd w:val="clear" w:color="auto" w:fill="CCEEFF"/>
          </w:tcPr>
          <w:p>
            <w:pPr>
              <w:ind w:left="720"/>
              <w:spacing w:after="0" w:line="135" w:lineRule="exact"/>
              <w:rPr>
                <w:rFonts w:ascii="Times New Roman" w:cs="Times New Roman" w:eastAsia="Times New Roman" w:hAnsi="Times New Roman"/>
                <w:sz w:val="14"/>
                <w:szCs w:val="14"/>
                <w:color w:val="0000EE"/>
                <w:w w:val="91"/>
              </w:rPr>
            </w:pPr>
            <w:hyperlink r:id="rId65">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1</w:t>
              </w:r>
            </w:hyperlink>
          </w:p>
        </w:tc>
        <w:tc>
          <w:tcPr>
            <w:tcW w:w="1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580" w:type="dxa"/>
            <w:vAlign w:val="bottom"/>
            <w:gridSpan w:val="30"/>
            <w:shd w:val="clear" w:color="auto" w:fill="CCEEFF"/>
          </w:tcPr>
          <w:p>
            <w:pPr>
              <w:spacing w:after="0" w:line="135"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Indenture, dated as of June 12, 2018, by and between Vishay Intertechnology, Inc. and HSBC Bank USA, N.A., as Trustee. Incorporated by reference to Exhibit</w:t>
              </w:r>
            </w:hyperlink>
          </w:p>
        </w:tc>
      </w:tr>
      <w:tr>
        <w:trPr>
          <w:trHeight w:val="142"/>
        </w:trPr>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540" w:type="dxa"/>
            <w:vAlign w:val="bottom"/>
            <w:tcBorders>
              <w:top w:val="single" w:sz="8" w:color="0000EE"/>
            </w:tcBorders>
            <w:gridSpan w:val="28"/>
            <w:shd w:val="clear" w:color="auto" w:fill="CCEEFF"/>
          </w:tcPr>
          <w:p>
            <w:pPr>
              <w:spacing w:after="0" w:line="142" w:lineRule="exact"/>
              <w:rPr>
                <w:rFonts w:ascii="Times New Roman" w:cs="Times New Roman" w:eastAsia="Times New Roman" w:hAnsi="Times New Roman"/>
                <w:sz w:val="14"/>
                <w:szCs w:val="14"/>
                <w:color w:val="0000EE"/>
              </w:rPr>
            </w:pPr>
            <w:hyperlink r:id="rId65">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our current report on Form 8-K filed June 13, 2018.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5"/>
        </w:trPr>
        <w:tc>
          <w:tcPr>
            <w:tcW w:w="900" w:type="dxa"/>
            <w:vAlign w:val="bottom"/>
            <w:gridSpan w:val="3"/>
          </w:tcPr>
          <w:p>
            <w:pPr>
              <w:ind w:left="720"/>
              <w:spacing w:after="0" w:line="135" w:lineRule="exact"/>
              <w:rPr>
                <w:rFonts w:ascii="Times New Roman" w:cs="Times New Roman" w:eastAsia="Times New Roman" w:hAnsi="Times New Roman"/>
                <w:sz w:val="14"/>
                <w:szCs w:val="14"/>
                <w:color w:val="0000EE"/>
                <w:w w:val="91"/>
              </w:rPr>
            </w:pPr>
            <w:hyperlink r:id="rId66">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2</w:t>
              </w:r>
            </w:hyperlink>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580" w:type="dxa"/>
            <w:vAlign w:val="bottom"/>
            <w:gridSpan w:val="30"/>
          </w:tcPr>
          <w:p>
            <w:pPr>
              <w:spacing w:after="0" w:line="135"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Form of Global Note, representing Vishay Intertechnology, Inc.'s  2.25% Senior Convertible Notes due 2025 (included as Exhibit A to the Indenture filed as</w:t>
              </w:r>
            </w:hyperlink>
          </w:p>
        </w:tc>
      </w:tr>
      <w:tr>
        <w:trPr>
          <w:trHeight w:val="129"/>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60" w:type="dxa"/>
            <w:vAlign w:val="bottom"/>
            <w:tcBorders>
              <w:top w:val="single" w:sz="8" w:color="0000EE"/>
              <w:bottom w:val="single" w:sz="8" w:color="0000EE"/>
            </w:tcBorders>
            <w:gridSpan w:val="6"/>
          </w:tcPr>
          <w:p>
            <w:pPr>
              <w:spacing w:after="0" w:line="122"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Exhibit 4.5). Incorporated by reference to Exhibit 4.2 to our current report on Form 8-K, filed on June 13, 2018.</w:t>
              </w:r>
            </w:hyperlink>
          </w:p>
        </w:tc>
        <w:tc>
          <w:tcPr>
            <w:tcW w:w="3000" w:type="dxa"/>
            <w:vAlign w:val="bottom"/>
            <w:tcBorders>
              <w:top w:val="single" w:sz="8" w:color="0000EE"/>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42"/>
        </w:trPr>
        <w:tc>
          <w:tcPr>
            <w:tcW w:w="720" w:type="dxa"/>
            <w:vAlign w:val="bottom"/>
            <w:tcBorders>
              <w:bottom w:val="single" w:sz="8" w:color="CCEEFF"/>
            </w:tcBorders>
            <w:gridSpan w:val="2"/>
            <w:shd w:val="clear" w:color="auto" w:fill="CCEEFF"/>
          </w:tcPr>
          <w:p>
            <w:pPr>
              <w:spacing w:after="0"/>
              <w:rPr>
                <w:sz w:val="12"/>
                <w:szCs w:val="12"/>
                <w:color w:val="auto"/>
              </w:rPr>
            </w:pPr>
          </w:p>
        </w:tc>
        <w:tc>
          <w:tcPr>
            <w:tcW w:w="180" w:type="dxa"/>
            <w:vAlign w:val="bottom"/>
            <w:tcBorders>
              <w:bottom w:val="single" w:sz="8" w:color="0000EE"/>
            </w:tcBorders>
            <w:shd w:val="clear" w:color="auto" w:fill="CCEEFF"/>
          </w:tcPr>
          <w:p>
            <w:pPr>
              <w:spacing w:after="0" w:line="135" w:lineRule="exact"/>
              <w:rPr>
                <w:rFonts w:ascii="Times New Roman" w:cs="Times New Roman" w:eastAsia="Times New Roman" w:hAnsi="Times New Roman"/>
                <w:sz w:val="14"/>
                <w:szCs w:val="14"/>
                <w:color w:val="0000EE"/>
                <w:w w:val="91"/>
              </w:rPr>
            </w:pPr>
            <w:hyperlink r:id="rId67">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3</w:t>
              </w:r>
            </w:hyperlink>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840" w:type="dxa"/>
            <w:vAlign w:val="bottom"/>
            <w:tcBorders>
              <w:bottom w:val="single" w:sz="8" w:color="0000EE"/>
            </w:tcBorders>
            <w:gridSpan w:val="15"/>
            <w:shd w:val="clear" w:color="auto" w:fill="CCEEFF"/>
          </w:tcPr>
          <w:p>
            <w:pPr>
              <w:spacing w:after="0" w:line="135"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Description of Capital Stock. Incorporated by reference to Exhibit 4.1 to our quarterly report on Form 10-Q for the fiscal quarter ended October 1, 2022.</w:t>
              </w:r>
            </w:hyperlink>
          </w:p>
        </w:tc>
        <w:tc>
          <w:tcPr>
            <w:tcW w:w="740" w:type="dxa"/>
            <w:vAlign w:val="bottom"/>
            <w:tcBorders>
              <w:bottom w:val="single" w:sz="8" w:color="CCEEFF"/>
            </w:tcBorders>
            <w:gridSpan w:val="15"/>
            <w:shd w:val="clear" w:color="auto" w:fill="CCEEFF"/>
          </w:tcPr>
          <w:p>
            <w:pPr>
              <w:spacing w:after="0"/>
              <w:rPr>
                <w:sz w:val="12"/>
                <w:szCs w:val="12"/>
                <w:color w:val="auto"/>
              </w:rPr>
            </w:pPr>
          </w:p>
        </w:tc>
      </w:tr>
      <w:tr>
        <w:trPr>
          <w:trHeight w:val="135"/>
        </w:trPr>
        <w:tc>
          <w:tcPr>
            <w:tcW w:w="900" w:type="dxa"/>
            <w:vAlign w:val="bottom"/>
            <w:gridSpan w:val="3"/>
          </w:tcPr>
          <w:p>
            <w:pPr>
              <w:ind w:left="720"/>
              <w:spacing w:after="0" w:line="135" w:lineRule="exact"/>
              <w:rPr>
                <w:rFonts w:ascii="Times New Roman" w:cs="Times New Roman" w:eastAsia="Times New Roman" w:hAnsi="Times New Roman"/>
                <w:sz w:val="14"/>
                <w:szCs w:val="14"/>
                <w:color w:val="0000EE"/>
                <w:w w:val="91"/>
              </w:rPr>
            </w:pPr>
            <w:hyperlink r:id="rId68">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4</w:t>
              </w:r>
            </w:hyperlink>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580" w:type="dxa"/>
            <w:vAlign w:val="bottom"/>
            <w:gridSpan w:val="30"/>
          </w:tcPr>
          <w:p>
            <w:pPr>
              <w:spacing w:after="0" w:line="135"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First Supplemental Indenture, dated as of December 23, 2020, by and between Vishay Intertechnology, Inc. and HSBC Bank USA, N.A., as Trustee.</w:t>
              </w:r>
            </w:hyperlink>
          </w:p>
        </w:tc>
      </w:tr>
      <w:tr>
        <w:trPr>
          <w:trHeight w:val="149"/>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0" w:type="dxa"/>
            <w:vAlign w:val="bottom"/>
            <w:tcBorders>
              <w:top w:val="single" w:sz="8" w:color="0000EE"/>
              <w:bottom w:val="single" w:sz="8" w:color="0000EE"/>
            </w:tcBorders>
            <w:gridSpan w:val="5"/>
          </w:tcPr>
          <w:p>
            <w:pPr>
              <w:spacing w:after="0" w:line="142"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Incorporated by reference to Exhibit 4.1 to our current report on Form 8-K filed January 5, 2021.</w:t>
              </w:r>
            </w:hyperlink>
          </w:p>
        </w:tc>
        <w:tc>
          <w:tcPr>
            <w:tcW w:w="3900" w:type="dxa"/>
            <w:vAlign w:val="bottom"/>
            <w:tcBorders>
              <w:top w:val="single" w:sz="8" w:color="0000EE"/>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hyperlink>
          </w:p>
        </w:tc>
        <w:tc>
          <w:tcPr>
            <w:tcW w:w="9580" w:type="dxa"/>
            <w:vAlign w:val="bottom"/>
            <w:gridSpan w:val="30"/>
            <w:shd w:val="clear" w:color="auto" w:fill="CCEEFF"/>
          </w:tcPr>
          <w:p>
            <w:pPr>
              <w:spacing w:after="0" w:line="135"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Amended and restated Vishay Intertechnology 162(m) Cash Bonus Plan. Incorporated by reference to Annex A to our Proxy Statement, dated March 31, 2017,</w:t>
              </w:r>
            </w:hyperlink>
          </w:p>
        </w:tc>
      </w:tr>
      <w:tr>
        <w:trPr>
          <w:trHeight w:val="142"/>
        </w:trPr>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480" w:type="dxa"/>
            <w:vAlign w:val="bottom"/>
            <w:tcBorders>
              <w:top w:val="single" w:sz="8" w:color="0000EE"/>
            </w:tcBorders>
            <w:gridSpan w:val="25"/>
            <w:shd w:val="clear" w:color="auto" w:fill="CCEEFF"/>
          </w:tcPr>
          <w:p>
            <w:pPr>
              <w:spacing w:after="0" w:line="142"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for our 2017 Annual Meeting of Stockholders.</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5"/>
        </w:trPr>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4"/>
          </w:tcPr>
          <w:p>
            <w:pPr>
              <w:spacing w:after="0" w:line="135"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w:t>
              </w:r>
            </w:hyperlink>
          </w:p>
        </w:tc>
        <w:tc>
          <w:tcPr>
            <w:tcW w:w="9580" w:type="dxa"/>
            <w:vAlign w:val="bottom"/>
            <w:gridSpan w:val="30"/>
          </w:tcPr>
          <w:p>
            <w:pPr>
              <w:spacing w:after="0" w:line="135"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Amended and Restated Vishay Intertechnology, Inc. 2007 Stock Incentive Program. Incorporated by reference to Annex A to our definitive proxy statement,</w:t>
              </w:r>
            </w:hyperlink>
          </w:p>
        </w:tc>
      </w:tr>
      <w:tr>
        <w:trPr>
          <w:trHeight w:val="129"/>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80" w:type="dxa"/>
            <w:vAlign w:val="bottom"/>
            <w:tcBorders>
              <w:top w:val="single" w:sz="8" w:color="0000EE"/>
              <w:bottom w:val="single" w:sz="8" w:color="0000EE"/>
            </w:tcBorders>
            <w:gridSpan w:val="3"/>
          </w:tcPr>
          <w:p>
            <w:pPr>
              <w:spacing w:after="0" w:line="122"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dated April 4, 2014, for our 2014 Annual Meeting of Stockholders.</w:t>
              </w:r>
            </w:hyperlink>
          </w:p>
        </w:tc>
        <w:tc>
          <w:tcPr>
            <w:tcW w:w="5500" w:type="dxa"/>
            <w:vAlign w:val="bottom"/>
            <w:tcBorders>
              <w:top w:val="single" w:sz="8" w:color="0000EE"/>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w:t>
            </w:r>
          </w:p>
        </w:tc>
        <w:tc>
          <w:tcPr>
            <w:tcW w:w="9580" w:type="dxa"/>
            <w:vAlign w:val="bottom"/>
            <w:gridSpan w:val="30"/>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Amended and Restated Vishay Intertechnology, Inc. 2007 Stock Incentive Program (Including Restated Annex A – Israel).</w:t>
            </w: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3"/>
          </w:tcPr>
          <w:p>
            <w:pPr>
              <w:spacing w:after="0" w:line="135"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w:t>
              </w:r>
            </w:hyperlink>
          </w:p>
        </w:tc>
        <w:tc>
          <w:tcPr>
            <w:tcW w:w="760" w:type="dxa"/>
            <w:vAlign w:val="bottom"/>
          </w:tcPr>
          <w:p>
            <w:pPr>
              <w:spacing w:after="0"/>
              <w:rPr>
                <w:sz w:val="11"/>
                <w:szCs w:val="11"/>
                <w:color w:val="auto"/>
              </w:rPr>
            </w:pPr>
          </w:p>
        </w:tc>
        <w:tc>
          <w:tcPr>
            <w:tcW w:w="9580" w:type="dxa"/>
            <w:vAlign w:val="bottom"/>
            <w:gridSpan w:val="30"/>
          </w:tcPr>
          <w:p>
            <w:pPr>
              <w:spacing w:after="0" w:line="135"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Employment agreement, dated January 1, 2004, between Vishay Europe GmbH (an indirect wholly owned subsidiary of Vishay Intertechnology, Inc.) and Dr.</w:t>
              </w:r>
            </w:hyperlink>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360" w:type="dxa"/>
            <w:vAlign w:val="bottom"/>
            <w:tcBorders>
              <w:top w:val="single" w:sz="8" w:color="0000EE"/>
            </w:tcBorders>
            <w:gridSpan w:val="19"/>
          </w:tcPr>
          <w:p>
            <w:pPr>
              <w:spacing w:after="0" w:line="142"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Gerald Paul. Incorporated by reference to Exhibit 10.3 to our quarterly report on Form 10-Q for the fiscal quarter ended October 2, 2004.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w:t>
              </w:r>
            </w:hyperlink>
          </w:p>
        </w:tc>
        <w:tc>
          <w:tcPr>
            <w:tcW w:w="9580" w:type="dxa"/>
            <w:vAlign w:val="bottom"/>
            <w:gridSpan w:val="30"/>
            <w:shd w:val="clear" w:color="auto" w:fill="CCEEFF"/>
          </w:tcPr>
          <w:p>
            <w:pPr>
              <w:spacing w:after="0" w:line="135"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Amendment to Employment Agreement, dated August 8, 2010, between Vishay Europe GmbH (an indirect wholly owned subsidiary of Vishay Intertechnology,</w:t>
              </w:r>
            </w:hyperlink>
          </w:p>
        </w:tc>
      </w:tr>
      <w:tr>
        <w:trPr>
          <w:trHeight w:val="122"/>
        </w:trPr>
        <w:tc>
          <w:tcPr>
            <w:tcW w:w="4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9520" w:type="dxa"/>
            <w:vAlign w:val="bottom"/>
            <w:tcBorders>
              <w:top w:val="single" w:sz="8" w:color="0000EE"/>
            </w:tcBorders>
            <w:gridSpan w:val="27"/>
            <w:shd w:val="clear" w:color="auto" w:fill="CCEEFF"/>
          </w:tcPr>
          <w:p>
            <w:pPr>
              <w:spacing w:after="0" w:line="122"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Inc.) and Dr. Gerald Paul. Incorporated by reference to Exhibit 10.5 to our quarterly report on Form 10-Q for the fiscal quarter ended July 3, 2010.</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4"/>
          </w:tcPr>
          <w:p>
            <w:pPr>
              <w:spacing w:after="0" w:line="135"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6†</w:t>
              </w:r>
            </w:hyperlink>
          </w:p>
        </w:tc>
        <w:tc>
          <w:tcPr>
            <w:tcW w:w="9580" w:type="dxa"/>
            <w:vAlign w:val="bottom"/>
            <w:gridSpan w:val="30"/>
          </w:tcPr>
          <w:p>
            <w:pPr>
              <w:spacing w:after="0" w:line="135"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Amendment to Employment Agreement, dated August 28, 2011, between Vishay Europe GmbH (an indirect wholly owned subsidiary of Vishay Intertechnology,</w:t>
              </w:r>
            </w:hyperlink>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360" w:type="dxa"/>
            <w:vAlign w:val="bottom"/>
            <w:tcBorders>
              <w:top w:val="single" w:sz="8" w:color="0000EE"/>
            </w:tcBorders>
            <w:gridSpan w:val="19"/>
          </w:tcPr>
          <w:p>
            <w:pPr>
              <w:spacing w:after="0" w:line="142"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Inc.) and Dr. Gerald Paul. Incorporated by reference to Exhibit 10.3 to our quarterly report on Form 10-Q for the fiscal quarter ended October 1, 2011.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7†</w:t>
              </w:r>
            </w:hyperlink>
          </w:p>
        </w:tc>
        <w:tc>
          <w:tcPr>
            <w:tcW w:w="9580" w:type="dxa"/>
            <w:vAlign w:val="bottom"/>
            <w:gridSpan w:val="30"/>
            <w:shd w:val="clear" w:color="auto" w:fill="CCEEFF"/>
          </w:tcPr>
          <w:p>
            <w:pPr>
              <w:spacing w:after="0" w:line="135"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Amendment to Employment Agreement, dated July 1, 2021, between Vishay Europe GmbH (an indirect wholly owned subsidiary of Vishay Intertechnology,</w:t>
              </w:r>
            </w:hyperlink>
          </w:p>
        </w:tc>
      </w:tr>
      <w:tr>
        <w:trPr>
          <w:trHeight w:val="122"/>
        </w:trPr>
        <w:tc>
          <w:tcPr>
            <w:tcW w:w="42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0000EE"/>
              <w:bottom w:val="single" w:sz="8" w:color="CCEEFF"/>
            </w:tcBorders>
            <w:shd w:val="clear" w:color="auto" w:fill="CCEEFF"/>
          </w:tcPr>
          <w:p>
            <w:pPr>
              <w:spacing w:after="0"/>
              <w:rPr>
                <w:sz w:val="10"/>
                <w:szCs w:val="10"/>
                <w:color w:val="auto"/>
              </w:rPr>
            </w:pPr>
          </w:p>
        </w:tc>
        <w:tc>
          <w:tcPr>
            <w:tcW w:w="140" w:type="dxa"/>
            <w:vAlign w:val="bottom"/>
            <w:tcBorders>
              <w:top w:val="single" w:sz="8" w:color="0000EE"/>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760" w:type="dxa"/>
            <w:vAlign w:val="bottom"/>
            <w:tcBorders>
              <w:top w:val="single" w:sz="8" w:color="CCEEFF"/>
              <w:bottom w:val="single" w:sz="8" w:color="CCEEFF"/>
            </w:tcBorders>
            <w:shd w:val="clear" w:color="auto" w:fill="CCEEFF"/>
          </w:tcPr>
          <w:p>
            <w:pPr>
              <w:spacing w:after="0"/>
              <w:rPr>
                <w:sz w:val="10"/>
                <w:szCs w:val="10"/>
                <w:color w:val="auto"/>
              </w:rPr>
            </w:pPr>
          </w:p>
        </w:tc>
        <w:tc>
          <w:tcPr>
            <w:tcW w:w="9400" w:type="dxa"/>
            <w:vAlign w:val="bottom"/>
            <w:tcBorders>
              <w:top w:val="single" w:sz="8" w:color="0000EE"/>
              <w:bottom w:val="single" w:sz="8" w:color="0000EE"/>
            </w:tcBorders>
            <w:gridSpan w:val="21"/>
            <w:shd w:val="clear" w:color="auto" w:fill="CCEEFF"/>
          </w:tcPr>
          <w:p>
            <w:pPr>
              <w:spacing w:after="0" w:line="122"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Inc.), Vishay Electronic GmbH (an indirect wholly owned subsidiary of Vishay Intertechnology, Inc.), and Dr. Gerald Paul. Incorporated by reference to Exhibit</w:t>
              </w:r>
            </w:hyperlink>
          </w:p>
        </w:tc>
        <w:tc>
          <w:tcPr>
            <w:tcW w:w="20" w:type="dxa"/>
            <w:vAlign w:val="bottom"/>
            <w:tcBorders>
              <w:top w:val="single" w:sz="8" w:color="CCEEFF"/>
              <w:bottom w:val="single" w:sz="8" w:color="0000EE"/>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gridSpan w:val="6"/>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49"/>
        </w:trPr>
        <w:tc>
          <w:tcPr>
            <w:tcW w:w="4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4800" w:type="dxa"/>
            <w:vAlign w:val="bottom"/>
            <w:tcBorders>
              <w:bottom w:val="single" w:sz="8" w:color="0000EE"/>
            </w:tcBorders>
            <w:gridSpan w:val="4"/>
            <w:shd w:val="clear" w:color="auto" w:fill="CCEEFF"/>
          </w:tcPr>
          <w:p>
            <w:pPr>
              <w:spacing w:after="0" w:line="142"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to our quarterly report on Form 10-Q for the fiscal quarter ended July 3, 2021.</w:t>
              </w:r>
            </w:hyperlink>
          </w:p>
        </w:tc>
        <w:tc>
          <w:tcPr>
            <w:tcW w:w="4620" w:type="dxa"/>
            <w:vAlign w:val="bottom"/>
            <w:tcBorders>
              <w:bottom w:val="single" w:sz="8" w:color="CCEEFF"/>
            </w:tcBorders>
            <w:gridSpan w:val="18"/>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gridSpan w:val="6"/>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35"/>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4"/>
          </w:tcPr>
          <w:p>
            <w:pPr>
              <w:spacing w:after="0" w:line="135"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8†</w:t>
              </w:r>
            </w:hyperlink>
          </w:p>
        </w:tc>
        <w:tc>
          <w:tcPr>
            <w:tcW w:w="9580" w:type="dxa"/>
            <w:vAlign w:val="bottom"/>
            <w:gridSpan w:val="30"/>
          </w:tcPr>
          <w:p>
            <w:pPr>
              <w:spacing w:after="0" w:line="135"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Employment Agreement, dated January 1, 2004, between Vishay Israel Ltd. (a wholly owned subsidiary of Vishay Intertechnology, Inc.) and Marc Zandman.</w:t>
              </w:r>
            </w:hyperlink>
          </w:p>
        </w:tc>
      </w:tr>
      <w:tr>
        <w:trPr>
          <w:trHeight w:val="149"/>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160" w:type="dxa"/>
            <w:vAlign w:val="bottom"/>
            <w:tcBorders>
              <w:top w:val="single" w:sz="8" w:color="0000EE"/>
              <w:bottom w:val="single" w:sz="8" w:color="0000EE"/>
            </w:tcBorders>
            <w:gridSpan w:val="8"/>
          </w:tcPr>
          <w:p>
            <w:pPr>
              <w:spacing w:after="0" w:line="142"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Incorporated by reference to Exhibit 10.2 to our quarterly report on Form 10-Q for the fiscal quarter ended October 2, 2004.</w:t>
              </w:r>
            </w:hyperlink>
          </w:p>
        </w:tc>
        <w:tc>
          <w:tcPr>
            <w:tcW w:w="2400" w:type="dxa"/>
            <w:vAlign w:val="bottom"/>
            <w:tcBorders>
              <w:top w:val="single" w:sz="8" w:color="0000EE"/>
            </w:tcBorders>
            <w:gridSpan w:val="21"/>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9†</w:t>
              </w:r>
            </w:hyperlink>
          </w:p>
        </w:tc>
        <w:tc>
          <w:tcPr>
            <w:tcW w:w="9580" w:type="dxa"/>
            <w:vAlign w:val="bottom"/>
            <w:gridSpan w:val="30"/>
            <w:shd w:val="clear" w:color="auto" w:fill="CCEEFF"/>
          </w:tcPr>
          <w:p>
            <w:pPr>
              <w:spacing w:after="0" w:line="135"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Amendment to Employment Agreement, dated August 8, 2010, between Vishay Israel Ltd. (a wholly owned subsidiary of Vishay Intertechnology, Inc.) and Marc</w:t>
              </w:r>
            </w:hyperlink>
          </w:p>
        </w:tc>
      </w:tr>
      <w:tr>
        <w:trPr>
          <w:trHeight w:val="122"/>
        </w:trPr>
        <w:tc>
          <w:tcPr>
            <w:tcW w:w="4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9480" w:type="dxa"/>
            <w:vAlign w:val="bottom"/>
            <w:tcBorders>
              <w:top w:val="single" w:sz="8" w:color="0000EE"/>
            </w:tcBorders>
            <w:gridSpan w:val="25"/>
            <w:shd w:val="clear" w:color="auto" w:fill="CCEEFF"/>
          </w:tcPr>
          <w:p>
            <w:pPr>
              <w:spacing w:after="0" w:line="122"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Zandman. Incorporated by reference to Exhibit 10.6 to our quarterly report on Form 10-Q for the fiscal quarter ended July 3, 2010.</w:t>
              </w:r>
            </w:hyperlink>
          </w:p>
        </w:tc>
        <w:tc>
          <w:tcPr>
            <w:tcW w:w="100" w:type="dxa"/>
            <w:vAlign w:val="bottom"/>
            <w:tcBorders>
              <w:top w:val="single" w:sz="8" w:color="CCEEFF"/>
            </w:tcBorders>
            <w:gridSpan w:val="5"/>
            <w:shd w:val="clear" w:color="auto" w:fill="CCEEFF"/>
          </w:tcPr>
          <w:p>
            <w:pPr>
              <w:spacing w:after="0"/>
              <w:rPr>
                <w:sz w:val="10"/>
                <w:szCs w:val="10"/>
                <w:color w:val="auto"/>
              </w:rPr>
            </w:pPr>
          </w:p>
        </w:tc>
      </w:tr>
      <w:tr>
        <w:trPr>
          <w:trHeight w:val="27"/>
        </w:trPr>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4"/>
          </w:tcPr>
          <w:p>
            <w:pPr>
              <w:spacing w:after="0" w:line="135"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10†</w:t>
              </w:r>
            </w:hyperlink>
          </w:p>
        </w:tc>
        <w:tc>
          <w:tcPr>
            <w:tcW w:w="9580" w:type="dxa"/>
            <w:vAlign w:val="bottom"/>
            <w:gridSpan w:val="30"/>
          </w:tcPr>
          <w:p>
            <w:pPr>
              <w:spacing w:after="0" w:line="135"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Amendment to Employment Agreement, dated August 30, 2011, between Vishay Israel Ltd. (a wholly owned subsidiary of Vishay Intertechnology, Inc.) and</w:t>
              </w:r>
            </w:hyperlink>
          </w:p>
        </w:tc>
      </w:tr>
      <w:tr>
        <w:trPr>
          <w:trHeight w:val="142"/>
        </w:trPr>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760" w:type="dxa"/>
            <w:vAlign w:val="bottom"/>
          </w:tcPr>
          <w:p>
            <w:pPr>
              <w:spacing w:after="0"/>
              <w:rPr>
                <w:sz w:val="12"/>
                <w:szCs w:val="12"/>
                <w:color w:val="auto"/>
              </w:rPr>
            </w:pPr>
          </w:p>
        </w:tc>
        <w:tc>
          <w:tcPr>
            <w:tcW w:w="9340" w:type="dxa"/>
            <w:vAlign w:val="bottom"/>
            <w:tcBorders>
              <w:top w:val="single" w:sz="8" w:color="0000EE"/>
            </w:tcBorders>
            <w:gridSpan w:val="18"/>
          </w:tcPr>
          <w:p>
            <w:pPr>
              <w:spacing w:after="0" w:line="142"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Marc Zandman. Incorporated by reference to Exhibit 10.2 to our quarterly report on Form 10-Q for the fiscal quarter ended October 1, 2011.</w:t>
              </w:r>
            </w:hyperlink>
          </w:p>
        </w:tc>
        <w:tc>
          <w:tcPr>
            <w:tcW w:w="100" w:type="dxa"/>
            <w:vAlign w:val="bottom"/>
            <w:gridSpan w:val="5"/>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7"/>
        </w:trPr>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8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gridSpan w:val="4"/>
            <w:shd w:val="clear" w:color="auto" w:fill="CCEEFF"/>
          </w:tcPr>
          <w:p>
            <w:pPr>
              <w:spacing w:after="0" w:line="135"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11†</w:t>
              </w:r>
            </w:hyperlink>
          </w:p>
        </w:tc>
        <w:tc>
          <w:tcPr>
            <w:tcW w:w="9580" w:type="dxa"/>
            <w:vAlign w:val="bottom"/>
            <w:gridSpan w:val="30"/>
            <w:shd w:val="clear" w:color="auto" w:fill="CCEEFF"/>
          </w:tcPr>
          <w:p>
            <w:pPr>
              <w:spacing w:after="0" w:line="135"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Amendment to Employment Agreement, dated February 23, 2021, between Vishay Israel Ltd. (a wholly owned subsidiary of Vishay Intertechnology, Inc.) and</w:t>
              </w:r>
            </w:hyperlink>
          </w:p>
        </w:tc>
      </w:tr>
      <w:tr>
        <w:trPr>
          <w:trHeight w:val="149"/>
        </w:trPr>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0000EE"/>
              <w:right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9440" w:type="dxa"/>
            <w:vAlign w:val="bottom"/>
            <w:tcBorders>
              <w:top w:val="single" w:sz="8" w:color="0000EE"/>
            </w:tcBorders>
            <w:gridSpan w:val="23"/>
            <w:shd w:val="clear" w:color="auto" w:fill="CCEEFF"/>
          </w:tcPr>
          <w:p>
            <w:pPr>
              <w:spacing w:after="0" w:line="142"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Marc Zandman. Incorporated by reference to Exhibit 10.1 to our quarterly report on Form 10-Q for the fiscal quarter ended April 3, 2021.</w:t>
              </w:r>
            </w:hyperlink>
          </w:p>
        </w:tc>
        <w:tc>
          <w:tcPr>
            <w:tcW w:w="140" w:type="dxa"/>
            <w:vAlign w:val="bottom"/>
            <w:tcBorders>
              <w:top w:val="single" w:sz="8" w:color="CCEEFF"/>
            </w:tcBorders>
            <w:gridSpan w:val="7"/>
            <w:shd w:val="clear" w:color="auto" w:fill="CCEEFF"/>
          </w:tcPr>
          <w:p>
            <w:pPr>
              <w:spacing w:after="0"/>
              <w:rPr>
                <w:sz w:val="12"/>
                <w:szCs w:val="12"/>
                <w:color w:val="auto"/>
              </w:rPr>
            </w:pPr>
          </w:p>
        </w:tc>
      </w:tr>
      <w:tr>
        <w:trPr>
          <w:trHeight w:val="270"/>
        </w:trPr>
        <w:tc>
          <w:tcPr>
            <w:tcW w:w="4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80" w:type="dxa"/>
            <w:vAlign w:val="bottom"/>
            <w:tcBorders>
              <w:top w:val="single" w:sz="8" w:color="0000EE"/>
            </w:tcBorders>
            <w:gridSpan w:val="3"/>
          </w:tcPr>
          <w:p>
            <w:pPr>
              <w:ind w:left="3640"/>
              <w:spacing w:after="0"/>
              <w:rPr>
                <w:sz w:val="20"/>
                <w:szCs w:val="20"/>
                <w:color w:val="auto"/>
              </w:rPr>
            </w:pPr>
            <w:r>
              <w:rPr>
                <w:rFonts w:ascii="Times New Roman" w:cs="Times New Roman" w:eastAsia="Times New Roman" w:hAnsi="Times New Roman"/>
                <w:sz w:val="12"/>
                <w:szCs w:val="12"/>
                <w:color w:val="auto"/>
              </w:rPr>
              <w:t>60</w:t>
            </w:r>
          </w:p>
        </w:tc>
        <w:tc>
          <w:tcPr>
            <w:tcW w:w="92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86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36"/>
        </w:trPr>
        <w:tc>
          <w:tcPr>
            <w:tcW w:w="4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308"/>
          </w:cols>
          <w:pgMar w:left="292" w:top="524" w:right="29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12</w:t>
              </w:r>
              <w:r>
                <w:rPr>
                  <w:rFonts w:ascii="Times New Roman" w:cs="Times New Roman" w:eastAsia="Times New Roman" w:hAnsi="Times New Roman"/>
                  <w:sz w:val="11"/>
                  <w:szCs w:val="11"/>
                  <w:color w:val="0000EE"/>
                </w:rPr>
                <w:t>†</w:t>
              </w:r>
            </w:hyperlink>
          </w:p>
        </w:tc>
        <w:tc>
          <w:tcPr>
            <w:tcW w:w="9820" w:type="dxa"/>
            <w:vAlign w:val="bottom"/>
            <w:tcBorders>
              <w:right w:val="single" w:sz="8" w:color="CCEEFF"/>
            </w:tcBorders>
            <w:gridSpan w:val="39"/>
            <w:shd w:val="clear" w:color="auto" w:fill="CCEEFF"/>
          </w:tcPr>
          <w:p>
            <w:pPr>
              <w:spacing w:after="0"/>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Amendment to Employment Agreement, dated July 14, 2022, between Vishay Israel Ltd. (a wholly owned subsidiary of Vishay Intertechnology, Inc.) and Marc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6220" w:type="dxa"/>
            <w:vAlign w:val="bottom"/>
            <w:tcBorders>
              <w:top w:val="single" w:sz="8" w:color="0000EE"/>
              <w:bottom w:val="single" w:sz="8" w:color="0000EE"/>
            </w:tcBorders>
            <w:gridSpan w:val="10"/>
            <w:shd w:val="clear" w:color="auto" w:fill="CCEEFF"/>
          </w:tcPr>
          <w:p>
            <w:pPr>
              <w:spacing w:after="0" w:line="142"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Zandman. Incorporated by reference to Exhibit 10.1 to our current report on Form 8-K, filed July 18, 2022.</w:t>
              </w:r>
            </w:hyperlink>
          </w:p>
        </w:tc>
        <w:tc>
          <w:tcPr>
            <w:tcW w:w="3520" w:type="dxa"/>
            <w:vAlign w:val="bottom"/>
            <w:tcBorders>
              <w:top w:val="single" w:sz="8" w:color="0000EE"/>
              <w:bottom w:val="single" w:sz="8" w:color="CCEEFF"/>
            </w:tcBorders>
            <w:gridSpan w:val="26"/>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13†</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Employment Agreement, dated February 15, 2018, between Vishay Americas, Inc. (a wholly owned subsidiary of Vishay Intertechnology, Inc.), Vishay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780" w:type="dxa"/>
            <w:vAlign w:val="bottom"/>
            <w:tcBorders>
              <w:top w:val="single" w:sz="8" w:color="0000EE"/>
            </w:tcBorders>
            <w:gridSpan w:val="38"/>
          </w:tcPr>
          <w:p>
            <w:pPr>
              <w:spacing w:after="0" w:line="122" w:lineRule="exact"/>
              <w:rPr>
                <w:rFonts w:ascii="Times New Roman" w:cs="Times New Roman" w:eastAsia="Times New Roman" w:hAnsi="Times New Roman"/>
                <w:sz w:val="14"/>
                <w:szCs w:val="14"/>
                <w:color w:val="0000EE"/>
              </w:rPr>
            </w:pPr>
            <w:hyperlink r:id="rId80">
              <w:r>
                <w:rPr>
                  <w:rFonts w:ascii="Times New Roman" w:cs="Times New Roman" w:eastAsia="Times New Roman" w:hAnsi="Times New Roman"/>
                  <w:sz w:val="14"/>
                  <w:szCs w:val="14"/>
                  <w:color w:val="0000EE"/>
                </w:rPr>
                <w:t>Intertechnology, Inc., and Joel Smejkal. Incorporated by reference to Exhibit 10.5 to our current report on Form 8-K, filed on February 16, 2018.</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500" w:type="dxa"/>
            <w:vAlign w:val="bottom"/>
            <w:tcBorders>
              <w:left w:val="single" w:sz="8" w:color="0000EE"/>
            </w:tcBorders>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9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14†</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Amendment to Employment Agreement between Vishay Dale Electronics, LLC (a wholly owned subsidiary of Vishay Intertechnology, Inc.),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660" w:type="dxa"/>
            <w:vAlign w:val="bottom"/>
            <w:tcBorders>
              <w:top w:val="single" w:sz="8" w:color="0000EE"/>
            </w:tcBorders>
            <w:gridSpan w:val="32"/>
            <w:shd w:val="clear" w:color="auto" w:fill="CCEEFF"/>
          </w:tcPr>
          <w:p>
            <w:pPr>
              <w:spacing w:after="0" w:line="142"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Intertechnology, Inc., and Joel Smejkal dated May 20, 2020. Incorporated by reference to Exhibit 10.1 to our quarterly report on Form 10-Q for the fiscal quarter</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right w:val="single" w:sz="8" w:color="CCEEFF"/>
            </w:tcBorders>
            <w:gridSpan w:val="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140" w:type="dxa"/>
            <w:vAlign w:val="bottom"/>
            <w:tcBorders>
              <w:top w:val="single" w:sz="8" w:color="0000EE"/>
              <w:bottom w:val="single" w:sz="8" w:color="0000EE"/>
              <w:right w:val="single" w:sz="8" w:color="CCEEFF"/>
            </w:tcBorders>
            <w:gridSpan w:val="4"/>
            <w:shd w:val="clear" w:color="auto" w:fill="CCEEFF"/>
          </w:tcPr>
          <w:p>
            <w:pPr>
              <w:spacing w:after="0" w:line="142"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ended July 4, 2020.</w:t>
              </w:r>
            </w:hyperlink>
          </w:p>
        </w:tc>
        <w:tc>
          <w:tcPr>
            <w:tcW w:w="8260" w:type="dxa"/>
            <w:vAlign w:val="bottom"/>
            <w:tcBorders>
              <w:top w:val="single" w:sz="8" w:color="0000EE"/>
              <w:bottom w:val="single" w:sz="8" w:color="CCEEFF"/>
            </w:tcBorders>
            <w:gridSpan w:val="15"/>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15†</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Second Amendment to Employment Agreement, dated February 23, 2021, between Vishay Dale Electronics, LLC (a wholly owned subsidiary of Vishay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700" w:type="dxa"/>
            <w:vAlign w:val="bottom"/>
            <w:tcBorders>
              <w:top w:val="single" w:sz="8" w:color="0000EE"/>
            </w:tcBorders>
            <w:gridSpan w:val="34"/>
          </w:tcPr>
          <w:p>
            <w:pPr>
              <w:spacing w:after="0" w:line="122"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Intertechnology, Inc.), Vishay Intertechnology, Inc., and Joel Smejkal.  Incorporated by reference to Exhibit 10.6 to our quarterly report on Form 10-Q for the</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20" w:type="dxa"/>
            <w:vAlign w:val="bottom"/>
            <w:tcBorders>
              <w:top w:val="single" w:sz="8" w:color="0000EE"/>
            </w:tcBorders>
            <w:gridSpan w:val="30"/>
          </w:tcPr>
          <w:p>
            <w:pPr>
              <w:spacing w:after="0" w:line="142"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fiscal quarter ended April 3,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500" w:type="dxa"/>
            <w:vAlign w:val="bottom"/>
            <w:tcBorders>
              <w:left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16†</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Amended and Restated Employment Agreement, dated July 14, 2022, between Vishay Dale Electronics LLC (a wholly owned subsidiary of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9580" w:type="dxa"/>
            <w:vAlign w:val="bottom"/>
            <w:tcBorders>
              <w:top w:val="single" w:sz="8" w:color="0000EE"/>
              <w:bottom w:val="single" w:sz="8" w:color="0000EE"/>
            </w:tcBorders>
            <w:gridSpan w:val="28"/>
            <w:shd w:val="clear" w:color="auto" w:fill="CCEEFF"/>
          </w:tcPr>
          <w:p>
            <w:pPr>
              <w:spacing w:after="0" w:line="142"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Intertechnology, Inc.), Vishay Intertechnology, Inc., and Joel Smejkal. Incorporated by reference to Exhibit 10.2 to our current report on Form 8-K, filed July 18,</w:t>
              </w:r>
            </w:hyperlink>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EE"/>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0000EE"/>
              <w:right w:val="single" w:sz="8" w:color="CCEEFF"/>
            </w:tcBorders>
            <w:gridSpan w:val="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0000EE"/>
            </w:tcBorders>
            <w:shd w:val="clear" w:color="auto" w:fill="CCEEFF"/>
          </w:tcPr>
          <w:p>
            <w:pPr>
              <w:spacing w:after="0" w:line="142"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2022.</w:t>
              </w:r>
            </w:hyperlink>
          </w:p>
        </w:tc>
        <w:tc>
          <w:tcPr>
            <w:tcW w:w="2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right w:val="single" w:sz="8" w:color="CCEEFF"/>
            </w:tcBorders>
            <w:shd w:val="clear" w:color="auto" w:fill="CCEEFF"/>
          </w:tcPr>
          <w:p>
            <w:pPr>
              <w:spacing w:after="0"/>
              <w:rPr>
                <w:sz w:val="12"/>
                <w:szCs w:val="12"/>
                <w:color w:val="auto"/>
              </w:rPr>
            </w:pPr>
          </w:p>
        </w:tc>
        <w:tc>
          <w:tcPr>
            <w:tcW w:w="280" w:type="dxa"/>
            <w:vAlign w:val="bottom"/>
            <w:tcBorders>
              <w:bottom w:val="single" w:sz="8" w:color="CCEEFF"/>
              <w:right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left w:val="single" w:sz="8" w:color="CCEEFF"/>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640" w:type="dxa"/>
            <w:vAlign w:val="bottom"/>
            <w:tcBorders>
              <w:bottom w:val="single" w:sz="8" w:color="CCEEFF"/>
            </w:tcBorders>
            <w:shd w:val="clear" w:color="auto" w:fill="CCEEFF"/>
          </w:tcPr>
          <w:p>
            <w:pPr>
              <w:spacing w:after="0"/>
              <w:rPr>
                <w:sz w:val="12"/>
                <w:szCs w:val="12"/>
                <w:color w:val="auto"/>
              </w:rPr>
            </w:pPr>
          </w:p>
        </w:tc>
        <w:tc>
          <w:tcPr>
            <w:tcW w:w="19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17†</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Employment Agreement, dated February 15, 2018, between Vishay Europe GmbH (an indirect wholly owned subsidiary of Vishay Intertechnology, Inc.), Vishay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680" w:type="dxa"/>
            <w:vAlign w:val="bottom"/>
            <w:tcBorders>
              <w:top w:val="single" w:sz="8" w:color="0000EE"/>
            </w:tcBorders>
            <w:gridSpan w:val="33"/>
          </w:tcPr>
          <w:p>
            <w:pPr>
              <w:spacing w:after="0" w:line="122" w:lineRule="exact"/>
              <w:rPr>
                <w:rFonts w:ascii="Times New Roman" w:cs="Times New Roman" w:eastAsia="Times New Roman" w:hAnsi="Times New Roman"/>
                <w:sz w:val="14"/>
                <w:szCs w:val="14"/>
                <w:color w:val="0000EE"/>
              </w:rPr>
            </w:pPr>
            <w:hyperlink r:id="rId84">
              <w:r>
                <w:rPr>
                  <w:rFonts w:ascii="Times New Roman" w:cs="Times New Roman" w:eastAsia="Times New Roman" w:hAnsi="Times New Roman"/>
                  <w:sz w:val="14"/>
                  <w:szCs w:val="14"/>
                  <w:color w:val="0000EE"/>
                </w:rPr>
                <w:t>Intertechnology, Inc., and Lori Lipcaman. Incorporated by reference to Exhibit 10.1 to our current report on Form 8-K, filed on February 16, 2018.</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500" w:type="dxa"/>
            <w:vAlign w:val="bottom"/>
            <w:tcBorders>
              <w:left w:val="single" w:sz="8" w:color="0000EE"/>
            </w:tcBorders>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9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18†</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First Amendment to Employment Agreement, dated February 28, 2020, between Vishay Europe GmbH (an indirect wholly owned subsidiary of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9500" w:type="dxa"/>
            <w:vAlign w:val="bottom"/>
            <w:tcBorders>
              <w:top w:val="single" w:sz="8" w:color="0000EE"/>
              <w:bottom w:val="single" w:sz="8" w:color="0000EE"/>
            </w:tcBorders>
            <w:gridSpan w:val="24"/>
            <w:shd w:val="clear" w:color="auto" w:fill="CCEEFF"/>
          </w:tcPr>
          <w:p>
            <w:pPr>
              <w:spacing w:after="0" w:line="142"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Intertechnology, Inc.), Vishay Intertechnology, Inc., and Lori Lipcaman.  Incorporated by reference to Exhibit 10.1 to our current report on Form 8-K, filed</w:t>
              </w:r>
            </w:hyperlink>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20" w:type="dxa"/>
            <w:vAlign w:val="bottom"/>
            <w:tcBorders>
              <w:top w:val="single" w:sz="8" w:color="CCEEFF"/>
              <w:bottom w:val="single" w:sz="8" w:color="0000EE"/>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right w:val="single" w:sz="8" w:color="CCEEFF"/>
            </w:tcBorders>
            <w:gridSpan w:val="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0" w:type="dxa"/>
            <w:vAlign w:val="bottom"/>
            <w:gridSpan w:val="29"/>
            <w:shd w:val="clear" w:color="auto" w:fill="CCEEFF"/>
          </w:tcPr>
          <w:p>
            <w:pPr>
              <w:spacing w:after="0" w:line="142"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February 28, 2020.</w:t>
              </w:r>
            </w:hyperlink>
          </w:p>
        </w:tc>
        <w:tc>
          <w:tcPr>
            <w:tcW w:w="40" w:type="dxa"/>
            <w:vAlign w:val="bottom"/>
            <w:gridSpan w:val="2"/>
            <w:shd w:val="clear" w:color="auto" w:fill="CCEEFF"/>
          </w:tcPr>
          <w:p>
            <w:pPr>
              <w:spacing w:after="0"/>
              <w:rPr>
                <w:sz w:val="12"/>
                <w:szCs w:val="12"/>
                <w:color w:val="auto"/>
              </w:rPr>
            </w:pPr>
          </w:p>
        </w:tc>
        <w:tc>
          <w:tcPr>
            <w:tcW w:w="80" w:type="dxa"/>
            <w:vAlign w:val="bottom"/>
            <w:gridSpan w:val="4"/>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60" w:type="dxa"/>
            <w:vAlign w:val="bottom"/>
            <w:tcBorders>
              <w:right w:val="single" w:sz="8" w:color="CCEEFF"/>
            </w:tcBorders>
            <w:gridSpan w:val="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CCEEFF"/>
            </w:tcBorders>
            <w:shd w:val="clear" w:color="auto" w:fill="0000EE"/>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500" w:type="dxa"/>
            <w:vAlign w:val="bottom"/>
            <w:tcBorders>
              <w:left w:val="single" w:sz="8" w:color="CCEEFF"/>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20" w:type="dxa"/>
            <w:vAlign w:val="bottom"/>
          </w:tcPr>
          <w:p>
            <w:pPr>
              <w:spacing w:after="0"/>
              <w:rPr>
                <w:sz w:val="13"/>
                <w:szCs w:val="13"/>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19†</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Second Amendment to Employment Agreement, dated February 23, 2021, between Vishay Europe GmbH (an indirect wholly owned subsidiary of Vishay</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360" w:type="dxa"/>
            <w:vAlign w:val="bottom"/>
            <w:tcBorders>
              <w:top w:val="single" w:sz="8" w:color="0000EE"/>
              <w:bottom w:val="single" w:sz="8" w:color="0000EE"/>
            </w:tcBorders>
            <w:gridSpan w:val="17"/>
          </w:tcPr>
          <w:p>
            <w:pPr>
              <w:spacing w:after="0" w:line="122"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Intertechnology, Inc.), Vishay Intertechnology, Inc., and Lori Lipcaman. Incorporated by reference to Exhibit 10.2 to our quarterly report on Form 10-Q for the</w:t>
              </w:r>
            </w:hyperlink>
          </w:p>
        </w:tc>
        <w:tc>
          <w:tcPr>
            <w:tcW w:w="20" w:type="dxa"/>
            <w:vAlign w:val="bottom"/>
            <w:tcBorders>
              <w:bottom w:val="single" w:sz="8" w:color="0000EE"/>
            </w:tcBorders>
          </w:tcPr>
          <w:p>
            <w:pPr>
              <w:spacing w:after="0"/>
              <w:rPr>
                <w:sz w:val="10"/>
                <w:szCs w:val="10"/>
                <w:color w:val="auto"/>
              </w:rPr>
            </w:pPr>
          </w:p>
        </w:tc>
        <w:tc>
          <w:tcPr>
            <w:tcW w:w="40" w:type="dxa"/>
            <w:vAlign w:val="bottom"/>
            <w:tcBorders>
              <w:bottom w:val="single" w:sz="8" w:color="0000EE"/>
            </w:tcBorders>
            <w:gridSpan w:val="2"/>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40" w:type="dxa"/>
            <w:vAlign w:val="bottom"/>
            <w:tcBorders>
              <w:bottom w:val="single" w:sz="8" w:color="0000EE"/>
            </w:tcBorders>
            <w:gridSpan w:val="2"/>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60" w:type="dxa"/>
            <w:vAlign w:val="bottom"/>
            <w:tcBorders>
              <w:bottom w:val="single" w:sz="8" w:color="0000EE"/>
            </w:tcBorders>
            <w:gridSpan w:val="3"/>
          </w:tcPr>
          <w:p>
            <w:pPr>
              <w:spacing w:after="0"/>
              <w:rPr>
                <w:sz w:val="10"/>
                <w:szCs w:val="10"/>
                <w:color w:val="auto"/>
              </w:rPr>
            </w:pPr>
          </w:p>
        </w:tc>
        <w:tc>
          <w:tcPr>
            <w:tcW w:w="80" w:type="dxa"/>
            <w:vAlign w:val="bottom"/>
            <w:tcBorders>
              <w:bottom w:val="single" w:sz="8" w:color="0000EE"/>
            </w:tcBorders>
            <w:gridSpan w:val="4"/>
          </w:tcPr>
          <w:p>
            <w:pPr>
              <w:spacing w:after="0"/>
              <w:rPr>
                <w:sz w:val="10"/>
                <w:szCs w:val="10"/>
                <w:color w:val="auto"/>
              </w:rPr>
            </w:pPr>
          </w:p>
        </w:tc>
        <w:tc>
          <w:tcPr>
            <w:tcW w:w="40" w:type="dxa"/>
            <w:vAlign w:val="bottom"/>
            <w:tcBorders>
              <w:bottom w:val="single" w:sz="8" w:color="0000EE"/>
            </w:tcBorders>
            <w:gridSpan w:val="2"/>
          </w:tcPr>
          <w:p>
            <w:pPr>
              <w:spacing w:after="0"/>
              <w:rPr>
                <w:sz w:val="10"/>
                <w:szCs w:val="10"/>
                <w:color w:val="auto"/>
              </w:rPr>
            </w:pPr>
          </w:p>
        </w:tc>
        <w:tc>
          <w:tcPr>
            <w:tcW w:w="60" w:type="dxa"/>
            <w:vAlign w:val="bottom"/>
            <w:tcBorders>
              <w:bottom w:val="single" w:sz="8" w:color="0000EE"/>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20" w:type="dxa"/>
            <w:vAlign w:val="bottom"/>
            <w:gridSpan w:val="39"/>
          </w:tcPr>
          <w:p>
            <w:pPr>
              <w:spacing w:after="0" w:line="142" w:lineRule="exact"/>
              <w:rPr>
                <w:rFonts w:ascii="Times New Roman" w:cs="Times New Roman" w:eastAsia="Times New Roman" w:hAnsi="Times New Roman"/>
                <w:sz w:val="14"/>
                <w:szCs w:val="14"/>
                <w:color w:val="0000EE"/>
              </w:rPr>
            </w:pPr>
            <w:hyperlink r:id="rId86">
              <w:r>
                <w:rPr>
                  <w:rFonts w:ascii="Times New Roman" w:cs="Times New Roman" w:eastAsia="Times New Roman" w:hAnsi="Times New Roman"/>
                  <w:sz w:val="14"/>
                  <w:szCs w:val="14"/>
                  <w:color w:val="0000EE"/>
                </w:rPr>
                <w:t>fiscal quarter ended April 3, 2021.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500" w:type="dxa"/>
            <w:vAlign w:val="bottom"/>
            <w:tcBorders>
              <w:left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20†</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Third Amendment to Employment Agreement, dated July 14, 2022, between Vishay Europe GmbH (an indirect wholly owned subsidiary of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540" w:type="dxa"/>
            <w:vAlign w:val="bottom"/>
            <w:tcBorders>
              <w:top w:val="single" w:sz="8" w:color="0000EE"/>
            </w:tcBorders>
            <w:gridSpan w:val="26"/>
            <w:shd w:val="clear" w:color="auto" w:fill="CCEEFF"/>
          </w:tcPr>
          <w:p>
            <w:pPr>
              <w:spacing w:after="0" w:line="142"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Intertechnology, Inc.), Vishay Intertechnology, Inc., and Lori Lipcaman. Incorporated by reference to Exhibit 10.3 to our current report on Form 8-K, filed July</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right w:val="single" w:sz="8" w:color="CCEEFF"/>
            </w:tcBorders>
            <w:gridSpan w:val="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0000EE"/>
              <w:right w:val="single" w:sz="8" w:color="CCEEFF"/>
            </w:tcBorders>
            <w:gridSpan w:val="3"/>
            <w:shd w:val="clear" w:color="auto" w:fill="CCEEFF"/>
          </w:tcPr>
          <w:p>
            <w:pPr>
              <w:spacing w:after="0" w:line="142"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18, 2022.</w:t>
              </w:r>
            </w:hyperlink>
          </w:p>
        </w:tc>
        <w:tc>
          <w:tcPr>
            <w:tcW w:w="280" w:type="dxa"/>
            <w:vAlign w:val="bottom"/>
            <w:tcBorders>
              <w:top w:val="single" w:sz="8" w:color="0000EE"/>
              <w:right w:val="single" w:sz="8" w:color="CCEEFF"/>
            </w:tcBorders>
            <w:shd w:val="clear" w:color="auto" w:fill="CCEEFF"/>
          </w:tcPr>
          <w:p>
            <w:pPr>
              <w:spacing w:after="0"/>
              <w:rPr>
                <w:sz w:val="12"/>
                <w:szCs w:val="12"/>
                <w:color w:val="auto"/>
              </w:rPr>
            </w:pPr>
          </w:p>
        </w:tc>
        <w:tc>
          <w:tcPr>
            <w:tcW w:w="820" w:type="dxa"/>
            <w:vAlign w:val="bottom"/>
            <w:tcBorders>
              <w:top w:val="single" w:sz="8" w:color="0000EE"/>
            </w:tcBorders>
            <w:shd w:val="clear" w:color="auto" w:fill="CCEEFF"/>
          </w:tcPr>
          <w:p>
            <w:pPr>
              <w:spacing w:after="0"/>
              <w:rPr>
                <w:sz w:val="12"/>
                <w:szCs w:val="12"/>
                <w:color w:val="auto"/>
              </w:rPr>
            </w:pPr>
          </w:p>
        </w:tc>
        <w:tc>
          <w:tcPr>
            <w:tcW w:w="1500" w:type="dxa"/>
            <w:vAlign w:val="bottom"/>
            <w:tcBorders>
              <w:top w:val="single" w:sz="8" w:color="0000EE"/>
              <w:left w:val="single" w:sz="8" w:color="CCEEFF"/>
            </w:tcBorders>
            <w:shd w:val="clear" w:color="auto" w:fill="CCEEFF"/>
          </w:tcPr>
          <w:p>
            <w:pPr>
              <w:spacing w:after="0"/>
              <w:rPr>
                <w:sz w:val="12"/>
                <w:szCs w:val="12"/>
                <w:color w:val="auto"/>
              </w:rPr>
            </w:pPr>
          </w:p>
        </w:tc>
        <w:tc>
          <w:tcPr>
            <w:tcW w:w="740" w:type="dxa"/>
            <w:vAlign w:val="bottom"/>
            <w:tcBorders>
              <w:top w:val="single" w:sz="8" w:color="0000EE"/>
            </w:tcBorders>
            <w:shd w:val="clear" w:color="auto" w:fill="CCEEFF"/>
          </w:tcPr>
          <w:p>
            <w:pPr>
              <w:spacing w:after="0"/>
              <w:rPr>
                <w:sz w:val="12"/>
                <w:szCs w:val="12"/>
                <w:color w:val="auto"/>
              </w:rPr>
            </w:pPr>
          </w:p>
        </w:tc>
        <w:tc>
          <w:tcPr>
            <w:tcW w:w="140" w:type="dxa"/>
            <w:vAlign w:val="bottom"/>
            <w:tcBorders>
              <w:top w:val="single" w:sz="8" w:color="0000EE"/>
            </w:tcBorders>
            <w:shd w:val="clear" w:color="auto" w:fill="CCEEFF"/>
          </w:tcPr>
          <w:p>
            <w:pPr>
              <w:spacing w:after="0"/>
              <w:rPr>
                <w:sz w:val="12"/>
                <w:szCs w:val="12"/>
                <w:color w:val="auto"/>
              </w:rPr>
            </w:pPr>
          </w:p>
        </w:tc>
        <w:tc>
          <w:tcPr>
            <w:tcW w:w="240" w:type="dxa"/>
            <w:vAlign w:val="bottom"/>
            <w:tcBorders>
              <w:top w:val="single" w:sz="8" w:color="0000EE"/>
            </w:tcBorders>
            <w:shd w:val="clear" w:color="auto" w:fill="CCEEFF"/>
          </w:tcPr>
          <w:p>
            <w:pPr>
              <w:spacing w:after="0"/>
              <w:rPr>
                <w:sz w:val="12"/>
                <w:szCs w:val="12"/>
                <w:color w:val="auto"/>
              </w:rPr>
            </w:pPr>
          </w:p>
        </w:tc>
        <w:tc>
          <w:tcPr>
            <w:tcW w:w="1640" w:type="dxa"/>
            <w:vAlign w:val="bottom"/>
            <w:tcBorders>
              <w:top w:val="single" w:sz="8" w:color="0000EE"/>
            </w:tcBorders>
            <w:shd w:val="clear" w:color="auto" w:fill="CCEEFF"/>
          </w:tcPr>
          <w:p>
            <w:pPr>
              <w:spacing w:after="0"/>
              <w:rPr>
                <w:sz w:val="12"/>
                <w:szCs w:val="12"/>
                <w:color w:val="auto"/>
              </w:rPr>
            </w:pPr>
          </w:p>
        </w:tc>
        <w:tc>
          <w:tcPr>
            <w:tcW w:w="1980" w:type="dxa"/>
            <w:vAlign w:val="bottom"/>
            <w:tcBorders>
              <w:top w:val="single" w:sz="8" w:color="0000EE"/>
            </w:tcBorders>
            <w:shd w:val="clear" w:color="auto" w:fill="CCEEFF"/>
          </w:tcPr>
          <w:p>
            <w:pPr>
              <w:spacing w:after="0"/>
              <w:rPr>
                <w:sz w:val="12"/>
                <w:szCs w:val="12"/>
                <w:color w:val="auto"/>
              </w:rPr>
            </w:pPr>
          </w:p>
        </w:tc>
        <w:tc>
          <w:tcPr>
            <w:tcW w:w="180" w:type="dxa"/>
            <w:vAlign w:val="bottom"/>
            <w:tcBorders>
              <w:top w:val="single" w:sz="8" w:color="0000EE"/>
            </w:tcBorders>
            <w:shd w:val="clear" w:color="auto" w:fill="CCEEFF"/>
          </w:tcPr>
          <w:p>
            <w:pPr>
              <w:spacing w:after="0"/>
              <w:rPr>
                <w:sz w:val="12"/>
                <w:szCs w:val="12"/>
                <w:color w:val="auto"/>
              </w:rPr>
            </w:pPr>
          </w:p>
        </w:tc>
        <w:tc>
          <w:tcPr>
            <w:tcW w:w="120" w:type="dxa"/>
            <w:vAlign w:val="bottom"/>
            <w:tcBorders>
              <w:top w:val="single" w:sz="8" w:color="0000EE"/>
              <w:right w:val="single" w:sz="8" w:color="CCEEFF"/>
            </w:tcBorders>
            <w:shd w:val="clear" w:color="auto" w:fill="CCEEFF"/>
          </w:tcPr>
          <w:p>
            <w:pPr>
              <w:spacing w:after="0"/>
              <w:rPr>
                <w:sz w:val="12"/>
                <w:szCs w:val="12"/>
                <w:color w:val="auto"/>
              </w:rPr>
            </w:pPr>
          </w:p>
        </w:tc>
        <w:tc>
          <w:tcPr>
            <w:tcW w:w="12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0000EE"/>
            </w:tcBorders>
            <w:shd w:val="clear" w:color="auto" w:fill="CCEEFF"/>
          </w:tcPr>
          <w:p>
            <w:pPr>
              <w:spacing w:after="0"/>
              <w:rPr>
                <w:sz w:val="12"/>
                <w:szCs w:val="12"/>
                <w:color w:val="auto"/>
              </w:rPr>
            </w:pPr>
          </w:p>
        </w:tc>
        <w:tc>
          <w:tcPr>
            <w:tcW w:w="120" w:type="dxa"/>
            <w:vAlign w:val="bottom"/>
            <w:tcBorders>
              <w:top w:val="single" w:sz="8" w:color="0000EE"/>
            </w:tcBorders>
            <w:shd w:val="clear" w:color="auto" w:fill="CCEEFF"/>
          </w:tcPr>
          <w:p>
            <w:pPr>
              <w:spacing w:after="0"/>
              <w:rPr>
                <w:sz w:val="12"/>
                <w:szCs w:val="12"/>
                <w:color w:val="auto"/>
              </w:rPr>
            </w:pPr>
          </w:p>
        </w:tc>
        <w:tc>
          <w:tcPr>
            <w:tcW w:w="54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500" w:type="dxa"/>
            <w:vAlign w:val="bottom"/>
            <w:tcBorders>
              <w:left w:val="single" w:sz="8" w:color="CCEEFF"/>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21†</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Terms and Conditions of Johan Vandoorn Employment Agreement, dated January 16, 2012. Incorporated by reference to Exhibit 10.31 to our 2011 annual report</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760" w:type="dxa"/>
            <w:vAlign w:val="bottom"/>
            <w:tcBorders>
              <w:top w:val="single" w:sz="8" w:color="0000EE"/>
            </w:tcBorders>
            <w:gridSpan w:val="37"/>
          </w:tcPr>
          <w:p>
            <w:pPr>
              <w:spacing w:after="0" w:line="142"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on Form 10-K.</w:t>
              </w:r>
            </w:hyperlink>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22†</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Amendment to Terms and Conditions of Johan Vandoorn Employment Agreement, dated March 4, 2014.  Incorporated by reference to Exhibit 10.3 to our</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400" w:type="dxa"/>
            <w:vAlign w:val="bottom"/>
            <w:tcBorders>
              <w:top w:val="single" w:sz="8" w:color="0000EE"/>
            </w:tcBorders>
            <w:gridSpan w:val="19"/>
            <w:shd w:val="clear" w:color="auto" w:fill="CCEEFF"/>
          </w:tcPr>
          <w:p>
            <w:pPr>
              <w:spacing w:after="0" w:line="142" w:lineRule="exact"/>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quarterly report on Form 10-Q for the fiscal quarter ended March 29, 2014.</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100" w:type="dxa"/>
            <w:vAlign w:val="bottom"/>
            <w:tcBorders>
              <w:top w:val="single" w:sz="8" w:color="CCEEFF"/>
              <w:right w:val="single" w:sz="8" w:color="CCEEFF"/>
            </w:tcBorders>
            <w:gridSpan w:val="4"/>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500" w:type="dxa"/>
            <w:vAlign w:val="bottom"/>
            <w:tcBorders>
              <w:left w:val="single" w:sz="8" w:color="0000EE"/>
            </w:tcBorders>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20" w:type="dxa"/>
            <w:vAlign w:val="bottom"/>
          </w:tcPr>
          <w:p>
            <w:pPr>
              <w:spacing w:after="0"/>
              <w:rPr>
                <w:sz w:val="13"/>
                <w:szCs w:val="13"/>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23†</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Second Amendment to Terms and Conditions of Johan Vandoorn Employment Agreement, dated March 3, 2015. Incorporated by reference to Exhibit 10.4 to our</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820" w:type="dxa"/>
            <w:vAlign w:val="bottom"/>
          </w:tcPr>
          <w:p>
            <w:pPr>
              <w:spacing w:after="0"/>
              <w:rPr>
                <w:sz w:val="11"/>
                <w:szCs w:val="11"/>
                <w:color w:val="auto"/>
              </w:rPr>
            </w:pPr>
          </w:p>
        </w:tc>
        <w:tc>
          <w:tcPr>
            <w:tcW w:w="4200" w:type="dxa"/>
            <w:vAlign w:val="bottom"/>
            <w:tcBorders>
              <w:top w:val="single" w:sz="8" w:color="0000EE"/>
              <w:bottom w:val="single" w:sz="8" w:color="0000EE"/>
            </w:tcBorders>
            <w:gridSpan w:val="7"/>
          </w:tcPr>
          <w:p>
            <w:pPr>
              <w:spacing w:after="0" w:line="122" w:lineRule="exact"/>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quarterly report on Form 10-Q for the fiscal quarter ended April 4, 2015.</w:t>
              </w:r>
            </w:hyperlink>
          </w:p>
        </w:tc>
        <w:tc>
          <w:tcPr>
            <w:tcW w:w="5260" w:type="dxa"/>
            <w:vAlign w:val="bottom"/>
            <w:tcBorders>
              <w:top w:val="single" w:sz="8" w:color="0000EE"/>
            </w:tcBorders>
            <w:gridSpan w:val="15"/>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12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24†</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Third Amendment to Terms and Conditions of Johan Vandoorn Employment Agreement, dated February 15, 2018. Incorporated by reference to Exhibit 10.2 to</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0000EE"/>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3460" w:type="dxa"/>
            <w:vAlign w:val="bottom"/>
            <w:tcBorders>
              <w:top w:val="single" w:sz="8" w:color="0000EE"/>
              <w:bottom w:val="single" w:sz="8" w:color="0000EE"/>
            </w:tcBorders>
            <w:gridSpan w:val="6"/>
            <w:shd w:val="clear" w:color="auto" w:fill="CCEEFF"/>
          </w:tcPr>
          <w:p>
            <w:pPr>
              <w:spacing w:after="0" w:line="142"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our current report on Form 8-K, filed on February 16, 2018.</w:t>
              </w:r>
            </w:hyperlink>
          </w:p>
        </w:tc>
        <w:tc>
          <w:tcPr>
            <w:tcW w:w="6060" w:type="dxa"/>
            <w:vAlign w:val="bottom"/>
            <w:tcBorders>
              <w:top w:val="single" w:sz="8" w:color="0000EE"/>
              <w:bottom w:val="single" w:sz="8" w:color="CCEEFF"/>
            </w:tcBorders>
            <w:gridSpan w:val="19"/>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100" w:type="dxa"/>
            <w:vAlign w:val="bottom"/>
            <w:tcBorders>
              <w:top w:val="single" w:sz="8" w:color="CCEEFF"/>
              <w:bottom w:val="single" w:sz="8" w:color="CCEEFF"/>
              <w:right w:val="single" w:sz="8" w:color="CCEEFF"/>
            </w:tcBorders>
            <w:gridSpan w:val="4"/>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25†</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Fourth Amendment to the Terms and Conditions of Johan Vandoorn Employment Agreement, dated February 23, 2021. Incorporated by reference to Exhibit 10.3</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4580" w:type="dxa"/>
            <w:vAlign w:val="bottom"/>
            <w:tcBorders>
              <w:top w:val="single" w:sz="8" w:color="0000EE"/>
              <w:bottom w:val="single" w:sz="8" w:color="0000EE"/>
            </w:tcBorders>
            <w:gridSpan w:val="9"/>
          </w:tcPr>
          <w:p>
            <w:pPr>
              <w:spacing w:after="0" w:line="142"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to our quarterly report on Form 10-Q for the fiscal quarter ended April 3, 2021.</w:t>
              </w:r>
            </w:hyperlink>
          </w:p>
        </w:tc>
        <w:tc>
          <w:tcPr>
            <w:tcW w:w="5040" w:type="dxa"/>
            <w:vAlign w:val="bottom"/>
            <w:tcBorders>
              <w:top w:val="single" w:sz="8" w:color="0000EE"/>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26</w:t>
              </w:r>
              <w:r>
                <w:rPr>
                  <w:rFonts w:ascii="Times New Roman" w:cs="Times New Roman" w:eastAsia="Times New Roman" w:hAnsi="Times New Roman"/>
                  <w:sz w:val="11"/>
                  <w:szCs w:val="11"/>
                  <w:color w:val="0000EE"/>
                </w:rPr>
                <w:t>†</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Transition Agreement, dated July 15, 2022, between Vishay Capacitors Belgium NV (an indirect wholly owned subsidiary of Vishay Intertechnology, Inc.)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0000EE"/>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8200" w:type="dxa"/>
            <w:vAlign w:val="bottom"/>
            <w:tcBorders>
              <w:top w:val="single" w:sz="8" w:color="0000EE"/>
              <w:bottom w:val="single" w:sz="8" w:color="0000EE"/>
            </w:tcBorders>
            <w:gridSpan w:val="11"/>
            <w:shd w:val="clear" w:color="auto" w:fill="CCEEFF"/>
          </w:tcPr>
          <w:p>
            <w:pPr>
              <w:spacing w:after="0" w:line="122"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Johan Vandoorn. Incorporated by reference to Exhibit 10.8 to our quarterly report on Form 10-Q for the fiscal quarter ended October 1, 2022.</w:t>
              </w:r>
            </w:hyperlink>
          </w:p>
        </w:tc>
        <w:tc>
          <w:tcPr>
            <w:tcW w:w="1540" w:type="dxa"/>
            <w:vAlign w:val="bottom"/>
            <w:tcBorders>
              <w:top w:val="single" w:sz="8" w:color="0000EE"/>
              <w:bottom w:val="single" w:sz="8" w:color="CCEEFF"/>
            </w:tcBorders>
            <w:gridSpan w:val="25"/>
            <w:shd w:val="clear" w:color="auto" w:fill="CCEEFF"/>
          </w:tcPr>
          <w:p>
            <w:pPr>
              <w:spacing w:after="0"/>
              <w:rPr>
                <w:sz w:val="11"/>
                <w:szCs w:val="11"/>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27†</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Employment Agreement, dated February 15, 2018, between Vishay Americas, Inc. (a wholly owned subsidiary of Vishay Intertechnology, Inc.), Vishay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8500" w:type="dxa"/>
            <w:vAlign w:val="bottom"/>
            <w:tcBorders>
              <w:top w:val="single" w:sz="8" w:color="0000EE"/>
              <w:bottom w:val="single" w:sz="8" w:color="0000EE"/>
            </w:tcBorders>
            <w:gridSpan w:val="13"/>
          </w:tcPr>
          <w:p>
            <w:pPr>
              <w:spacing w:after="0" w:line="142"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Intertechnology, Inc., and David Valletta. Incorporated by reference to Exhibit 10.3 to our current report on Form 8-K, filed on February 16, 2018.</w:t>
              </w:r>
            </w:hyperlink>
          </w:p>
        </w:tc>
        <w:tc>
          <w:tcPr>
            <w:tcW w:w="1280" w:type="dxa"/>
            <w:vAlign w:val="bottom"/>
            <w:tcBorders>
              <w:top w:val="single" w:sz="8" w:color="0000EE"/>
            </w:tcBorders>
            <w:gridSpan w:val="25"/>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28†</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First Amendment to Employment Agreement, dated February 23, 2021, between Vishay Americas, Inc. (a wholly owned subsidiary of Vishay Intertechnology,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EE"/>
            </w:tcBorders>
            <w:gridSpan w:val="31"/>
            <w:shd w:val="clear" w:color="auto" w:fill="CCEEFF"/>
          </w:tcPr>
          <w:p>
            <w:pPr>
              <w:spacing w:after="0" w:line="142"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Inc.) Vishay Intertechnology, Inc., and David Valletta. Incorporated by reference to Exhibit 10.4 to our quarterly report on Form 10-Q for the fiscal quarter ended</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100" w:type="dxa"/>
            <w:vAlign w:val="bottom"/>
            <w:tcBorders>
              <w:top w:val="single" w:sz="8" w:color="CCEEFF"/>
              <w:right w:val="single" w:sz="8" w:color="CCEEFF"/>
            </w:tcBorders>
            <w:gridSpan w:val="4"/>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0000EE"/>
              <w:bottom w:val="single" w:sz="8" w:color="0000EE"/>
              <w:right w:val="single" w:sz="8" w:color="CCEEFF"/>
            </w:tcBorders>
            <w:gridSpan w:val="3"/>
            <w:shd w:val="clear" w:color="auto" w:fill="CCEEFF"/>
          </w:tcPr>
          <w:p>
            <w:pPr>
              <w:spacing w:after="0" w:line="142"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April 3, 2021.</w:t>
              </w:r>
            </w:hyperlink>
          </w:p>
        </w:tc>
        <w:tc>
          <w:tcPr>
            <w:tcW w:w="8620" w:type="dxa"/>
            <w:vAlign w:val="bottom"/>
            <w:tcBorders>
              <w:top w:val="single" w:sz="8" w:color="0000EE"/>
              <w:bottom w:val="single" w:sz="8" w:color="CCEEFF"/>
            </w:tcBorders>
            <w:gridSpan w:val="20"/>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7"/>
            <w:shd w:val="clear" w:color="auto" w:fill="CCEEFF"/>
          </w:tcPr>
          <w:p>
            <w:pPr>
              <w:spacing w:after="0"/>
              <w:rPr>
                <w:sz w:val="12"/>
                <w:szCs w:val="12"/>
                <w:color w:val="auto"/>
              </w:rPr>
            </w:pPr>
          </w:p>
        </w:tc>
        <w:tc>
          <w:tcPr>
            <w:tcW w:w="100" w:type="dxa"/>
            <w:vAlign w:val="bottom"/>
            <w:tcBorders>
              <w:top w:val="single" w:sz="8" w:color="CCEEFF"/>
              <w:bottom w:val="single" w:sz="8" w:color="CCEEFF"/>
              <w:right w:val="single" w:sz="8" w:color="CCEEFF"/>
            </w:tcBorders>
            <w:gridSpan w:val="4"/>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29</w:t>
              </w:r>
              <w:r>
                <w:rPr>
                  <w:rFonts w:ascii="Times New Roman" w:cs="Times New Roman" w:eastAsia="Times New Roman" w:hAnsi="Times New Roman"/>
                  <w:sz w:val="11"/>
                  <w:szCs w:val="11"/>
                  <w:color w:val="0000EE"/>
                </w:rPr>
                <w:t>†</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Transition Agreement, dated July 15, 2022, between Vishay Americas, Inc. (a wholly owned subsidiary of Vishay Intertechnology, Inc.), Vishay Intertechnology,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620" w:type="dxa"/>
            <w:vAlign w:val="bottom"/>
            <w:tcBorders>
              <w:top w:val="single" w:sz="8" w:color="0000EE"/>
            </w:tcBorders>
            <w:gridSpan w:val="30"/>
          </w:tcPr>
          <w:p>
            <w:pPr>
              <w:spacing w:after="0" w:line="142"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Inc., and David Valletta. Incorporated by reference to Exhibit 10.9 to our quarterly report on Form 10-Q for the fiscal quarter ended October 1, 2022.</w:t>
              </w:r>
            </w:hyperlink>
          </w:p>
        </w:tc>
        <w:tc>
          <w:tcPr>
            <w:tcW w:w="100" w:type="dxa"/>
            <w:vAlign w:val="bottom"/>
            <w:gridSpan w:val="5"/>
          </w:tcPr>
          <w:p>
            <w:pPr>
              <w:spacing w:after="0"/>
              <w:rPr>
                <w:sz w:val="12"/>
                <w:szCs w:val="12"/>
                <w:color w:val="auto"/>
              </w:rPr>
            </w:pPr>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500" w:type="dxa"/>
            <w:vAlign w:val="bottom"/>
            <w:tcBorders>
              <w:left w:val="single" w:sz="8" w:color="0000EE"/>
            </w:tcBorders>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9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30†</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Employment Agreement, dated February 15, 2018, between Vishay Singapore Pte. Ltd. (an indirect wholly owned subsidiary of Vishay Intertechnology, Inc.),</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EE"/>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420" w:type="dxa"/>
            <w:vAlign w:val="bottom"/>
            <w:tcBorders>
              <w:top w:val="single" w:sz="8" w:color="0000EE"/>
            </w:tcBorders>
            <w:gridSpan w:val="20"/>
            <w:shd w:val="clear" w:color="auto" w:fill="CCEEFF"/>
          </w:tcPr>
          <w:p>
            <w:pPr>
              <w:spacing w:after="0" w:line="142"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Vishay Intertechnology, Inc., and Clarence Tse. Incorporated by reference to Exhibit 10.4 to our current report on Form 8-K, filed on February 16, 2018.</w:t>
              </w:r>
            </w:hyperlink>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7"/>
            <w:shd w:val="clear" w:color="auto" w:fill="CCEEFF"/>
          </w:tcPr>
          <w:p>
            <w:pPr>
              <w:spacing w:after="0"/>
              <w:rPr>
                <w:sz w:val="12"/>
                <w:szCs w:val="12"/>
                <w:color w:val="auto"/>
              </w:rPr>
            </w:pPr>
          </w:p>
        </w:tc>
        <w:tc>
          <w:tcPr>
            <w:tcW w:w="100" w:type="dxa"/>
            <w:vAlign w:val="bottom"/>
            <w:tcBorders>
              <w:top w:val="single" w:sz="8" w:color="CCEEFF"/>
              <w:right w:val="single" w:sz="8" w:color="CCEEFF"/>
            </w:tcBorders>
            <w:gridSpan w:val="4"/>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500" w:type="dxa"/>
            <w:vAlign w:val="bottom"/>
            <w:tcBorders>
              <w:left w:val="single" w:sz="8" w:color="0000EE"/>
            </w:tcBorders>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9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31†</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First Amendment to Employment Agreement, dated February 23, 2021, between Vishay Singapore Pte. Ltd. (an indirect wholly owned subsidiary of Vishay</w:t>
              </w:r>
            </w:hyperlink>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380" w:type="dxa"/>
            <w:vAlign w:val="bottom"/>
            <w:tcBorders>
              <w:top w:val="single" w:sz="8" w:color="0000EE"/>
              <w:bottom w:val="single" w:sz="8" w:color="0000EE"/>
            </w:tcBorders>
            <w:gridSpan w:val="18"/>
          </w:tcPr>
          <w:p>
            <w:pPr>
              <w:spacing w:after="0" w:line="142"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Intertechnology, Inc.), Vishay Intertechnology, Inc., and Clarence Tse.  Incorporated by reference to Exhibit 10.5 to our quarterly report on Form 10-Q for the</w:t>
              </w:r>
            </w:hyperlink>
          </w:p>
        </w:tc>
        <w:tc>
          <w:tcPr>
            <w:tcW w:w="60" w:type="dxa"/>
            <w:vAlign w:val="bottom"/>
            <w:tcBorders>
              <w:bottom w:val="single" w:sz="8" w:color="0000EE"/>
            </w:tcBorders>
            <w:gridSpan w:val="3"/>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40" w:type="dxa"/>
            <w:vAlign w:val="bottom"/>
            <w:gridSpan w:val="21"/>
          </w:tcPr>
          <w:p>
            <w:pPr>
              <w:spacing w:after="0" w:line="142" w:lineRule="exact"/>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fiscal quarter ended April 3, 2021</w:t>
              </w:r>
              <w:r>
                <w:rPr>
                  <w:rFonts w:ascii="Times New Roman" w:cs="Times New Roman" w:eastAsia="Times New Roman" w:hAnsi="Times New Roman"/>
                  <w:sz w:val="14"/>
                  <w:szCs w:val="14"/>
                  <w:color w:val="000000"/>
                </w:rPr>
                <w:t>.</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32†</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Transition Agreement, dated July 15, 2022, between Vishay Singapore Pte. Ltd. (an indirect wholly owned subsidiary of Vishay Intertechnology, Inc.), Vishay</w:t>
              </w:r>
            </w:hyperlink>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9360" w:type="dxa"/>
            <w:vAlign w:val="bottom"/>
            <w:tcBorders>
              <w:top w:val="single" w:sz="8" w:color="0000EE"/>
            </w:tcBorders>
            <w:gridSpan w:val="17"/>
            <w:shd w:val="clear" w:color="auto" w:fill="CCEEFF"/>
          </w:tcPr>
          <w:p>
            <w:pPr>
              <w:spacing w:after="0" w:line="122"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Intertechnology, Inc., and Clarence Tse. Incorporated by reference to Exhibit 10.10 to our quarterly report on Form 10-Q for the fiscal quarter ended October 1,</w:t>
              </w:r>
            </w:hyperlink>
          </w:p>
        </w:tc>
        <w:tc>
          <w:tcPr>
            <w:tcW w:w="200" w:type="dxa"/>
            <w:vAlign w:val="bottom"/>
            <w:tcBorders>
              <w:top w:val="single" w:sz="8" w:color="CCEEFF"/>
            </w:tcBorders>
            <w:gridSpan w:val="10"/>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gridSpan w:val="7"/>
            <w:shd w:val="clear" w:color="auto" w:fill="CCEEFF"/>
          </w:tcPr>
          <w:p>
            <w:pPr>
              <w:spacing w:after="0"/>
              <w:rPr>
                <w:sz w:val="10"/>
                <w:szCs w:val="10"/>
                <w:color w:val="auto"/>
              </w:rPr>
            </w:pPr>
          </w:p>
        </w:tc>
        <w:tc>
          <w:tcPr>
            <w:tcW w:w="100" w:type="dxa"/>
            <w:vAlign w:val="bottom"/>
            <w:tcBorders>
              <w:top w:val="single" w:sz="8" w:color="CCEEFF"/>
              <w:right w:val="single" w:sz="8" w:color="CCEEFF"/>
            </w:tcBorders>
            <w:gridSpan w:val="4"/>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0000EE"/>
              <w:bottom w:val="single" w:sz="8" w:color="0000EE"/>
            </w:tcBorders>
            <w:shd w:val="clear" w:color="auto" w:fill="CCEEFF"/>
          </w:tcPr>
          <w:p>
            <w:pPr>
              <w:spacing w:after="0" w:line="142" w:lineRule="exact"/>
              <w:rPr>
                <w:rFonts w:ascii="Times New Roman" w:cs="Times New Roman" w:eastAsia="Times New Roman" w:hAnsi="Times New Roman"/>
                <w:sz w:val="14"/>
                <w:szCs w:val="14"/>
                <w:color w:val="0000EE"/>
              </w:rPr>
            </w:pPr>
            <w:hyperlink r:id="rId99">
              <w:r>
                <w:rPr>
                  <w:rFonts w:ascii="Times New Roman" w:cs="Times New Roman" w:eastAsia="Times New Roman" w:hAnsi="Times New Roman"/>
                  <w:sz w:val="14"/>
                  <w:szCs w:val="14"/>
                  <w:color w:val="0000EE"/>
                </w:rPr>
                <w:t>2022.</w:t>
              </w:r>
            </w:hyperlink>
          </w:p>
        </w:tc>
        <w:tc>
          <w:tcPr>
            <w:tcW w:w="200" w:type="dxa"/>
            <w:vAlign w:val="bottom"/>
            <w:tcBorders>
              <w:top w:val="single" w:sz="8" w:color="0000EE"/>
              <w:bottom w:val="single" w:sz="8" w:color="CCEEFF"/>
            </w:tcBorders>
            <w:shd w:val="clear" w:color="auto" w:fill="CCEEFF"/>
          </w:tcPr>
          <w:p>
            <w:pPr>
              <w:spacing w:after="0"/>
              <w:rPr>
                <w:sz w:val="12"/>
                <w:szCs w:val="12"/>
                <w:color w:val="auto"/>
              </w:rPr>
            </w:pPr>
          </w:p>
        </w:tc>
        <w:tc>
          <w:tcPr>
            <w:tcW w:w="32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28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820" w:type="dxa"/>
            <w:vAlign w:val="bottom"/>
            <w:tcBorders>
              <w:top w:val="single" w:sz="8" w:color="0000EE"/>
              <w:bottom w:val="single" w:sz="8" w:color="CCEEFF"/>
            </w:tcBorders>
            <w:shd w:val="clear" w:color="auto" w:fill="CCEEFF"/>
          </w:tcPr>
          <w:p>
            <w:pPr>
              <w:spacing w:after="0"/>
              <w:rPr>
                <w:sz w:val="12"/>
                <w:szCs w:val="12"/>
                <w:color w:val="auto"/>
              </w:rPr>
            </w:pPr>
          </w:p>
        </w:tc>
        <w:tc>
          <w:tcPr>
            <w:tcW w:w="1500" w:type="dxa"/>
            <w:vAlign w:val="bottom"/>
            <w:tcBorders>
              <w:top w:val="single" w:sz="8" w:color="0000EE"/>
              <w:left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0000EE"/>
              <w:bottom w:val="single" w:sz="8" w:color="CCEEFF"/>
            </w:tcBorders>
            <w:shd w:val="clear" w:color="auto" w:fill="CCEEFF"/>
          </w:tcPr>
          <w:p>
            <w:pPr>
              <w:spacing w:after="0"/>
              <w:rPr>
                <w:sz w:val="12"/>
                <w:szCs w:val="12"/>
                <w:color w:val="auto"/>
              </w:rPr>
            </w:pPr>
          </w:p>
        </w:tc>
        <w:tc>
          <w:tcPr>
            <w:tcW w:w="140" w:type="dxa"/>
            <w:vAlign w:val="bottom"/>
            <w:tcBorders>
              <w:top w:val="single" w:sz="8" w:color="0000EE"/>
              <w:bottom w:val="single" w:sz="8" w:color="CCEEFF"/>
            </w:tcBorders>
            <w:shd w:val="clear" w:color="auto" w:fill="CCEEFF"/>
          </w:tcPr>
          <w:p>
            <w:pPr>
              <w:spacing w:after="0"/>
              <w:rPr>
                <w:sz w:val="12"/>
                <w:szCs w:val="12"/>
                <w:color w:val="auto"/>
              </w:rPr>
            </w:pPr>
          </w:p>
        </w:tc>
        <w:tc>
          <w:tcPr>
            <w:tcW w:w="240" w:type="dxa"/>
            <w:vAlign w:val="bottom"/>
            <w:tcBorders>
              <w:top w:val="single" w:sz="8" w:color="0000EE"/>
              <w:bottom w:val="single" w:sz="8" w:color="CCEEFF"/>
            </w:tcBorders>
            <w:shd w:val="clear" w:color="auto" w:fill="CCEEFF"/>
          </w:tcPr>
          <w:p>
            <w:pPr>
              <w:spacing w:after="0"/>
              <w:rPr>
                <w:sz w:val="12"/>
                <w:szCs w:val="12"/>
                <w:color w:val="auto"/>
              </w:rPr>
            </w:pPr>
          </w:p>
        </w:tc>
        <w:tc>
          <w:tcPr>
            <w:tcW w:w="1640" w:type="dxa"/>
            <w:vAlign w:val="bottom"/>
            <w:tcBorders>
              <w:top w:val="single" w:sz="8" w:color="0000EE"/>
              <w:bottom w:val="single" w:sz="8" w:color="CCEEFF"/>
            </w:tcBorders>
            <w:shd w:val="clear" w:color="auto" w:fill="CCEEFF"/>
          </w:tcPr>
          <w:p>
            <w:pPr>
              <w:spacing w:after="0"/>
              <w:rPr>
                <w:sz w:val="12"/>
                <w:szCs w:val="12"/>
                <w:color w:val="auto"/>
              </w:rPr>
            </w:pPr>
          </w:p>
        </w:tc>
        <w:tc>
          <w:tcPr>
            <w:tcW w:w="1980" w:type="dxa"/>
            <w:vAlign w:val="bottom"/>
            <w:tcBorders>
              <w:top w:val="single" w:sz="8" w:color="0000EE"/>
              <w:bottom w:val="single" w:sz="8" w:color="CCEEFF"/>
            </w:tcBorders>
            <w:shd w:val="clear" w:color="auto" w:fill="CCEEFF"/>
          </w:tcPr>
          <w:p>
            <w:pPr>
              <w:spacing w:after="0"/>
              <w:rPr>
                <w:sz w:val="12"/>
                <w:szCs w:val="12"/>
                <w:color w:val="auto"/>
              </w:rPr>
            </w:pPr>
          </w:p>
        </w:tc>
        <w:tc>
          <w:tcPr>
            <w:tcW w:w="180" w:type="dxa"/>
            <w:vAlign w:val="bottom"/>
            <w:tcBorders>
              <w:top w:val="single" w:sz="8" w:color="0000EE"/>
              <w:bottom w:val="single" w:sz="8" w:color="CCEEFF"/>
            </w:tcBorders>
            <w:shd w:val="clear" w:color="auto" w:fill="CCEEFF"/>
          </w:tcPr>
          <w:p>
            <w:pPr>
              <w:spacing w:after="0"/>
              <w:rPr>
                <w:sz w:val="12"/>
                <w:szCs w:val="12"/>
                <w:color w:val="auto"/>
              </w:rPr>
            </w:pPr>
          </w:p>
        </w:tc>
        <w:tc>
          <w:tcPr>
            <w:tcW w:w="12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0000EE"/>
              <w:bottom w:val="single" w:sz="8" w:color="CCEEFF"/>
            </w:tcBorders>
            <w:shd w:val="clear" w:color="auto" w:fill="CCEEFF"/>
          </w:tcPr>
          <w:p>
            <w:pPr>
              <w:spacing w:after="0"/>
              <w:rPr>
                <w:sz w:val="12"/>
                <w:szCs w:val="12"/>
                <w:color w:val="auto"/>
              </w:rPr>
            </w:pPr>
          </w:p>
        </w:tc>
        <w:tc>
          <w:tcPr>
            <w:tcW w:w="80" w:type="dxa"/>
            <w:vAlign w:val="bottom"/>
            <w:tcBorders>
              <w:top w:val="single" w:sz="8" w:color="0000EE"/>
              <w:bottom w:val="single" w:sz="8" w:color="CCEEFF"/>
            </w:tcBorders>
            <w:shd w:val="clear" w:color="auto" w:fill="CCEEFF"/>
          </w:tcPr>
          <w:p>
            <w:pPr>
              <w:spacing w:after="0"/>
              <w:rPr>
                <w:sz w:val="12"/>
                <w:szCs w:val="12"/>
                <w:color w:val="auto"/>
              </w:rPr>
            </w:pPr>
          </w:p>
        </w:tc>
        <w:tc>
          <w:tcPr>
            <w:tcW w:w="120" w:type="dxa"/>
            <w:vAlign w:val="bottom"/>
            <w:tcBorders>
              <w:top w:val="single" w:sz="8" w:color="0000EE"/>
              <w:bottom w:val="single" w:sz="8" w:color="CCEEFF"/>
            </w:tcBorders>
            <w:shd w:val="clear" w:color="auto" w:fill="CCEEFF"/>
          </w:tcPr>
          <w:p>
            <w:pPr>
              <w:spacing w:after="0"/>
              <w:rPr>
                <w:sz w:val="12"/>
                <w:szCs w:val="12"/>
                <w:color w:val="auto"/>
              </w:rPr>
            </w:pPr>
          </w:p>
        </w:tc>
        <w:tc>
          <w:tcPr>
            <w:tcW w:w="54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0000EE"/>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spacing w:after="0" w:line="135"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33†</w:t>
              </w:r>
            </w:hyperlink>
          </w:p>
        </w:tc>
        <w:tc>
          <w:tcPr>
            <w:tcW w:w="9820" w:type="dxa"/>
            <w:vAlign w:val="bottom"/>
            <w:gridSpan w:val="39"/>
          </w:tcPr>
          <w:p>
            <w:pPr>
              <w:spacing w:after="0" w:line="135"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Employment Agreement between Vishay Israel Ltd. (a wholly owned subsidiary of Vishay Intertechnology, Inc.), Vishay Intertechnology, Inc., and Jeffrey</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8700" w:type="dxa"/>
            <w:vAlign w:val="bottom"/>
            <w:tcBorders>
              <w:top w:val="single" w:sz="8" w:color="0000EE"/>
              <w:bottom w:val="single" w:sz="8" w:color="0000EE"/>
            </w:tcBorders>
            <w:gridSpan w:val="15"/>
          </w:tcPr>
          <w:p>
            <w:pPr>
              <w:spacing w:after="0" w:line="142" w:lineRule="exact"/>
              <w:rPr>
                <w:rFonts w:ascii="Times New Roman" w:cs="Times New Roman" w:eastAsia="Times New Roman" w:hAnsi="Times New Roman"/>
                <w:sz w:val="14"/>
                <w:szCs w:val="14"/>
                <w:color w:val="0000EE"/>
              </w:rPr>
            </w:pPr>
            <w:hyperlink r:id="rId100">
              <w:r>
                <w:rPr>
                  <w:rFonts w:ascii="Times New Roman" w:cs="Times New Roman" w:eastAsia="Times New Roman" w:hAnsi="Times New Roman"/>
                  <w:sz w:val="14"/>
                  <w:szCs w:val="14"/>
                  <w:color w:val="0000EE"/>
                </w:rPr>
                <w:t>Webster dated May 20, 2020. Incorporated by reference to Exhibit 10.2 to our quarterly report on Form 10-Q for the fiscal quarter ended July 4, 2020.</w:t>
              </w:r>
            </w:hyperlink>
          </w:p>
        </w:tc>
        <w:tc>
          <w:tcPr>
            <w:tcW w:w="860" w:type="dxa"/>
            <w:vAlign w:val="bottom"/>
            <w:tcBorders>
              <w:top w:val="single" w:sz="8" w:color="0000EE"/>
            </w:tcBorders>
            <w:gridSpan w:val="12"/>
          </w:tcPr>
          <w:p>
            <w:pPr>
              <w:spacing w:after="0"/>
              <w:rPr>
                <w:sz w:val="12"/>
                <w:szCs w:val="12"/>
                <w:color w:val="auto"/>
              </w:rPr>
            </w:pPr>
          </w:p>
        </w:tc>
        <w:tc>
          <w:tcPr>
            <w:tcW w:w="160" w:type="dxa"/>
            <w:vAlign w:val="bottom"/>
            <w:gridSpan w:val="8"/>
          </w:tcPr>
          <w:p>
            <w:pPr>
              <w:spacing w:after="0"/>
              <w:rPr>
                <w:sz w:val="12"/>
                <w:szCs w:val="12"/>
                <w:color w:val="auto"/>
              </w:rPr>
            </w:pPr>
          </w:p>
        </w:tc>
        <w:tc>
          <w:tcPr>
            <w:tcW w:w="12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line="135"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34†</w:t>
              </w:r>
            </w:hyperlink>
          </w:p>
        </w:tc>
        <w:tc>
          <w:tcPr>
            <w:tcW w:w="9820" w:type="dxa"/>
            <w:vAlign w:val="bottom"/>
            <w:tcBorders>
              <w:right w:val="single" w:sz="8" w:color="CCEEFF"/>
            </w:tcBorders>
            <w:gridSpan w:val="39"/>
            <w:shd w:val="clear" w:color="auto" w:fill="CCEEFF"/>
          </w:tcPr>
          <w:p>
            <w:pPr>
              <w:spacing w:after="0" w:line="135"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First Amendment to Employment Agreement, dated February 23, 2021, between Vishay Israel Ltd. (a wholly owned subsidiary of Vishay Intertechnology, Inc.),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0000EE"/>
              <w:bottom w:val="single" w:sz="8" w:color="CCEEFF"/>
            </w:tcBorders>
            <w:shd w:val="clear" w:color="auto" w:fill="CCEEFF"/>
          </w:tcPr>
          <w:p>
            <w:pPr>
              <w:spacing w:after="0"/>
              <w:rPr>
                <w:sz w:val="10"/>
                <w:szCs w:val="10"/>
                <w:color w:val="auto"/>
              </w:rPr>
            </w:pPr>
          </w:p>
        </w:tc>
        <w:tc>
          <w:tcPr>
            <w:tcW w:w="820" w:type="dxa"/>
            <w:vAlign w:val="bottom"/>
            <w:tcBorders>
              <w:top w:val="single" w:sz="8" w:color="CCEEFF"/>
              <w:bottom w:val="single" w:sz="8" w:color="CCEEFF"/>
            </w:tcBorders>
            <w:shd w:val="clear" w:color="auto" w:fill="CCEEFF"/>
          </w:tcPr>
          <w:p>
            <w:pPr>
              <w:spacing w:after="0"/>
              <w:rPr>
                <w:sz w:val="10"/>
                <w:szCs w:val="10"/>
                <w:color w:val="auto"/>
              </w:rPr>
            </w:pPr>
          </w:p>
        </w:tc>
        <w:tc>
          <w:tcPr>
            <w:tcW w:w="9560" w:type="dxa"/>
            <w:vAlign w:val="bottom"/>
            <w:tcBorders>
              <w:top w:val="single" w:sz="8" w:color="0000EE"/>
              <w:bottom w:val="single" w:sz="8" w:color="0000EE"/>
            </w:tcBorders>
            <w:gridSpan w:val="27"/>
            <w:shd w:val="clear" w:color="auto" w:fill="CCEEFF"/>
          </w:tcPr>
          <w:p>
            <w:pPr>
              <w:spacing w:after="0" w:line="122"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Vishay Intertechnology, Inc., and Jeffrey Webster.  Incorporated by reference to Exhibit 10.7 to our quarterly report on Form 10-Q for the fiscal quarter ended</w:t>
              </w:r>
            </w:hyperlink>
          </w:p>
        </w:tc>
        <w:tc>
          <w:tcPr>
            <w:tcW w:w="160" w:type="dxa"/>
            <w:vAlign w:val="bottom"/>
            <w:tcBorders>
              <w:top w:val="single" w:sz="8" w:color="CCEEFF"/>
              <w:bottom w:val="single" w:sz="8" w:color="0000EE"/>
            </w:tcBorders>
            <w:gridSpan w:val="8"/>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gridSpan w:val="4"/>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0000EE"/>
              <w:right w:val="single" w:sz="8" w:color="CCEEFF"/>
            </w:tcBorders>
            <w:gridSpan w:val="3"/>
            <w:shd w:val="clear" w:color="auto" w:fill="CCEEFF"/>
          </w:tcPr>
          <w:p>
            <w:pPr>
              <w:spacing w:after="0" w:line="142"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April 3, 2021.</w:t>
              </w:r>
            </w:hyperlink>
          </w:p>
        </w:tc>
        <w:tc>
          <w:tcPr>
            <w:tcW w:w="8860" w:type="dxa"/>
            <w:vAlign w:val="bottom"/>
            <w:tcBorders>
              <w:bottom w:val="single" w:sz="8" w:color="CCEEFF"/>
            </w:tcBorders>
            <w:gridSpan w:val="32"/>
            <w:shd w:val="clear" w:color="auto" w:fill="CCEEFF"/>
          </w:tcPr>
          <w:p>
            <w:pPr>
              <w:spacing w:after="0"/>
              <w:rPr>
                <w:sz w:val="12"/>
                <w:szCs w:val="12"/>
                <w:color w:val="auto"/>
              </w:rPr>
            </w:pPr>
          </w:p>
        </w:tc>
        <w:tc>
          <w:tcPr>
            <w:tcW w:w="100" w:type="dxa"/>
            <w:vAlign w:val="bottom"/>
            <w:tcBorders>
              <w:bottom w:val="single" w:sz="8" w:color="CCEEFF"/>
              <w:right w:val="single" w:sz="8" w:color="CCEEFF"/>
            </w:tcBorders>
            <w:gridSpan w:val="4"/>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gridSpan w:val="7"/>
          </w:tcPr>
          <w:p>
            <w:pPr>
              <w:ind w:left="3660"/>
              <w:spacing w:after="0"/>
              <w:rPr>
                <w:sz w:val="20"/>
                <w:szCs w:val="20"/>
                <w:color w:val="auto"/>
              </w:rPr>
            </w:pPr>
            <w:r>
              <w:rPr>
                <w:rFonts w:ascii="Times New Roman" w:cs="Times New Roman" w:eastAsia="Times New Roman" w:hAnsi="Times New Roman"/>
                <w:sz w:val="12"/>
                <w:szCs w:val="12"/>
                <w:color w:val="auto"/>
              </w:rPr>
              <w:t>61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19" w:right="29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20"/>
              <w:spacing w:after="0"/>
              <w:rPr>
                <w:rFonts w:ascii="Times New Roman" w:cs="Times New Roman" w:eastAsia="Times New Roman" w:hAnsi="Times New Roman"/>
                <w:sz w:val="14"/>
                <w:szCs w:val="14"/>
                <w:color w:val="0000EE"/>
                <w:w w:val="93"/>
              </w:rPr>
            </w:pPr>
            <w:hyperlink r:id="rId102">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35†</w:t>
              </w:r>
            </w:hyperlink>
          </w:p>
        </w:tc>
        <w:tc>
          <w:tcPr>
            <w:tcW w:w="9860" w:type="dxa"/>
            <w:vAlign w:val="bottom"/>
            <w:gridSpan w:val="45"/>
            <w:shd w:val="clear" w:color="auto" w:fill="CCEEFF"/>
          </w:tcPr>
          <w:p>
            <w:pPr>
              <w:spacing w:after="0"/>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Amended and Restated Employment Agreement, dated July 14, 2022, between Vishay Israel Ltd. (a wholly owned subsidiary of Vishay Intertechnology, Inc.),</w:t>
              </w:r>
            </w:hyperlink>
          </w:p>
        </w:tc>
      </w:tr>
      <w:tr>
        <w:trPr>
          <w:trHeight w:val="122"/>
        </w:trPr>
        <w:tc>
          <w:tcPr>
            <w:tcW w:w="7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0000EE"/>
              <w:right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9780" w:type="dxa"/>
            <w:vAlign w:val="bottom"/>
            <w:tcBorders>
              <w:top w:val="single" w:sz="8" w:color="0000EE"/>
            </w:tcBorders>
            <w:gridSpan w:val="41"/>
            <w:shd w:val="clear" w:color="auto" w:fill="CCEEFF"/>
          </w:tcPr>
          <w:p>
            <w:pPr>
              <w:spacing w:after="0" w:line="122" w:lineRule="exact"/>
              <w:rPr>
                <w:rFonts w:ascii="Times New Roman" w:cs="Times New Roman" w:eastAsia="Times New Roman" w:hAnsi="Times New Roman"/>
                <w:sz w:val="14"/>
                <w:szCs w:val="14"/>
                <w:color w:val="0000EE"/>
              </w:rPr>
            </w:pPr>
            <w:hyperlink r:id="rId102">
              <w:r>
                <w:rPr>
                  <w:rFonts w:ascii="Times New Roman" w:cs="Times New Roman" w:eastAsia="Times New Roman" w:hAnsi="Times New Roman"/>
                  <w:sz w:val="14"/>
                  <w:szCs w:val="14"/>
                  <w:color w:val="0000EE"/>
                </w:rPr>
                <w:t>Vishay Intertechnology, Inc., and Jeff Webster. Incorporated by reference to Exhibit 10.4 to our current report on Form 8-K, filed July 18, 2022.</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jc w:val="right"/>
              <w:ind w:right="820"/>
              <w:spacing w:after="0" w:line="135" w:lineRule="exact"/>
              <w:rPr>
                <w:rFonts w:ascii="Times New Roman" w:cs="Times New Roman" w:eastAsia="Times New Roman" w:hAnsi="Times New Roman"/>
                <w:sz w:val="14"/>
                <w:szCs w:val="14"/>
                <w:color w:val="0000EE"/>
                <w:w w:val="93"/>
              </w:rPr>
            </w:pPr>
            <w:hyperlink r:id="rId103">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36†</w:t>
              </w:r>
            </w:hyperlink>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Employment Agreement, dated July 14, 2022, between Siliconix incorporated (a wholly owned subsidiary of Vishay Intertechnology, Inc.), Vishay</w:t>
              </w:r>
            </w:hyperlink>
          </w:p>
        </w:tc>
      </w:tr>
      <w:tr>
        <w:trPr>
          <w:trHeight w:val="149"/>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7960" w:type="dxa"/>
            <w:vAlign w:val="bottom"/>
            <w:tcBorders>
              <w:top w:val="single" w:sz="8" w:color="0000EE"/>
              <w:bottom w:val="single" w:sz="8" w:color="0000EE"/>
            </w:tcBorders>
            <w:gridSpan w:val="16"/>
          </w:tcPr>
          <w:p>
            <w:pPr>
              <w:spacing w:after="0" w:line="142"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Intertechnology, Inc. and Roy Shoshani. Incorporated by reference to Exhibit 10.5 to our current report on Form 8-K, filed July 18, 2022.</w:t>
              </w:r>
            </w:hyperlink>
          </w:p>
        </w:tc>
        <w:tc>
          <w:tcPr>
            <w:tcW w:w="1660" w:type="dxa"/>
            <w:vAlign w:val="bottom"/>
            <w:tcBorders>
              <w:top w:val="single" w:sz="8" w:color="0000EE"/>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7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20"/>
              <w:spacing w:after="0" w:line="135" w:lineRule="exact"/>
              <w:rPr>
                <w:rFonts w:ascii="Times New Roman" w:cs="Times New Roman" w:eastAsia="Times New Roman" w:hAnsi="Times New Roman"/>
                <w:sz w:val="14"/>
                <w:szCs w:val="14"/>
                <w:color w:val="0000EE"/>
                <w:w w:val="93"/>
              </w:rPr>
            </w:pPr>
            <w:hyperlink r:id="rId104">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37†</w:t>
              </w:r>
            </w:hyperlink>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Employment Agreement between Vishay Electronic GmbH (an indirect wholly owned subsidiary of Vishay Intertechnology, Inc.), Vishay Intertechnology, Inc.,</w:t>
              </w:r>
            </w:hyperlink>
          </w:p>
        </w:tc>
      </w:tr>
      <w:tr>
        <w:trPr>
          <w:trHeight w:val="122"/>
        </w:trPr>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0000EE"/>
              <w:bottom w:val="single" w:sz="8" w:color="CCEEFF"/>
              <w:right w:val="single" w:sz="8" w:color="CCEEFF"/>
            </w:tcBorders>
            <w:shd w:val="clear" w:color="auto" w:fill="CCEEFF"/>
          </w:tcPr>
          <w:p>
            <w:pPr>
              <w:spacing w:after="0"/>
              <w:rPr>
                <w:sz w:val="10"/>
                <w:szCs w:val="10"/>
                <w:color w:val="auto"/>
              </w:rPr>
            </w:pPr>
          </w:p>
        </w:tc>
        <w:tc>
          <w:tcPr>
            <w:tcW w:w="820" w:type="dxa"/>
            <w:vAlign w:val="bottom"/>
            <w:tcBorders>
              <w:top w:val="single" w:sz="8" w:color="CCEEFF"/>
              <w:bottom w:val="single" w:sz="8" w:color="CCEEFF"/>
            </w:tcBorders>
            <w:shd w:val="clear" w:color="auto" w:fill="CCEEFF"/>
          </w:tcPr>
          <w:p>
            <w:pPr>
              <w:spacing w:after="0"/>
              <w:rPr>
                <w:sz w:val="10"/>
                <w:szCs w:val="10"/>
                <w:color w:val="auto"/>
              </w:rPr>
            </w:pPr>
          </w:p>
        </w:tc>
        <w:tc>
          <w:tcPr>
            <w:tcW w:w="9720" w:type="dxa"/>
            <w:vAlign w:val="bottom"/>
            <w:tcBorders>
              <w:top w:val="single" w:sz="8" w:color="0000EE"/>
              <w:bottom w:val="single" w:sz="8" w:color="0000EE"/>
            </w:tcBorders>
            <w:gridSpan w:val="38"/>
            <w:shd w:val="clear" w:color="auto" w:fill="CCEEFF"/>
          </w:tcPr>
          <w:p>
            <w:pPr>
              <w:spacing w:after="0" w:line="122"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and Andreas Randebrock dated May 20, 2020. Incorporated by reference to Exhibit 10.3 to our quarterly report on Form 10-Q for the fiscal quarter ended July 4,</w:t>
              </w:r>
            </w:hyperlink>
          </w:p>
        </w:tc>
        <w:tc>
          <w:tcPr>
            <w:tcW w:w="20" w:type="dxa"/>
            <w:vAlign w:val="bottom"/>
            <w:tcBorders>
              <w:top w:val="single" w:sz="8" w:color="CCEEFF"/>
              <w:bottom w:val="single" w:sz="8" w:color="0000EE"/>
            </w:tcBorders>
            <w:shd w:val="clear" w:color="auto" w:fill="CCEEFF"/>
          </w:tcPr>
          <w:p>
            <w:pPr>
              <w:spacing w:after="0"/>
              <w:rPr>
                <w:sz w:val="10"/>
                <w:szCs w:val="10"/>
                <w:color w:val="auto"/>
              </w:rPr>
            </w:pPr>
          </w:p>
        </w:tc>
        <w:tc>
          <w:tcPr>
            <w:tcW w:w="20" w:type="dxa"/>
            <w:vAlign w:val="bottom"/>
            <w:tcBorders>
              <w:top w:val="single" w:sz="8" w:color="CCEEFF"/>
              <w:bottom w:val="single" w:sz="8" w:color="0000EE"/>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49"/>
        </w:trPr>
        <w:tc>
          <w:tcPr>
            <w:tcW w:w="7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right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0000EE"/>
            </w:tcBorders>
            <w:shd w:val="clear" w:color="auto" w:fill="CCEEFF"/>
          </w:tcPr>
          <w:p>
            <w:pPr>
              <w:spacing w:after="0" w:line="142" w:lineRule="exact"/>
              <w:rPr>
                <w:rFonts w:ascii="Times New Roman" w:cs="Times New Roman" w:eastAsia="Times New Roman" w:hAnsi="Times New Roman"/>
                <w:sz w:val="14"/>
                <w:szCs w:val="14"/>
                <w:color w:val="0000EE"/>
              </w:rPr>
            </w:pPr>
            <w:hyperlink r:id="rId104">
              <w:r>
                <w:rPr>
                  <w:rFonts w:ascii="Times New Roman" w:cs="Times New Roman" w:eastAsia="Times New Roman" w:hAnsi="Times New Roman"/>
                  <w:sz w:val="14"/>
                  <w:szCs w:val="14"/>
                  <w:color w:val="0000EE"/>
                </w:rPr>
                <w:t>2020.</w:t>
              </w:r>
            </w:hyperlink>
          </w:p>
        </w:tc>
        <w:tc>
          <w:tcPr>
            <w:tcW w:w="3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380" w:type="dxa"/>
            <w:vAlign w:val="bottom"/>
            <w:tcBorders>
              <w:bottom w:val="single" w:sz="8" w:color="CCEEFF"/>
              <w:right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left w:val="single" w:sz="8" w:color="CCEEFF"/>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right w:val="single" w:sz="8" w:color="CCEEFF"/>
            </w:tcBorders>
            <w:shd w:val="clear" w:color="auto" w:fill="CCEEFF"/>
          </w:tcPr>
          <w:p>
            <w:pPr>
              <w:spacing w:after="0"/>
              <w:rPr>
                <w:sz w:val="12"/>
                <w:szCs w:val="12"/>
                <w:color w:val="auto"/>
              </w:rPr>
            </w:pPr>
          </w:p>
        </w:tc>
        <w:tc>
          <w:tcPr>
            <w:tcW w:w="174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jc w:val="right"/>
              <w:ind w:right="820"/>
              <w:spacing w:after="0" w:line="135" w:lineRule="exact"/>
              <w:rPr>
                <w:rFonts w:ascii="Times New Roman" w:cs="Times New Roman" w:eastAsia="Times New Roman" w:hAnsi="Times New Roman"/>
                <w:sz w:val="14"/>
                <w:szCs w:val="14"/>
                <w:color w:val="0000EE"/>
                <w:w w:val="93"/>
              </w:rPr>
            </w:pPr>
            <w:hyperlink r:id="rId105">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38†</w:t>
              </w:r>
            </w:hyperlink>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First Amendment to Employment Agreement, dated February 23, 2021, between Vishay Electronic GmbH (an indirect wholly owned subsidiary of Vishay</w:t>
              </w:r>
            </w:hyperlink>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760" w:type="dxa"/>
            <w:vAlign w:val="bottom"/>
            <w:tcBorders>
              <w:top w:val="single" w:sz="8" w:color="0000EE"/>
            </w:tcBorders>
            <w:gridSpan w:val="40"/>
          </w:tcPr>
          <w:p>
            <w:pPr>
              <w:spacing w:after="0" w:line="142"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Intertechnology, Inc.), Vishay Intertechnology, Inc., and Andreas Randebrock. Incorporated by reference to Exhibit 10.8 to our quarterly report on Form 10-Q for</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0" w:type="dxa"/>
            <w:vAlign w:val="bottom"/>
            <w:tcBorders>
              <w:top w:val="single" w:sz="8" w:color="0000EE"/>
              <w:bottom w:val="single" w:sz="8" w:color="0000EE"/>
            </w:tcBorders>
            <w:gridSpan w:val="5"/>
          </w:tcPr>
          <w:p>
            <w:pPr>
              <w:spacing w:after="0" w:line="142" w:lineRule="exact"/>
              <w:rPr>
                <w:rFonts w:ascii="Times New Roman" w:cs="Times New Roman" w:eastAsia="Times New Roman" w:hAnsi="Times New Roman"/>
                <w:sz w:val="14"/>
                <w:szCs w:val="14"/>
                <w:color w:val="0000EE"/>
              </w:rPr>
            </w:pPr>
            <w:hyperlink r:id="rId105">
              <w:r>
                <w:rPr>
                  <w:rFonts w:ascii="Times New Roman" w:cs="Times New Roman" w:eastAsia="Times New Roman" w:hAnsi="Times New Roman"/>
                  <w:sz w:val="14"/>
                  <w:szCs w:val="14"/>
                  <w:color w:val="0000EE"/>
                </w:rPr>
                <w:t>the fiscal quarter ended April 3, 2021.</w:t>
              </w:r>
            </w:hyperlink>
          </w:p>
        </w:tc>
        <w:tc>
          <w:tcPr>
            <w:tcW w:w="7460" w:type="dxa"/>
            <w:vAlign w:val="bottom"/>
            <w:tcBorders>
              <w:top w:val="single" w:sz="8" w:color="0000EE"/>
            </w:tcBorders>
            <w:gridSpan w:val="3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7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20"/>
              <w:spacing w:after="0" w:line="135" w:lineRule="exact"/>
              <w:rPr>
                <w:rFonts w:ascii="Times New Roman" w:cs="Times New Roman" w:eastAsia="Times New Roman" w:hAnsi="Times New Roman"/>
                <w:sz w:val="14"/>
                <w:szCs w:val="14"/>
                <w:color w:val="0000EE"/>
                <w:w w:val="93"/>
              </w:rPr>
            </w:pPr>
            <w:hyperlink r:id="rId106">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39†</w:t>
              </w:r>
            </w:hyperlink>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Second Amendment to Employment Agreement, dated July 14, 2022, between Vishay Electronic GmbH (an indirect wholly owned subsidiary of Vishay</w:t>
              </w:r>
            </w:hyperlink>
          </w:p>
        </w:tc>
      </w:tr>
      <w:tr>
        <w:trPr>
          <w:trHeight w:val="122"/>
        </w:trPr>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0000EE"/>
              <w:bottom w:val="single" w:sz="8" w:color="CCEEFF"/>
              <w:right w:val="single" w:sz="8" w:color="CCEEFF"/>
            </w:tcBorders>
            <w:shd w:val="clear" w:color="auto" w:fill="CCEEFF"/>
          </w:tcPr>
          <w:p>
            <w:pPr>
              <w:spacing w:after="0"/>
              <w:rPr>
                <w:sz w:val="10"/>
                <w:szCs w:val="10"/>
                <w:color w:val="auto"/>
              </w:rPr>
            </w:pPr>
          </w:p>
        </w:tc>
        <w:tc>
          <w:tcPr>
            <w:tcW w:w="820" w:type="dxa"/>
            <w:vAlign w:val="bottom"/>
            <w:tcBorders>
              <w:top w:val="single" w:sz="8" w:color="CCEEFF"/>
              <w:bottom w:val="single" w:sz="8" w:color="CCEEFF"/>
            </w:tcBorders>
            <w:shd w:val="clear" w:color="auto" w:fill="CCEEFF"/>
          </w:tcPr>
          <w:p>
            <w:pPr>
              <w:spacing w:after="0"/>
              <w:rPr>
                <w:sz w:val="10"/>
                <w:szCs w:val="10"/>
                <w:color w:val="auto"/>
              </w:rPr>
            </w:pPr>
          </w:p>
        </w:tc>
        <w:tc>
          <w:tcPr>
            <w:tcW w:w="9680" w:type="dxa"/>
            <w:vAlign w:val="bottom"/>
            <w:tcBorders>
              <w:top w:val="single" w:sz="8" w:color="0000EE"/>
              <w:bottom w:val="single" w:sz="8" w:color="0000EE"/>
            </w:tcBorders>
            <w:gridSpan w:val="36"/>
            <w:shd w:val="clear" w:color="auto" w:fill="CCEEFF"/>
          </w:tcPr>
          <w:p>
            <w:pPr>
              <w:spacing w:after="0" w:line="122"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Intertechnology, Inc.), Vishay Intertechnology, Inc., and Andreas Randebrock. Incorporated by reference to Exhibit 10.6 to our current report on Form 8-K, filed</w:t>
              </w:r>
            </w:hyperlink>
          </w:p>
        </w:tc>
        <w:tc>
          <w:tcPr>
            <w:tcW w:w="20" w:type="dxa"/>
            <w:vAlign w:val="bottom"/>
            <w:tcBorders>
              <w:top w:val="single" w:sz="8" w:color="CCEEFF"/>
              <w:bottom w:val="single" w:sz="8" w:color="0000EE"/>
            </w:tcBorders>
            <w:shd w:val="clear" w:color="auto" w:fill="CCEEFF"/>
          </w:tcPr>
          <w:p>
            <w:pPr>
              <w:spacing w:after="0"/>
              <w:rPr>
                <w:sz w:val="10"/>
                <w:szCs w:val="10"/>
                <w:color w:val="auto"/>
              </w:rPr>
            </w:pPr>
          </w:p>
        </w:tc>
        <w:tc>
          <w:tcPr>
            <w:tcW w:w="40" w:type="dxa"/>
            <w:vAlign w:val="bottom"/>
            <w:tcBorders>
              <w:top w:val="single" w:sz="8" w:color="CCEEFF"/>
              <w:bottom w:val="single" w:sz="8" w:color="0000EE"/>
            </w:tcBorders>
            <w:gridSpan w:val="2"/>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42"/>
        </w:trPr>
        <w:tc>
          <w:tcPr>
            <w:tcW w:w="72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740" w:type="dxa"/>
            <w:vAlign w:val="bottom"/>
            <w:gridSpan w:val="39"/>
            <w:shd w:val="clear" w:color="auto" w:fill="CCEEFF"/>
          </w:tcPr>
          <w:p>
            <w:pPr>
              <w:spacing w:after="0" w:line="142"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July 18, 2022.</w:t>
              </w:r>
            </w:hyperlink>
          </w:p>
        </w:tc>
        <w:tc>
          <w:tcPr>
            <w:tcW w:w="60" w:type="dxa"/>
            <w:vAlign w:val="bottom"/>
            <w:gridSpan w:val="3"/>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CCEEFF"/>
            </w:tcBorders>
            <w:shd w:val="clear" w:color="auto" w:fill="0000EE"/>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jc w:val="right"/>
              <w:ind w:right="820"/>
              <w:spacing w:after="0" w:line="135" w:lineRule="exact"/>
              <w:rPr>
                <w:rFonts w:ascii="Times New Roman" w:cs="Times New Roman" w:eastAsia="Times New Roman" w:hAnsi="Times New Roman"/>
                <w:sz w:val="14"/>
                <w:szCs w:val="14"/>
                <w:color w:val="0000EE"/>
                <w:w w:val="93"/>
              </w:rPr>
            </w:pPr>
            <w:hyperlink r:id="rId107">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40†</w:t>
              </w:r>
            </w:hyperlink>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Second Amended and Restated Employment Agreement, dated July 14, 2022, between Vishay Intertechnology, Inc. and Peter Henrici. Incorporated by reference</w:t>
              </w:r>
            </w:hyperlink>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400" w:type="dxa"/>
            <w:vAlign w:val="bottom"/>
            <w:tcBorders>
              <w:top w:val="single" w:sz="8" w:color="0000EE"/>
            </w:tcBorders>
            <w:gridSpan w:val="22"/>
          </w:tcPr>
          <w:p>
            <w:pPr>
              <w:spacing w:after="0" w:line="142"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to Exhibit 10.7 to our current report on Form 8-K, filed July 18,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7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20"/>
              <w:spacing w:after="0" w:line="135" w:lineRule="exact"/>
              <w:rPr>
                <w:rFonts w:ascii="Times New Roman" w:cs="Times New Roman" w:eastAsia="Times New Roman" w:hAnsi="Times New Roman"/>
                <w:sz w:val="14"/>
                <w:szCs w:val="14"/>
                <w:color w:val="0000EE"/>
                <w:w w:val="93"/>
              </w:rPr>
            </w:pPr>
            <w:hyperlink r:id="rId108">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41†</w:t>
              </w:r>
            </w:hyperlink>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Vishay Intertechnology, Inc. Key Employee Wealth Accumulation Plan (as amended and restated, effective January 1, 2017).  Incorporated by reference to</w:t>
              </w:r>
            </w:hyperlink>
          </w:p>
        </w:tc>
      </w:tr>
      <w:tr>
        <w:trPr>
          <w:trHeight w:val="122"/>
        </w:trPr>
        <w:tc>
          <w:tcPr>
            <w:tcW w:w="7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0000EE"/>
              <w:right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9540" w:type="dxa"/>
            <w:vAlign w:val="bottom"/>
            <w:tcBorders>
              <w:top w:val="single" w:sz="8" w:color="0000EE"/>
            </w:tcBorders>
            <w:gridSpan w:val="29"/>
            <w:shd w:val="clear" w:color="auto" w:fill="CCEEFF"/>
          </w:tcPr>
          <w:p>
            <w:pPr>
              <w:spacing w:after="0" w:line="122"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Exhibit 10.1 to our current report on Form 8-K filed December 23, 2016.</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100" w:type="dxa"/>
            <w:vAlign w:val="bottom"/>
            <w:tcBorders>
              <w:top w:val="single" w:sz="8" w:color="CCEEFF"/>
            </w:tcBorders>
            <w:gridSpan w:val="5"/>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100" w:type="dxa"/>
            <w:vAlign w:val="bottom"/>
            <w:gridSpan w:val="2"/>
          </w:tcPr>
          <w:p>
            <w:pPr>
              <w:jc w:val="right"/>
              <w:spacing w:after="0" w:line="135"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42</w:t>
              </w:r>
            </w:hyperlink>
          </w:p>
        </w:tc>
        <w:tc>
          <w:tcPr>
            <w:tcW w:w="820" w:type="dxa"/>
            <w:vAlign w:val="bottom"/>
          </w:tcPr>
          <w:p>
            <w:pPr>
              <w:spacing w:after="0"/>
              <w:rPr>
                <w:sz w:val="11"/>
                <w:szCs w:val="11"/>
                <w:color w:val="auto"/>
              </w:rPr>
            </w:pPr>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Master Separation and Distribution Agreement, dated June 22, 2010, by and among Vishay Intertechnology, Inc. and Vishay Precision Group, Inc. Incorporated</w:t>
              </w:r>
            </w:hyperlink>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420" w:type="dxa"/>
            <w:vAlign w:val="bottom"/>
            <w:tcBorders>
              <w:top w:val="single" w:sz="8" w:color="0000EE"/>
            </w:tcBorders>
            <w:gridSpan w:val="23"/>
          </w:tcPr>
          <w:p>
            <w:pPr>
              <w:spacing w:after="0" w:line="142"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by reference to Exhibit 10.1 to our current report on Form 8-K filed June 23, 2010.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100" w:type="dxa"/>
            <w:vAlign w:val="bottom"/>
            <w:tcBorders>
              <w:right w:val="single" w:sz="8" w:color="CCEEFF"/>
            </w:tcBorders>
            <w:gridSpan w:val="2"/>
            <w:shd w:val="clear" w:color="auto" w:fill="CCEEFF"/>
          </w:tcPr>
          <w:p>
            <w:pPr>
              <w:jc w:val="right"/>
              <w:spacing w:after="0" w:line="135"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43</w:t>
              </w:r>
            </w:hyperlink>
          </w:p>
        </w:tc>
        <w:tc>
          <w:tcPr>
            <w:tcW w:w="820" w:type="dxa"/>
            <w:vAlign w:val="bottom"/>
            <w:shd w:val="clear" w:color="auto" w:fill="CCEEFF"/>
          </w:tcPr>
          <w:p>
            <w:pPr>
              <w:spacing w:after="0"/>
              <w:rPr>
                <w:sz w:val="11"/>
                <w:szCs w:val="11"/>
                <w:color w:val="auto"/>
              </w:rPr>
            </w:pPr>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Employee Matters Agreement, dated June 22, 2010, by and among Vishay Intertechnology, Inc. and Vishay Precision Group, Inc. Incorporated by reference to</w:t>
              </w:r>
            </w:hyperlink>
          </w:p>
        </w:tc>
      </w:tr>
      <w:tr>
        <w:trPr>
          <w:trHeight w:val="142"/>
        </w:trPr>
        <w:tc>
          <w:tcPr>
            <w:tcW w:w="7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EE"/>
              <w:right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EE"/>
            </w:tcBorders>
            <w:gridSpan w:val="34"/>
            <w:shd w:val="clear" w:color="auto" w:fill="CCEEFF"/>
          </w:tcPr>
          <w:p>
            <w:pPr>
              <w:spacing w:after="0" w:line="142" w:lineRule="exact"/>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Exhibit 10.2 to our current report on Form 8-K filed June 23, 2010.</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5"/>
        </w:trPr>
        <w:tc>
          <w:tcPr>
            <w:tcW w:w="1100" w:type="dxa"/>
            <w:vAlign w:val="bottom"/>
            <w:gridSpan w:val="2"/>
          </w:tcPr>
          <w:p>
            <w:pPr>
              <w:jc w:val="right"/>
              <w:spacing w:after="0" w:line="135"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44</w:t>
              </w:r>
            </w:hyperlink>
          </w:p>
        </w:tc>
        <w:tc>
          <w:tcPr>
            <w:tcW w:w="820" w:type="dxa"/>
            <w:vAlign w:val="bottom"/>
          </w:tcPr>
          <w:p>
            <w:pPr>
              <w:spacing w:after="0"/>
              <w:rPr>
                <w:sz w:val="13"/>
                <w:szCs w:val="13"/>
                <w:color w:val="auto"/>
              </w:rPr>
            </w:pPr>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Tax Matters Agreement, dated July 6, 2010, between Vishay Precision Group, Inc. and Vishay Intertechnology, Inc. Incorporated by reference to Exhibit 10.1 to</w:t>
              </w:r>
            </w:hyperlink>
          </w:p>
        </w:tc>
      </w:tr>
      <w:tr>
        <w:trPr>
          <w:trHeight w:val="122"/>
        </w:trPr>
        <w:tc>
          <w:tcPr>
            <w:tcW w:w="720" w:type="dxa"/>
            <w:vAlign w:val="bottom"/>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820" w:type="dxa"/>
            <w:vAlign w:val="bottom"/>
            <w:tcBorders>
              <w:top w:val="single" w:sz="8" w:color="0000EE"/>
            </w:tcBorders>
            <w:gridSpan w:val="43"/>
          </w:tcPr>
          <w:p>
            <w:pPr>
              <w:spacing w:after="0" w:line="122" w:lineRule="exact"/>
              <w:rPr>
                <w:rFonts w:ascii="Times New Roman" w:cs="Times New Roman" w:eastAsia="Times New Roman" w:hAnsi="Times New Roman"/>
                <w:sz w:val="14"/>
                <w:szCs w:val="14"/>
                <w:color w:val="0000EE"/>
              </w:rPr>
            </w:pPr>
            <w:hyperlink r:id="rId111">
              <w:r>
                <w:rPr>
                  <w:rFonts w:ascii="Times New Roman" w:cs="Times New Roman" w:eastAsia="Times New Roman" w:hAnsi="Times New Roman"/>
                  <w:sz w:val="14"/>
                  <w:szCs w:val="14"/>
                  <w:color w:val="0000EE"/>
                </w:rPr>
                <w:t>Vishay Precision Group, Inc.’s current report on Form 8-K filed July 7, 2010.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100" w:type="dxa"/>
            <w:vAlign w:val="bottom"/>
            <w:tcBorders>
              <w:right w:val="single" w:sz="8" w:color="CCEEFF"/>
            </w:tcBorders>
            <w:gridSpan w:val="2"/>
            <w:shd w:val="clear" w:color="auto" w:fill="CCEEFF"/>
          </w:tcPr>
          <w:p>
            <w:pPr>
              <w:jc w:val="right"/>
              <w:spacing w:after="0" w:line="135"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45</w:t>
              </w:r>
            </w:hyperlink>
          </w:p>
        </w:tc>
        <w:tc>
          <w:tcPr>
            <w:tcW w:w="820" w:type="dxa"/>
            <w:vAlign w:val="bottom"/>
            <w:shd w:val="clear" w:color="auto" w:fill="CCEEFF"/>
          </w:tcPr>
          <w:p>
            <w:pPr>
              <w:spacing w:after="0"/>
              <w:rPr>
                <w:sz w:val="11"/>
                <w:szCs w:val="11"/>
                <w:color w:val="auto"/>
              </w:rPr>
            </w:pPr>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Trademark License Agreement, dated July 6, 2010, between Vishay Precision Group, Inc. and Vishay Intertechnology, Inc. Incorporated by reference to Exhibit</w:t>
              </w:r>
            </w:hyperlink>
          </w:p>
        </w:tc>
      </w:tr>
      <w:tr>
        <w:trPr>
          <w:trHeight w:val="149"/>
        </w:trPr>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4900" w:type="dxa"/>
            <w:vAlign w:val="bottom"/>
            <w:tcBorders>
              <w:top w:val="single" w:sz="8" w:color="0000EE"/>
              <w:bottom w:val="single" w:sz="8" w:color="0000EE"/>
            </w:tcBorders>
            <w:gridSpan w:val="13"/>
            <w:shd w:val="clear" w:color="auto" w:fill="CCEEFF"/>
          </w:tcPr>
          <w:p>
            <w:pPr>
              <w:spacing w:after="0" w:line="142" w:lineRule="exact"/>
              <w:rPr>
                <w:rFonts w:ascii="Times New Roman" w:cs="Times New Roman" w:eastAsia="Times New Roman" w:hAnsi="Times New Roman"/>
                <w:sz w:val="14"/>
                <w:szCs w:val="14"/>
                <w:color w:val="0000EE"/>
              </w:rPr>
            </w:pPr>
            <w:hyperlink r:id="rId11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EE"/>
                </w:rPr>
                <w:t xml:space="preserve"> to Vishay Precision Group, Inc.’s current report on Form 8-K filed July 7, 2010.</w:t>
              </w:r>
            </w:hyperlink>
          </w:p>
        </w:tc>
        <w:tc>
          <w:tcPr>
            <w:tcW w:w="4620" w:type="dxa"/>
            <w:vAlign w:val="bottom"/>
            <w:tcBorders>
              <w:top w:val="single" w:sz="8" w:color="0000EE"/>
              <w:bottom w:val="single" w:sz="8" w:color="CCEEFF"/>
            </w:tcBorders>
            <w:gridSpan w:val="15"/>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55"/>
        </w:trPr>
        <w:tc>
          <w:tcPr>
            <w:tcW w:w="1920" w:type="dxa"/>
            <w:vAlign w:val="bottom"/>
            <w:gridSpan w:val="3"/>
          </w:tcPr>
          <w:p>
            <w:pPr>
              <w:jc w:val="right"/>
              <w:ind w:right="820"/>
              <w:spacing w:after="0" w:line="135"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46*</w:t>
              </w:r>
            </w:hyperlink>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Supply Agreement, dated July 6, 2010, between Vishay Advanced Technology, Ltd. And Vishay Dale Electronics, Inc. Incorporated by reference to Exhibit 10.4</w:t>
              </w:r>
            </w:hyperlink>
          </w:p>
        </w:tc>
      </w:tr>
      <w:tr>
        <w:trPr>
          <w:trHeight w:val="122"/>
        </w:trPr>
        <w:tc>
          <w:tcPr>
            <w:tcW w:w="720" w:type="dxa"/>
            <w:vAlign w:val="bottom"/>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820" w:type="dxa"/>
            <w:vAlign w:val="bottom"/>
          </w:tcPr>
          <w:p>
            <w:pPr>
              <w:spacing w:after="0"/>
              <w:rPr>
                <w:sz w:val="10"/>
                <w:szCs w:val="10"/>
                <w:color w:val="auto"/>
              </w:rPr>
            </w:pPr>
          </w:p>
        </w:tc>
        <w:tc>
          <w:tcPr>
            <w:tcW w:w="9380" w:type="dxa"/>
            <w:vAlign w:val="bottom"/>
            <w:tcBorders>
              <w:top w:val="single" w:sz="8" w:color="0000EE"/>
            </w:tcBorders>
            <w:gridSpan w:val="21"/>
          </w:tcPr>
          <w:p>
            <w:pPr>
              <w:spacing w:after="0" w:line="122" w:lineRule="exact"/>
              <w:rPr>
                <w:rFonts w:ascii="Times New Roman" w:cs="Times New Roman" w:eastAsia="Times New Roman" w:hAnsi="Times New Roman"/>
                <w:sz w:val="14"/>
                <w:szCs w:val="14"/>
                <w:color w:val="0000EE"/>
              </w:rPr>
            </w:pPr>
            <w:hyperlink r:id="rId113">
              <w:r>
                <w:rPr>
                  <w:rFonts w:ascii="Times New Roman" w:cs="Times New Roman" w:eastAsia="Times New Roman" w:hAnsi="Times New Roman"/>
                  <w:sz w:val="14"/>
                  <w:szCs w:val="14"/>
                  <w:color w:val="0000EE"/>
                </w:rPr>
                <w:t>to Vishay Precision Group, Inc.’s current report on Form 8-K filed July 7, 2010.</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1920" w:type="dxa"/>
            <w:vAlign w:val="bottom"/>
            <w:gridSpan w:val="3"/>
            <w:shd w:val="clear" w:color="auto" w:fill="CCEEFF"/>
          </w:tcPr>
          <w:p>
            <w:pPr>
              <w:jc w:val="right"/>
              <w:ind w:right="820"/>
              <w:spacing w:after="0" w:line="135"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47*</w:t>
              </w:r>
            </w:hyperlink>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Patent License Agreement, dated July 6, 2010, between Vishay Precision Group, Inc. and Vishay Dale Electronics, Inc. Incorporated by reference to Exhibit 10.6</w:t>
              </w:r>
            </w:hyperlink>
          </w:p>
        </w:tc>
      </w:tr>
      <w:tr>
        <w:trPr>
          <w:trHeight w:val="142"/>
        </w:trPr>
        <w:tc>
          <w:tcPr>
            <w:tcW w:w="7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EE"/>
              <w:right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0000EE"/>
            </w:tcBorders>
            <w:gridSpan w:val="36"/>
            <w:shd w:val="clear" w:color="auto" w:fill="CCEEFF"/>
          </w:tcPr>
          <w:p>
            <w:pPr>
              <w:spacing w:after="0" w:line="142" w:lineRule="exact"/>
              <w:rPr>
                <w:rFonts w:ascii="Times New Roman" w:cs="Times New Roman" w:eastAsia="Times New Roman" w:hAnsi="Times New Roman"/>
                <w:sz w:val="14"/>
                <w:szCs w:val="14"/>
                <w:color w:val="0000EE"/>
              </w:rPr>
            </w:pPr>
            <w:hyperlink r:id="rId114">
              <w:r>
                <w:rPr>
                  <w:rFonts w:ascii="Times New Roman" w:cs="Times New Roman" w:eastAsia="Times New Roman" w:hAnsi="Times New Roman"/>
                  <w:sz w:val="14"/>
                  <w:szCs w:val="14"/>
                  <w:color w:val="0000EE"/>
                </w:rPr>
                <w:t>to Vishay Precision Group, Inc.’s current report on Form 8-K filed July 7, 2010.</w:t>
              </w:r>
            </w:hyperlink>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5"/>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920" w:type="dxa"/>
            <w:vAlign w:val="bottom"/>
            <w:gridSpan w:val="3"/>
          </w:tcPr>
          <w:p>
            <w:pPr>
              <w:jc w:val="right"/>
              <w:ind w:right="820"/>
              <w:spacing w:after="0" w:line="135"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48*</w:t>
              </w:r>
            </w:hyperlink>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Supply Agreement, dated July 6, 2010, between Vishay Dale Electronics, Inc. and Vishay Advanced Technology, Ltd. Incorporated by reference to Exhibit 10.8 to</w:t>
              </w:r>
            </w:hyperlink>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360" w:type="dxa"/>
            <w:vAlign w:val="bottom"/>
            <w:tcBorders>
              <w:top w:val="single" w:sz="8" w:color="0000EE"/>
            </w:tcBorders>
            <w:gridSpan w:val="20"/>
          </w:tcPr>
          <w:p>
            <w:pPr>
              <w:spacing w:after="0" w:line="142" w:lineRule="exact"/>
              <w:rPr>
                <w:rFonts w:ascii="Times New Roman" w:cs="Times New Roman" w:eastAsia="Times New Roman" w:hAnsi="Times New Roman"/>
                <w:sz w:val="14"/>
                <w:szCs w:val="14"/>
                <w:color w:val="0000EE"/>
              </w:rPr>
            </w:pPr>
            <w:hyperlink r:id="rId115">
              <w:r>
                <w:rPr>
                  <w:rFonts w:ascii="Times New Roman" w:cs="Times New Roman" w:eastAsia="Times New Roman" w:hAnsi="Times New Roman"/>
                  <w:sz w:val="14"/>
                  <w:szCs w:val="14"/>
                  <w:color w:val="0000EE"/>
                </w:rPr>
                <w:t>Vishay Precision Group, Inc.’s current report on Form 8-K filed July 7, 2010.</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1920" w:type="dxa"/>
            <w:vAlign w:val="bottom"/>
            <w:gridSpan w:val="3"/>
            <w:shd w:val="clear" w:color="auto" w:fill="CCEEFF"/>
          </w:tcPr>
          <w:p>
            <w:pPr>
              <w:jc w:val="right"/>
              <w:ind w:right="820"/>
              <w:spacing w:after="0" w:line="135"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49*</w:t>
              </w:r>
            </w:hyperlink>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Supply Agreement, dated July 6, 2010, between Vishay Measurements Group, Inc. and Vishay S.A. Incorporated by reference to Exhibit 10.9 to Vishay Precision</w:t>
              </w:r>
            </w:hyperlink>
          </w:p>
        </w:tc>
      </w:tr>
      <w:tr>
        <w:trPr>
          <w:trHeight w:val="129"/>
        </w:trPr>
        <w:tc>
          <w:tcPr>
            <w:tcW w:w="72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0000EE"/>
              <w:bottom w:val="single" w:sz="8" w:color="CCEEFF"/>
              <w:right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3460" w:type="dxa"/>
            <w:vAlign w:val="bottom"/>
            <w:tcBorders>
              <w:top w:val="single" w:sz="8" w:color="0000EE"/>
              <w:bottom w:val="single" w:sz="8" w:color="0000EE"/>
            </w:tcBorders>
            <w:gridSpan w:val="6"/>
            <w:shd w:val="clear" w:color="auto" w:fill="CCEEFF"/>
          </w:tcPr>
          <w:p>
            <w:pPr>
              <w:spacing w:after="0" w:line="122" w:lineRule="exact"/>
              <w:rPr>
                <w:rFonts w:ascii="Times New Roman" w:cs="Times New Roman" w:eastAsia="Times New Roman" w:hAnsi="Times New Roman"/>
                <w:sz w:val="14"/>
                <w:szCs w:val="14"/>
                <w:color w:val="0000EE"/>
              </w:rPr>
            </w:pPr>
            <w:hyperlink r:id="rId116">
              <w:r>
                <w:rPr>
                  <w:rFonts w:ascii="Times New Roman" w:cs="Times New Roman" w:eastAsia="Times New Roman" w:hAnsi="Times New Roman"/>
                  <w:sz w:val="14"/>
                  <w:szCs w:val="14"/>
                  <w:color w:val="0000EE"/>
                </w:rPr>
                <w:t>Group, Inc.’s current report on Form 8-K filed July 7, 2010.</w:t>
              </w:r>
            </w:hyperlink>
          </w:p>
        </w:tc>
        <w:tc>
          <w:tcPr>
            <w:tcW w:w="5960" w:type="dxa"/>
            <w:vAlign w:val="bottom"/>
            <w:tcBorders>
              <w:top w:val="single" w:sz="8" w:color="0000EE"/>
              <w:bottom w:val="single" w:sz="8" w:color="CCEEFF"/>
            </w:tcBorders>
            <w:gridSpan w:val="17"/>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10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35"/>
        </w:trPr>
        <w:tc>
          <w:tcPr>
            <w:tcW w:w="1920" w:type="dxa"/>
            <w:vAlign w:val="bottom"/>
            <w:gridSpan w:val="3"/>
          </w:tcPr>
          <w:p>
            <w:pPr>
              <w:jc w:val="right"/>
              <w:ind w:right="820"/>
              <w:spacing w:after="0" w:line="135"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50*</w:t>
              </w:r>
            </w:hyperlink>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Manufacturing Agreement, dated July 6, 2010, between Vishay S.A. and Vishay Precision Foil GmbH. Incorporated by reference to Exhibit 10.10 to Vishay</w:t>
              </w:r>
            </w:hyperlink>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700" w:type="dxa"/>
            <w:vAlign w:val="bottom"/>
            <w:tcBorders>
              <w:top w:val="single" w:sz="8" w:color="0000EE"/>
            </w:tcBorders>
            <w:gridSpan w:val="37"/>
          </w:tcPr>
          <w:p>
            <w:pPr>
              <w:spacing w:after="0" w:line="142" w:lineRule="exact"/>
              <w:rPr>
                <w:rFonts w:ascii="Times New Roman" w:cs="Times New Roman" w:eastAsia="Times New Roman" w:hAnsi="Times New Roman"/>
                <w:sz w:val="14"/>
                <w:szCs w:val="14"/>
                <w:color w:val="0000EE"/>
              </w:rPr>
            </w:pPr>
            <w:hyperlink r:id="rId117">
              <w:r>
                <w:rPr>
                  <w:rFonts w:ascii="Times New Roman" w:cs="Times New Roman" w:eastAsia="Times New Roman" w:hAnsi="Times New Roman"/>
                  <w:sz w:val="14"/>
                  <w:szCs w:val="14"/>
                  <w:color w:val="0000EE"/>
                </w:rPr>
                <w:t>Precision Group, Inc.’s current report on Form 8-K filed July 7, 2010.</w:t>
              </w:r>
            </w:hyperlink>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1100" w:type="dxa"/>
            <w:vAlign w:val="bottom"/>
            <w:tcBorders>
              <w:right w:val="single" w:sz="8" w:color="CCEEFF"/>
            </w:tcBorders>
            <w:gridSpan w:val="2"/>
            <w:shd w:val="clear" w:color="auto" w:fill="CCEEFF"/>
          </w:tcPr>
          <w:p>
            <w:pPr>
              <w:jc w:val="right"/>
              <w:spacing w:after="0" w:line="135"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51</w:t>
              </w:r>
            </w:hyperlink>
          </w:p>
        </w:tc>
        <w:tc>
          <w:tcPr>
            <w:tcW w:w="820" w:type="dxa"/>
            <w:vAlign w:val="bottom"/>
            <w:shd w:val="clear" w:color="auto" w:fill="CCEEFF"/>
          </w:tcPr>
          <w:p>
            <w:pPr>
              <w:spacing w:after="0"/>
              <w:rPr>
                <w:sz w:val="13"/>
                <w:szCs w:val="13"/>
                <w:color w:val="auto"/>
              </w:rPr>
            </w:pPr>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Intellectual Property License Agreement, dated July 6, 2010, between Vishay S.A. and Vishay Precision Foil GmbH. Incorporated by reference to Exhibit 10.11 to</w:t>
              </w:r>
            </w:hyperlink>
          </w:p>
        </w:tc>
      </w:tr>
      <w:tr>
        <w:trPr>
          <w:trHeight w:val="122"/>
        </w:trPr>
        <w:tc>
          <w:tcPr>
            <w:tcW w:w="7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0000EE"/>
              <w:right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9560" w:type="dxa"/>
            <w:vAlign w:val="bottom"/>
            <w:tcBorders>
              <w:top w:val="single" w:sz="8" w:color="0000EE"/>
            </w:tcBorders>
            <w:gridSpan w:val="30"/>
            <w:shd w:val="clear" w:color="auto" w:fill="CCEEFF"/>
          </w:tcPr>
          <w:p>
            <w:pPr>
              <w:spacing w:after="0" w:line="122" w:lineRule="exact"/>
              <w:rPr>
                <w:rFonts w:ascii="Times New Roman" w:cs="Times New Roman" w:eastAsia="Times New Roman" w:hAnsi="Times New Roman"/>
                <w:sz w:val="14"/>
                <w:szCs w:val="14"/>
                <w:color w:val="0000EE"/>
              </w:rPr>
            </w:pPr>
            <w:hyperlink r:id="rId118">
              <w:r>
                <w:rPr>
                  <w:rFonts w:ascii="Times New Roman" w:cs="Times New Roman" w:eastAsia="Times New Roman" w:hAnsi="Times New Roman"/>
                  <w:sz w:val="14"/>
                  <w:szCs w:val="14"/>
                  <w:color w:val="0000EE"/>
                </w:rPr>
                <w:t>Vishay Precision Group, Inc.’s current report on Form 8-K filed July 7, 2010.</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gridSpan w:val="10"/>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920" w:type="dxa"/>
            <w:vAlign w:val="bottom"/>
            <w:gridSpan w:val="3"/>
          </w:tcPr>
          <w:p>
            <w:pPr>
              <w:jc w:val="right"/>
              <w:ind w:right="820"/>
              <w:spacing w:after="0" w:line="135"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52*</w:t>
              </w:r>
            </w:hyperlink>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Supply Agreement, dated July 6, 2010, between Vishay Precision Foil GmbH and Vishay S.A. Incorporated by reference to Exhibit 10.12 to Vishay Precision</w:t>
              </w:r>
            </w:hyperlink>
          </w:p>
        </w:tc>
      </w:tr>
      <w:tr>
        <w:trPr>
          <w:trHeight w:val="149"/>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3460" w:type="dxa"/>
            <w:vAlign w:val="bottom"/>
            <w:tcBorders>
              <w:top w:val="single" w:sz="8" w:color="0000EE"/>
              <w:bottom w:val="single" w:sz="8" w:color="0000EE"/>
            </w:tcBorders>
            <w:gridSpan w:val="6"/>
          </w:tcPr>
          <w:p>
            <w:pPr>
              <w:spacing w:after="0" w:line="142" w:lineRule="exact"/>
              <w:rPr>
                <w:rFonts w:ascii="Times New Roman" w:cs="Times New Roman" w:eastAsia="Times New Roman" w:hAnsi="Times New Roman"/>
                <w:sz w:val="14"/>
                <w:szCs w:val="14"/>
                <w:color w:val="0000EE"/>
              </w:rPr>
            </w:pPr>
            <w:hyperlink r:id="rId119">
              <w:r>
                <w:rPr>
                  <w:rFonts w:ascii="Times New Roman" w:cs="Times New Roman" w:eastAsia="Times New Roman" w:hAnsi="Times New Roman"/>
                  <w:sz w:val="14"/>
                  <w:szCs w:val="14"/>
                  <w:color w:val="0000EE"/>
                </w:rPr>
                <w:t>Group, Inc.’s current report on Form 8-K filed July 7, 2010.</w:t>
              </w:r>
            </w:hyperlink>
          </w:p>
        </w:tc>
        <w:tc>
          <w:tcPr>
            <w:tcW w:w="6140" w:type="dxa"/>
            <w:vAlign w:val="bottom"/>
            <w:tcBorders>
              <w:top w:val="single" w:sz="8" w:color="0000EE"/>
            </w:tcBorders>
            <w:gridSpan w:val="26"/>
          </w:tcPr>
          <w:p>
            <w:pPr>
              <w:spacing w:after="0"/>
              <w:rPr>
                <w:sz w:val="12"/>
                <w:szCs w:val="12"/>
                <w:color w:val="auto"/>
              </w:rPr>
            </w:pPr>
          </w:p>
        </w:tc>
        <w:tc>
          <w:tcPr>
            <w:tcW w:w="200" w:type="dxa"/>
            <w:vAlign w:val="bottom"/>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1920" w:type="dxa"/>
            <w:vAlign w:val="bottom"/>
            <w:gridSpan w:val="3"/>
            <w:shd w:val="clear" w:color="auto" w:fill="CCEEFF"/>
          </w:tcPr>
          <w:p>
            <w:pPr>
              <w:jc w:val="right"/>
              <w:ind w:right="820"/>
              <w:spacing w:after="0" w:line="135" w:lineRule="exact"/>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53*</w:t>
              </w:r>
            </w:hyperlink>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Intellectual Property License Agreement, dated July 6, 2010, between Vishay S.A. and Vishay Measurements Group, Inc. Incorporated by reference to Exhibit</w:t>
              </w:r>
            </w:hyperlink>
          </w:p>
        </w:tc>
      </w:tr>
      <w:tr>
        <w:trPr>
          <w:trHeight w:val="142"/>
        </w:trPr>
        <w:tc>
          <w:tcPr>
            <w:tcW w:w="7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0000EE"/>
              <w:right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9500" w:type="dxa"/>
            <w:vAlign w:val="bottom"/>
            <w:tcBorders>
              <w:top w:val="single" w:sz="8" w:color="0000EE"/>
            </w:tcBorders>
            <w:gridSpan w:val="27"/>
            <w:shd w:val="clear" w:color="auto" w:fill="CCEEFF"/>
          </w:tcPr>
          <w:p>
            <w:pPr>
              <w:spacing w:after="0" w:line="142" w:lineRule="exact"/>
              <w:rPr>
                <w:rFonts w:ascii="Times New Roman" w:cs="Times New Roman" w:eastAsia="Times New Roman" w:hAnsi="Times New Roman"/>
                <w:sz w:val="14"/>
                <w:szCs w:val="14"/>
                <w:color w:val="0000EE"/>
              </w:rPr>
            </w:pPr>
            <w:hyperlink r:id="rId120">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4"/>
                  <w:szCs w:val="14"/>
                  <w:color w:val="0000EE"/>
                </w:rPr>
                <w:t xml:space="preserve"> to Vishay Precision Group, Inc.’s current report on Form 8-K filed July 7, 2010.</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220" w:type="dxa"/>
            <w:vAlign w:val="bottom"/>
            <w:tcBorders>
              <w:top w:val="single" w:sz="8" w:color="CCEEFF"/>
            </w:tcBorders>
            <w:gridSpan w:val="11"/>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1100" w:type="dxa"/>
            <w:vAlign w:val="bottom"/>
            <w:gridSpan w:val="2"/>
          </w:tcPr>
          <w:p>
            <w:pPr>
              <w:jc w:val="right"/>
              <w:spacing w:after="0" w:line="135"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54</w:t>
              </w:r>
            </w:hyperlink>
          </w:p>
        </w:tc>
        <w:tc>
          <w:tcPr>
            <w:tcW w:w="820" w:type="dxa"/>
            <w:vAlign w:val="bottom"/>
          </w:tcPr>
          <w:p>
            <w:pPr>
              <w:spacing w:after="0"/>
              <w:rPr>
                <w:sz w:val="11"/>
                <w:szCs w:val="11"/>
                <w:color w:val="auto"/>
              </w:rPr>
            </w:pPr>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Credit Agreement, dated as of June 5, 2019, among Vishay Intertechnology, Inc. and JPMorgan Chase Bank, N.A., as administrative agent and the lenders and</w:t>
              </w:r>
            </w:hyperlink>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580" w:type="dxa"/>
            <w:vAlign w:val="bottom"/>
            <w:tcBorders>
              <w:top w:val="single" w:sz="8" w:color="0000EE"/>
            </w:tcBorders>
            <w:gridSpan w:val="31"/>
          </w:tcPr>
          <w:p>
            <w:pPr>
              <w:spacing w:after="0" w:line="142"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other parties thereto. Incorporated by reference to Exhibit 10.1 to our current report on Form 8-K filed June 5, 2019.</w:t>
              </w:r>
            </w:hyperlink>
          </w:p>
        </w:tc>
        <w:tc>
          <w:tcPr>
            <w:tcW w:w="220" w:type="dxa"/>
            <w:vAlign w:val="bottom"/>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1100" w:type="dxa"/>
            <w:vAlign w:val="bottom"/>
            <w:tcBorders>
              <w:right w:val="single" w:sz="8" w:color="CCEEFF"/>
            </w:tcBorders>
            <w:gridSpan w:val="2"/>
            <w:shd w:val="clear" w:color="auto" w:fill="CCEEFF"/>
          </w:tcPr>
          <w:p>
            <w:pPr>
              <w:jc w:val="right"/>
              <w:spacing w:after="0" w:line="135"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55</w:t>
              </w:r>
            </w:hyperlink>
          </w:p>
        </w:tc>
        <w:tc>
          <w:tcPr>
            <w:tcW w:w="820" w:type="dxa"/>
            <w:vAlign w:val="bottom"/>
            <w:shd w:val="clear" w:color="auto" w:fill="CCEEFF"/>
          </w:tcPr>
          <w:p>
            <w:pPr>
              <w:spacing w:after="0"/>
              <w:rPr>
                <w:sz w:val="13"/>
                <w:szCs w:val="13"/>
                <w:color w:val="auto"/>
              </w:rPr>
            </w:pPr>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Amendment No. 1 to Credit Agreement, dated as of September 20, 2019, among Vishay Intertechnology, Inc. and JPMorgan Chase Bank, N.A., as administrative</w:t>
              </w:r>
            </w:hyperlink>
          </w:p>
        </w:tc>
      </w:tr>
      <w:tr>
        <w:trPr>
          <w:trHeight w:val="122"/>
        </w:trPr>
        <w:tc>
          <w:tcPr>
            <w:tcW w:w="72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0000EE"/>
              <w:bottom w:val="single" w:sz="8" w:color="CCEEFF"/>
              <w:right w:val="single" w:sz="8" w:color="CCEEFF"/>
            </w:tcBorders>
            <w:shd w:val="clear" w:color="auto" w:fill="CCEEFF"/>
          </w:tcPr>
          <w:p>
            <w:pPr>
              <w:spacing w:after="0"/>
              <w:rPr>
                <w:sz w:val="10"/>
                <w:szCs w:val="10"/>
                <w:color w:val="auto"/>
              </w:rPr>
            </w:pPr>
          </w:p>
        </w:tc>
        <w:tc>
          <w:tcPr>
            <w:tcW w:w="820" w:type="dxa"/>
            <w:vAlign w:val="bottom"/>
            <w:tcBorders>
              <w:top w:val="single" w:sz="8" w:color="CCEEFF"/>
              <w:bottom w:val="single" w:sz="8" w:color="CCEEFF"/>
            </w:tcBorders>
            <w:shd w:val="clear" w:color="auto" w:fill="CCEEFF"/>
          </w:tcPr>
          <w:p>
            <w:pPr>
              <w:spacing w:after="0"/>
              <w:rPr>
                <w:sz w:val="10"/>
                <w:szCs w:val="10"/>
                <w:color w:val="auto"/>
              </w:rPr>
            </w:pPr>
          </w:p>
        </w:tc>
        <w:tc>
          <w:tcPr>
            <w:tcW w:w="9800" w:type="dxa"/>
            <w:vAlign w:val="bottom"/>
            <w:tcBorders>
              <w:top w:val="single" w:sz="8" w:color="0000EE"/>
              <w:bottom w:val="single" w:sz="8" w:color="0000EE"/>
            </w:tcBorders>
            <w:gridSpan w:val="42"/>
            <w:shd w:val="clear" w:color="auto" w:fill="CCEEFF"/>
          </w:tcPr>
          <w:p>
            <w:pPr>
              <w:spacing w:after="0" w:line="122"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agent and the lenders and other parties thereto. Incorporated by reference to Exhibit 10.1 to our quarterly report on Form 10-Q for the fiscal quarter ended</w:t>
              </w:r>
            </w:hyperlink>
          </w:p>
        </w:tc>
        <w:tc>
          <w:tcPr>
            <w:tcW w:w="40" w:type="dxa"/>
            <w:vAlign w:val="bottom"/>
            <w:tcBorders>
              <w:top w:val="single" w:sz="8" w:color="CCEEFF"/>
              <w:bottom w:val="single" w:sz="8" w:color="0000EE"/>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49"/>
        </w:trPr>
        <w:tc>
          <w:tcPr>
            <w:tcW w:w="7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right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0000EE"/>
              <w:right w:val="single" w:sz="8" w:color="CCEEFF"/>
            </w:tcBorders>
            <w:gridSpan w:val="4"/>
            <w:shd w:val="clear" w:color="auto" w:fill="CCEEFF"/>
          </w:tcPr>
          <w:p>
            <w:pPr>
              <w:spacing w:after="0" w:line="142"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September 28, 2019.</w:t>
              </w:r>
            </w:hyperlink>
          </w:p>
        </w:tc>
        <w:tc>
          <w:tcPr>
            <w:tcW w:w="8600" w:type="dxa"/>
            <w:vAlign w:val="bottom"/>
            <w:tcBorders>
              <w:bottom w:val="single" w:sz="8" w:color="CCEEFF"/>
            </w:tcBorders>
            <w:gridSpan w:val="40"/>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jc w:val="right"/>
              <w:ind w:right="820"/>
              <w:spacing w:after="0" w:line="135" w:lineRule="exact"/>
              <w:rPr>
                <w:rFonts w:ascii="Times New Roman" w:cs="Times New Roman" w:eastAsia="Times New Roman" w:hAnsi="Times New Roman"/>
                <w:sz w:val="14"/>
                <w:szCs w:val="14"/>
                <w:color w:val="0000EE"/>
                <w:w w:val="93"/>
              </w:rPr>
            </w:pPr>
            <w:hyperlink r:id="rId123">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56†</w:t>
              </w:r>
            </w:hyperlink>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Vishay Intertechnology, Inc. Form of Executive Officer Restricted Stock Unit Agreement. Incorporated by reference to Exhibit 10.45 to our 2019 annual report</w:t>
              </w:r>
            </w:hyperlink>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460" w:type="dxa"/>
            <w:vAlign w:val="bottom"/>
            <w:tcBorders>
              <w:top w:val="single" w:sz="8" w:color="0000EE"/>
            </w:tcBorders>
            <w:gridSpan w:val="25"/>
          </w:tcPr>
          <w:p>
            <w:pPr>
              <w:spacing w:after="0" w:line="142" w:lineRule="exact"/>
              <w:rPr>
                <w:rFonts w:ascii="Times New Roman" w:cs="Times New Roman" w:eastAsia="Times New Roman" w:hAnsi="Times New Roman"/>
                <w:sz w:val="14"/>
                <w:szCs w:val="14"/>
                <w:color w:val="0000EE"/>
              </w:rPr>
            </w:pPr>
            <w:hyperlink r:id="rId123">
              <w:r>
                <w:rPr>
                  <w:rFonts w:ascii="Times New Roman" w:cs="Times New Roman" w:eastAsia="Times New Roman" w:hAnsi="Times New Roman"/>
                  <w:sz w:val="14"/>
                  <w:szCs w:val="14"/>
                  <w:color w:val="0000EE"/>
                </w:rPr>
                <w:t>on Form 10-K.</w:t>
              </w:r>
            </w:hyperlink>
          </w:p>
        </w:tc>
        <w:tc>
          <w:tcPr>
            <w:tcW w:w="20" w:type="dxa"/>
            <w:vAlign w:val="bottom"/>
          </w:tcPr>
          <w:p>
            <w:pPr>
              <w:spacing w:after="0"/>
              <w:rPr>
                <w:sz w:val="12"/>
                <w:szCs w:val="12"/>
                <w:color w:val="auto"/>
              </w:rPr>
            </w:pPr>
          </w:p>
        </w:tc>
        <w:tc>
          <w:tcPr>
            <w:tcW w:w="380" w:type="dxa"/>
            <w:vAlign w:val="bottom"/>
            <w:gridSpan w:val="19"/>
          </w:tcPr>
          <w:p>
            <w:pPr>
              <w:spacing w:after="0"/>
              <w:rPr>
                <w:sz w:val="12"/>
                <w:szCs w:val="12"/>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7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20"/>
              <w:spacing w:after="0" w:line="135" w:lineRule="exact"/>
              <w:rPr>
                <w:rFonts w:ascii="Times New Roman" w:cs="Times New Roman" w:eastAsia="Times New Roman" w:hAnsi="Times New Roman"/>
                <w:sz w:val="14"/>
                <w:szCs w:val="14"/>
                <w:color w:val="0000EE"/>
                <w:w w:val="93"/>
              </w:rPr>
            </w:pPr>
            <w:hyperlink r:id="rId124">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57†</w:t>
              </w:r>
            </w:hyperlink>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Vishay Intertechnology, Inc. Form of Non-Employee Director Restricted Stock Unit Agreement. Incorporated by reference to Exhibit 10.48 to our 2019 annual</w:t>
              </w:r>
            </w:hyperlink>
          </w:p>
        </w:tc>
      </w:tr>
      <w:tr>
        <w:trPr>
          <w:trHeight w:val="122"/>
        </w:trPr>
        <w:tc>
          <w:tcPr>
            <w:tcW w:w="7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0000EE"/>
              <w:right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9440" w:type="dxa"/>
            <w:vAlign w:val="bottom"/>
            <w:tcBorders>
              <w:top w:val="single" w:sz="8" w:color="0000EE"/>
            </w:tcBorders>
            <w:gridSpan w:val="24"/>
            <w:shd w:val="clear" w:color="auto" w:fill="CCEEFF"/>
          </w:tcPr>
          <w:p>
            <w:pPr>
              <w:spacing w:after="0" w:line="122"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report on Form 10-K.</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380" w:type="dxa"/>
            <w:vAlign w:val="bottom"/>
            <w:tcBorders>
              <w:top w:val="single" w:sz="8" w:color="CCEEFF"/>
            </w:tcBorders>
            <w:gridSpan w:val="19"/>
            <w:shd w:val="clear" w:color="auto" w:fill="CCEEFF"/>
          </w:tcPr>
          <w:p>
            <w:pPr>
              <w:spacing w:after="0"/>
              <w:rPr>
                <w:sz w:val="10"/>
                <w:szCs w:val="10"/>
                <w:color w:val="auto"/>
              </w:rPr>
            </w:pPr>
          </w:p>
        </w:tc>
      </w:tr>
      <w:tr>
        <w:trPr>
          <w:trHeight w:val="27"/>
        </w:trPr>
        <w:tc>
          <w:tcPr>
            <w:tcW w:w="7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jc w:val="right"/>
              <w:ind w:right="820"/>
              <w:spacing w:after="0" w:line="135" w:lineRule="exact"/>
              <w:rPr>
                <w:rFonts w:ascii="Times New Roman" w:cs="Times New Roman" w:eastAsia="Times New Roman" w:hAnsi="Times New Roman"/>
                <w:sz w:val="14"/>
                <w:szCs w:val="14"/>
                <w:color w:val="0000EE"/>
                <w:w w:val="93"/>
              </w:rPr>
            </w:pPr>
            <w:hyperlink r:id="rId125">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58†</w:t>
              </w:r>
            </w:hyperlink>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Vishay Intertechnology, Inc. Form of Executive Officer Phantom Stock Unit Agreement. Incorporated by reference to Exhibit 10.50 to our 2019 annual report on</w:t>
              </w:r>
            </w:hyperlink>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9480" w:type="dxa"/>
            <w:vAlign w:val="bottom"/>
            <w:tcBorders>
              <w:top w:val="single" w:sz="8" w:color="0000EE"/>
            </w:tcBorders>
            <w:gridSpan w:val="26"/>
          </w:tcPr>
          <w:p>
            <w:pPr>
              <w:spacing w:after="0" w:line="142"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Form 10-K.</w:t>
              </w:r>
            </w:hyperlink>
          </w:p>
        </w:tc>
        <w:tc>
          <w:tcPr>
            <w:tcW w:w="380" w:type="dxa"/>
            <w:vAlign w:val="bottom"/>
            <w:gridSpan w:val="19"/>
          </w:tcPr>
          <w:p>
            <w:pPr>
              <w:spacing w:after="0"/>
              <w:rPr>
                <w:sz w:val="12"/>
                <w:szCs w:val="12"/>
                <w:color w:val="auto"/>
              </w:rPr>
            </w:pPr>
          </w:p>
        </w:tc>
      </w:tr>
      <w:tr>
        <w:trPr>
          <w:trHeight w:val="27"/>
        </w:trPr>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7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820"/>
              <w:spacing w:after="0" w:line="135" w:lineRule="exact"/>
              <w:rPr>
                <w:rFonts w:ascii="Times New Roman" w:cs="Times New Roman" w:eastAsia="Times New Roman" w:hAnsi="Times New Roman"/>
                <w:sz w:val="14"/>
                <w:szCs w:val="14"/>
                <w:color w:val="0000EE"/>
                <w:w w:val="93"/>
              </w:rPr>
            </w:pPr>
            <w:hyperlink r:id="rId126">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59†</w:t>
              </w:r>
            </w:hyperlink>
          </w:p>
        </w:tc>
        <w:tc>
          <w:tcPr>
            <w:tcW w:w="9860" w:type="dxa"/>
            <w:vAlign w:val="bottom"/>
            <w:gridSpan w:val="45"/>
            <w:shd w:val="clear" w:color="auto" w:fill="CCEEFF"/>
          </w:tcPr>
          <w:p>
            <w:pPr>
              <w:spacing w:after="0" w:line="135"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Vishay Intertechnology, Inc. Non-Employee Director Compensation Plan. Incorporated by reference to Exhibit 10.44 to our 2020 annual report on Form 10-K.</w:t>
              </w:r>
            </w:hyperlink>
          </w:p>
        </w:tc>
      </w:tr>
      <w:tr>
        <w:trPr>
          <w:trHeight w:val="27"/>
        </w:trPr>
        <w:tc>
          <w:tcPr>
            <w:tcW w:w="720" w:type="dxa"/>
            <w:vAlign w:val="bottom"/>
            <w:shd w:val="clear" w:color="auto" w:fill="CCEEFF"/>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720" w:type="dxa"/>
            <w:vAlign w:val="bottom"/>
          </w:tcPr>
          <w:p>
            <w:pPr>
              <w:spacing w:after="0"/>
              <w:rPr>
                <w:sz w:val="11"/>
                <w:szCs w:val="11"/>
                <w:color w:val="auto"/>
              </w:rPr>
            </w:pPr>
          </w:p>
        </w:tc>
        <w:tc>
          <w:tcPr>
            <w:tcW w:w="1200" w:type="dxa"/>
            <w:vAlign w:val="bottom"/>
            <w:gridSpan w:val="2"/>
          </w:tcPr>
          <w:p>
            <w:pPr>
              <w:jc w:val="right"/>
              <w:ind w:right="820"/>
              <w:spacing w:after="0" w:line="135" w:lineRule="exact"/>
              <w:rPr>
                <w:rFonts w:ascii="Times New Roman" w:cs="Times New Roman" w:eastAsia="Times New Roman" w:hAnsi="Times New Roman"/>
                <w:sz w:val="14"/>
                <w:szCs w:val="14"/>
                <w:color w:val="0000EE"/>
                <w:w w:val="93"/>
              </w:rPr>
            </w:pPr>
            <w:hyperlink r:id="rId127">
              <w:r>
                <w:rPr>
                  <w:rFonts w:ascii="Times New Roman" w:cs="Times New Roman" w:eastAsia="Times New Roman" w:hAnsi="Times New Roman"/>
                  <w:sz w:val="14"/>
                  <w:szCs w:val="14"/>
                  <w:color w:val="0000EE"/>
                  <w:w w:val="93"/>
                </w:rPr>
                <w:t>10.</w:t>
              </w:r>
              <w:r>
                <w:rPr>
                  <w:rFonts w:ascii="Times New Roman" w:cs="Times New Roman" w:eastAsia="Times New Roman" w:hAnsi="Times New Roman"/>
                  <w:sz w:val="14"/>
                  <w:szCs w:val="14"/>
                  <w:u w:val="single" w:color="auto"/>
                  <w:color w:val="0000EE"/>
                  <w:w w:val="93"/>
                </w:rPr>
                <w:t>60†</w:t>
              </w:r>
            </w:hyperlink>
          </w:p>
        </w:tc>
        <w:tc>
          <w:tcPr>
            <w:tcW w:w="9860" w:type="dxa"/>
            <w:vAlign w:val="bottom"/>
            <w:gridSpan w:val="45"/>
          </w:tcPr>
          <w:p>
            <w:pPr>
              <w:spacing w:after="0" w:line="135"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Form of Future Deferred Remuneration Arrangement of Vishay Israel Ltd. (a wholly owned subsidiary of Vishay Intertechnology, Inc.). Incorporated by</w:t>
              </w:r>
            </w:hyperlink>
          </w:p>
        </w:tc>
      </w:tr>
      <w:tr>
        <w:trPr>
          <w:trHeight w:val="142"/>
        </w:trPr>
        <w:tc>
          <w:tcPr>
            <w:tcW w:w="720" w:type="dxa"/>
            <w:vAlign w:val="bottom"/>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8820" w:type="dxa"/>
            <w:vAlign w:val="bottom"/>
            <w:tcBorders>
              <w:top w:val="single" w:sz="8" w:color="0000EE"/>
            </w:tcBorders>
            <w:gridSpan w:val="18"/>
          </w:tcPr>
          <w:p>
            <w:pPr>
              <w:spacing w:after="0" w:line="142" w:lineRule="exact"/>
              <w:rPr>
                <w:rFonts w:ascii="Times New Roman" w:cs="Times New Roman" w:eastAsia="Times New Roman" w:hAnsi="Times New Roman"/>
                <w:sz w:val="14"/>
                <w:szCs w:val="14"/>
                <w:color w:val="0000EE"/>
              </w:rPr>
            </w:pPr>
            <w:hyperlink r:id="rId127">
              <w:r>
                <w:rPr>
                  <w:rFonts w:ascii="Times New Roman" w:cs="Times New Roman" w:eastAsia="Times New Roman" w:hAnsi="Times New Roman"/>
                  <w:sz w:val="14"/>
                  <w:szCs w:val="14"/>
                  <w:color w:val="0000EE"/>
                </w:rPr>
                <w:t>reference to Exhibit 10.1 to our current report on Form 8-K filed December 28, 2021.</w:t>
              </w:r>
            </w:hyperlink>
          </w:p>
        </w:tc>
        <w:tc>
          <w:tcPr>
            <w:tcW w:w="1040" w:type="dxa"/>
            <w:vAlign w:val="bottom"/>
            <w:gridSpan w:val="27"/>
          </w:tcPr>
          <w:p>
            <w:pPr>
              <w:spacing w:after="0"/>
              <w:rPr>
                <w:sz w:val="12"/>
                <w:szCs w:val="12"/>
                <w:color w:val="auto"/>
              </w:rPr>
            </w:pPr>
          </w:p>
        </w:tc>
      </w:tr>
      <w:tr>
        <w:trPr>
          <w:trHeight w:val="439"/>
        </w:trPr>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80" w:type="dxa"/>
            <w:vAlign w:val="bottom"/>
            <w:tcBorders>
              <w:top w:val="single" w:sz="8" w:color="0000EE"/>
            </w:tcBorders>
            <w:gridSpan w:val="7"/>
          </w:tcPr>
          <w:p>
            <w:pPr>
              <w:ind w:left="3660"/>
              <w:spacing w:after="0"/>
              <w:rPr>
                <w:sz w:val="20"/>
                <w:szCs w:val="20"/>
                <w:color w:val="auto"/>
              </w:rPr>
            </w:pPr>
            <w:r>
              <w:rPr>
                <w:rFonts w:ascii="Times New Roman" w:cs="Times New Roman" w:eastAsia="Times New Roman" w:hAnsi="Times New Roman"/>
                <w:sz w:val="12"/>
                <w:szCs w:val="12"/>
                <w:color w:val="auto"/>
              </w:rPr>
              <w:t>62</w:t>
            </w: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
        </w:trPr>
        <w:tc>
          <w:tcPr>
            <w:tcW w:w="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402" w:right="299" w:bottom="1440" w:gutter="0" w:footer="0" w:header="0"/>
        </w:sectPr>
      </w:pPr>
    </w:p>
    <w:bookmarkStart w:id="62" w:name="page63"/>
    <w:bookmarkEnd w:id="6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68"/>
        </w:trPr>
        <w:tc>
          <w:tcPr>
            <w:tcW w:w="6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4"/>
                <w:szCs w:val="14"/>
                <w:color w:val="0000EE"/>
                <w:w w:val="99"/>
              </w:rPr>
              <w:t>21**</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4"/>
                <w:szCs w:val="14"/>
                <w:color w:val="0000EE"/>
              </w:rPr>
              <w:t>Subsidiaries of the Registrant.</w:t>
            </w:r>
          </w:p>
        </w:tc>
        <w:tc>
          <w:tcPr>
            <w:tcW w:w="7640" w:type="dxa"/>
            <w:vAlign w:val="bottom"/>
            <w:tcBorders>
              <w:bottom w:val="single" w:sz="8" w:color="CCEEFF"/>
            </w:tcBorders>
            <w:gridSpan w:val="6"/>
            <w:shd w:val="clear" w:color="auto" w:fill="CCEEFF"/>
          </w:tcPr>
          <w:p>
            <w:pPr>
              <w:spacing w:after="0"/>
              <w:rPr>
                <w:sz w:val="14"/>
                <w:szCs w:val="14"/>
                <w:color w:val="auto"/>
              </w:rPr>
            </w:pPr>
          </w:p>
        </w:tc>
      </w:tr>
      <w:tr>
        <w:trPr>
          <w:trHeight w:val="135"/>
        </w:trPr>
        <w:tc>
          <w:tcPr>
            <w:tcW w:w="6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0000EE"/>
              </w:rPr>
              <w:t>23.</w:t>
            </w:r>
            <w:r>
              <w:rPr>
                <w:rFonts w:ascii="Times New Roman" w:cs="Times New Roman" w:eastAsia="Times New Roman" w:hAnsi="Times New Roman"/>
                <w:sz w:val="14"/>
                <w:szCs w:val="14"/>
                <w:u w:val="single" w:color="auto"/>
                <w:color w:val="0000EE"/>
              </w:rPr>
              <w:t>1**</w:t>
            </w:r>
          </w:p>
        </w:tc>
        <w:tc>
          <w:tcPr>
            <w:tcW w:w="938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0000EE"/>
              </w:rPr>
              <w:t>Consent of Independent Registered Public Accounting Firm.</w:t>
            </w:r>
          </w:p>
        </w:tc>
      </w:tr>
      <w:tr>
        <w:trPr>
          <w:trHeight w:val="27"/>
        </w:trPr>
        <w:tc>
          <w:tcPr>
            <w:tcW w:w="68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49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5"/>
        </w:trPr>
        <w:tc>
          <w:tcPr>
            <w:tcW w:w="68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u w:val="single" w:color="auto"/>
                <w:color w:val="0000EE"/>
              </w:rPr>
              <w:t>1**</w:t>
            </w:r>
          </w:p>
        </w:tc>
        <w:tc>
          <w:tcPr>
            <w:tcW w:w="938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Rules 13a-15(e) or 15d-15(e) under the Securities Exchange Act of 1934, as adopted pursuant to Section 302 of the Sarbanes-Oxley Act</w:t>
            </w:r>
          </w:p>
        </w:tc>
      </w:tr>
      <w:tr>
        <w:trPr>
          <w:trHeight w:val="129"/>
        </w:trPr>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0000EE"/>
              <w:bottom w:val="single" w:sz="8" w:color="CCEEFF"/>
            </w:tcBorders>
            <w:shd w:val="clear" w:color="auto" w:fill="CCEEFF"/>
          </w:tcPr>
          <w:p>
            <w:pPr>
              <w:spacing w:after="0"/>
              <w:rPr>
                <w:sz w:val="11"/>
                <w:szCs w:val="11"/>
                <w:color w:val="auto"/>
              </w:rPr>
            </w:pPr>
          </w:p>
        </w:tc>
        <w:tc>
          <w:tcPr>
            <w:tcW w:w="100" w:type="dxa"/>
            <w:vAlign w:val="bottom"/>
            <w:tcBorders>
              <w:top w:val="single" w:sz="8" w:color="0000EE"/>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2000" w:type="dxa"/>
            <w:vAlign w:val="bottom"/>
            <w:tcBorders>
              <w:top w:val="single" w:sz="8" w:color="0000EE"/>
              <w:bottom w:val="single" w:sz="8" w:color="0000EE"/>
            </w:tcBorders>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0000EE"/>
              </w:rPr>
              <w:t>of 2002 – Chief Executive Officer.</w:t>
            </w:r>
          </w:p>
        </w:tc>
        <w:tc>
          <w:tcPr>
            <w:tcW w:w="7360" w:type="dxa"/>
            <w:vAlign w:val="bottom"/>
            <w:tcBorders>
              <w:top w:val="single" w:sz="8" w:color="0000EE"/>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35"/>
        </w:trPr>
        <w:tc>
          <w:tcPr>
            <w:tcW w:w="1940" w:type="dxa"/>
            <w:vAlign w:val="bottom"/>
            <w:gridSpan w:val="4"/>
          </w:tcPr>
          <w:p>
            <w:pPr>
              <w:ind w:left="680"/>
              <w:spacing w:after="0" w:line="135" w:lineRule="exact"/>
              <w:rPr>
                <w:sz w:val="20"/>
                <w:szCs w:val="20"/>
                <w:color w:val="auto"/>
              </w:rPr>
            </w:pPr>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u w:val="single" w:color="auto"/>
                <w:color w:val="0000EE"/>
              </w:rPr>
              <w:t>2**</w:t>
            </w:r>
          </w:p>
        </w:tc>
        <w:tc>
          <w:tcPr>
            <w:tcW w:w="938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Rules 13a-15(e) or 15d-15(e) under the Securities Exchange Act of 1934, as adopted pursuant to Section 302 of the Sarbanes-Oxley Act</w:t>
            </w:r>
          </w:p>
        </w:tc>
      </w:tr>
      <w:tr>
        <w:trPr>
          <w:trHeight w:val="149"/>
        </w:trPr>
        <w:tc>
          <w:tcPr>
            <w:tcW w:w="680" w:type="dxa"/>
            <w:vAlign w:val="bottom"/>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1960" w:type="dxa"/>
            <w:vAlign w:val="bottom"/>
            <w:tcBorders>
              <w:top w:val="single" w:sz="8" w:color="0000EE"/>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4"/>
                <w:szCs w:val="14"/>
                <w:color w:val="0000EE"/>
              </w:rPr>
              <w:t>of 2002 – Chief Financial Officer.</w:t>
            </w:r>
          </w:p>
        </w:tc>
        <w:tc>
          <w:tcPr>
            <w:tcW w:w="7400" w:type="dxa"/>
            <w:vAlign w:val="bottom"/>
            <w:tcBorders>
              <w:top w:val="single" w:sz="8" w:color="0000EE"/>
            </w:tcBorders>
            <w:gridSpan w:val="4"/>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680" w:type="dxa"/>
            <w:vAlign w:val="bottom"/>
            <w:shd w:val="clear" w:color="auto" w:fill="CCEEFF"/>
          </w:tcPr>
          <w:p>
            <w:pPr>
              <w:spacing w:after="0"/>
              <w:rPr>
                <w:sz w:val="11"/>
                <w:szCs w:val="11"/>
                <w:color w:val="auto"/>
              </w:rPr>
            </w:pPr>
          </w:p>
        </w:tc>
        <w:tc>
          <w:tcPr>
            <w:tcW w:w="12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32.</w:t>
            </w:r>
            <w:r>
              <w:rPr>
                <w:rFonts w:ascii="Times New Roman" w:cs="Times New Roman" w:eastAsia="Times New Roman" w:hAnsi="Times New Roman"/>
                <w:sz w:val="14"/>
                <w:szCs w:val="14"/>
                <w:u w:val="single" w:color="auto"/>
                <w:color w:val="0000EE"/>
              </w:rPr>
              <w:t>1**</w:t>
            </w:r>
          </w:p>
        </w:tc>
        <w:tc>
          <w:tcPr>
            <w:tcW w:w="938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18 U.S.C. Section 1350, as adopted pursuant to Section 906 of the Sarbanes-Oxley Act of 2002 – Chief Executive Officer.</w:t>
            </w:r>
          </w:p>
        </w:tc>
      </w:tr>
      <w:tr>
        <w:trPr>
          <w:trHeight w:val="27"/>
        </w:trPr>
        <w:tc>
          <w:tcPr>
            <w:tcW w:w="680" w:type="dxa"/>
            <w:vAlign w:val="bottom"/>
            <w:shd w:val="clear" w:color="auto" w:fill="CCEEFF"/>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4980" w:type="dxa"/>
            <w:vAlign w:val="bottom"/>
            <w:shd w:val="clear" w:color="auto" w:fill="0000EE"/>
          </w:tcPr>
          <w:p>
            <w:pPr>
              <w:spacing w:after="0"/>
              <w:rPr>
                <w:sz w:val="2"/>
                <w:szCs w:val="2"/>
                <w:color w:val="auto"/>
              </w:rPr>
            </w:pPr>
          </w:p>
        </w:tc>
        <w:tc>
          <w:tcPr>
            <w:tcW w:w="900" w:type="dxa"/>
            <w:vAlign w:val="bottom"/>
            <w:tcBorders>
              <w:left w:val="single" w:sz="8" w:color="0000EE"/>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5"/>
        </w:trPr>
        <w:tc>
          <w:tcPr>
            <w:tcW w:w="6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0000EE"/>
              </w:rPr>
              <w:t>32.</w:t>
            </w:r>
            <w:r>
              <w:rPr>
                <w:rFonts w:ascii="Times New Roman" w:cs="Times New Roman" w:eastAsia="Times New Roman" w:hAnsi="Times New Roman"/>
                <w:sz w:val="14"/>
                <w:szCs w:val="14"/>
                <w:u w:val="single" w:color="auto"/>
                <w:color w:val="0000EE"/>
              </w:rPr>
              <w:t>2**</w:t>
            </w:r>
          </w:p>
        </w:tc>
        <w:tc>
          <w:tcPr>
            <w:tcW w:w="9380" w:type="dxa"/>
            <w:vAlign w:val="bottom"/>
            <w:gridSpan w:val="7"/>
          </w:tcPr>
          <w:p>
            <w:pPr>
              <w:spacing w:after="0" w:line="135" w:lineRule="exact"/>
              <w:rPr>
                <w:sz w:val="20"/>
                <w:szCs w:val="20"/>
                <w:color w:val="auto"/>
              </w:rPr>
            </w:pPr>
            <w:r>
              <w:rPr>
                <w:rFonts w:ascii="Times New Roman" w:cs="Times New Roman" w:eastAsia="Times New Roman" w:hAnsi="Times New Roman"/>
                <w:sz w:val="14"/>
                <w:szCs w:val="14"/>
                <w:color w:val="0000EE"/>
              </w:rPr>
              <w:t>Certification Pursuant to 18 U.S.C. Section 1350, as adopted pursuant to Section 906 of the Sarbanes-Oxley Act of 2002 – Chief Financial Officer.</w:t>
            </w:r>
          </w:p>
        </w:tc>
      </w:tr>
      <w:tr>
        <w:trPr>
          <w:trHeight w:val="27"/>
        </w:trPr>
        <w:tc>
          <w:tcPr>
            <w:tcW w:w="68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80" w:type="dxa"/>
            <w:vAlign w:val="bottom"/>
            <w:shd w:val="clear" w:color="auto" w:fill="0000EE"/>
          </w:tcPr>
          <w:p>
            <w:pPr>
              <w:spacing w:after="0"/>
              <w:rPr>
                <w:sz w:val="2"/>
                <w:szCs w:val="2"/>
                <w:color w:val="auto"/>
              </w:rPr>
            </w:pPr>
          </w:p>
        </w:tc>
        <w:tc>
          <w:tcPr>
            <w:tcW w:w="4980" w:type="dxa"/>
            <w:vAlign w:val="bottom"/>
            <w:shd w:val="clear" w:color="auto" w:fill="0000EE"/>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6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101**</w:t>
            </w:r>
          </w:p>
        </w:tc>
        <w:tc>
          <w:tcPr>
            <w:tcW w:w="860" w:type="dxa"/>
            <w:vAlign w:val="bottom"/>
            <w:shd w:val="clear" w:color="auto" w:fill="CCEEFF"/>
          </w:tcPr>
          <w:p>
            <w:pPr>
              <w:spacing w:after="0"/>
              <w:rPr>
                <w:sz w:val="12"/>
                <w:szCs w:val="12"/>
                <w:color w:val="auto"/>
              </w:rPr>
            </w:pPr>
          </w:p>
        </w:tc>
        <w:tc>
          <w:tcPr>
            <w:tcW w:w="9380" w:type="dxa"/>
            <w:vAlign w:val="bottom"/>
            <w:gridSpan w:val="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Interactive Data File (Annual Report on Form 10-K, for the year ended December 31, 2022, furnished in iXBRL (Inline eXtensible Business Reporting</w:t>
            </w:r>
          </w:p>
        </w:tc>
      </w:tr>
      <w:tr>
        <w:trPr>
          <w:trHeight w:val="180"/>
        </w:trPr>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3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Language)).</w:t>
            </w:r>
          </w:p>
        </w:tc>
      </w:tr>
      <w:tr>
        <w:trPr>
          <w:trHeight w:val="160"/>
        </w:trPr>
        <w:tc>
          <w:tcPr>
            <w:tcW w:w="1080" w:type="dxa"/>
            <w:vAlign w:val="bottom"/>
            <w:gridSpan w:val="3"/>
          </w:tcPr>
          <w:p>
            <w:pPr>
              <w:ind w:left="680"/>
              <w:spacing w:after="0" w:line="160" w:lineRule="exact"/>
              <w:rPr>
                <w:sz w:val="20"/>
                <w:szCs w:val="20"/>
                <w:color w:val="auto"/>
              </w:rPr>
            </w:pPr>
            <w:r>
              <w:rPr>
                <w:rFonts w:ascii="Times New Roman" w:cs="Times New Roman" w:eastAsia="Times New Roman" w:hAnsi="Times New Roman"/>
                <w:sz w:val="14"/>
                <w:szCs w:val="14"/>
                <w:color w:val="auto"/>
              </w:rPr>
              <w:t>104**</w:t>
            </w:r>
          </w:p>
        </w:tc>
        <w:tc>
          <w:tcPr>
            <w:tcW w:w="860" w:type="dxa"/>
            <w:vAlign w:val="bottom"/>
          </w:tcPr>
          <w:p>
            <w:pPr>
              <w:spacing w:after="0"/>
              <w:rPr>
                <w:sz w:val="13"/>
                <w:szCs w:val="13"/>
                <w:color w:val="auto"/>
              </w:rPr>
            </w:pPr>
          </w:p>
        </w:tc>
        <w:tc>
          <w:tcPr>
            <w:tcW w:w="9380" w:type="dxa"/>
            <w:vAlign w:val="bottom"/>
            <w:gridSpan w:val="7"/>
          </w:tcPr>
          <w:p>
            <w:pPr>
              <w:spacing w:after="0" w:line="160" w:lineRule="exact"/>
              <w:rPr>
                <w:sz w:val="20"/>
                <w:szCs w:val="20"/>
                <w:color w:val="auto"/>
              </w:rPr>
            </w:pPr>
            <w:r>
              <w:rPr>
                <w:rFonts w:ascii="Times New Roman" w:cs="Times New Roman" w:eastAsia="Times New Roman" w:hAnsi="Times New Roman"/>
                <w:sz w:val="14"/>
                <w:szCs w:val="14"/>
                <w:color w:val="auto"/>
              </w:rPr>
              <w:t>Cover Page Interactive Data File (formatted as Inline eXtensible Business Reporting Language and contained in Exhibit 101)</w:t>
            </w:r>
          </w:p>
        </w:tc>
      </w:tr>
    </w:tbl>
    <w:p>
      <w:pPr>
        <w:ind w:left="8"/>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8" w:lineRule="exact"/>
        <w:rPr>
          <w:sz w:val="20"/>
          <w:szCs w:val="20"/>
          <w:color w:val="auto"/>
        </w:rPr>
      </w:pPr>
    </w:p>
    <w:p>
      <w:pPr>
        <w:ind w:left="8" w:right="840" w:hanging="8"/>
        <w:spacing w:after="0" w:line="259" w:lineRule="auto"/>
        <w:tabs>
          <w:tab w:leader="none" w:pos="9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Confidential treatment has been requested by, and accorded to, VPG with respect to certain portions of this Exhibit. Omitted portions have been filed separately by VPG with the Securities and Exchange Commission. ** Filed herewith.</w:t>
      </w:r>
    </w:p>
    <w:p>
      <w:pPr>
        <w:spacing w:after="0" w:line="1"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Denotes a management contract or compensatory plan, contract, or arrangement.</w:t>
      </w:r>
    </w:p>
    <w:p>
      <w:pPr>
        <w:spacing w:after="0" w:line="202" w:lineRule="exact"/>
        <w:rPr>
          <w:sz w:val="20"/>
          <w:szCs w:val="20"/>
          <w:color w:val="auto"/>
        </w:rPr>
      </w:pPr>
    </w:p>
    <w:p>
      <w:pPr>
        <w:ind w:left="8"/>
        <w:spacing w:after="0"/>
        <w:tabs>
          <w:tab w:leader="none" w:pos="1348" w:val="left"/>
        </w:tabs>
        <w:rPr>
          <w:sz w:val="20"/>
          <w:szCs w:val="20"/>
          <w:color w:val="auto"/>
        </w:rPr>
      </w:pPr>
      <w:r>
        <w:rPr>
          <w:rFonts w:ascii="Times New Roman" w:cs="Times New Roman" w:eastAsia="Times New Roman" w:hAnsi="Times New Roman"/>
          <w:sz w:val="14"/>
          <w:szCs w:val="14"/>
          <w:b w:val="1"/>
          <w:bCs w:val="1"/>
          <w:u w:val="single" w:color="auto"/>
          <w:color w:val="auto"/>
        </w:rPr>
        <w:t>Item 16.</w:t>
      </w:r>
      <w:r>
        <w:rPr>
          <w:sz w:val="20"/>
          <w:szCs w:val="20"/>
          <w:color w:val="auto"/>
        </w:rPr>
        <w:tab/>
      </w:r>
      <w:r>
        <w:rPr>
          <w:rFonts w:ascii="Times New Roman" w:cs="Times New Roman" w:eastAsia="Times New Roman" w:hAnsi="Times New Roman"/>
          <w:sz w:val="14"/>
          <w:szCs w:val="14"/>
          <w:b w:val="1"/>
          <w:bCs w:val="1"/>
          <w:u w:val="single" w:color="auto"/>
          <w:color w:val="auto"/>
        </w:rPr>
        <w:t>FORM 10-K SUMMARY</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Not applicable.</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02" w:right="29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SIGNATURES</w:t>
      </w:r>
    </w:p>
    <w:p>
      <w:pPr>
        <w:spacing w:after="0" w:line="14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Pursuant to the requirement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VISHAY INTERTECHNOLOGY, INC.</w:t>
      </w:r>
    </w:p>
    <w:p>
      <w:pPr>
        <w:spacing w:after="0" w:line="1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By:</w:t>
      </w:r>
      <w:r>
        <w:rPr>
          <w:rFonts w:ascii="Times New Roman" w:cs="Times New Roman" w:eastAsia="Times New Roman" w:hAnsi="Times New Roman"/>
          <w:sz w:val="14"/>
          <w:szCs w:val="14"/>
          <w:u w:val="single" w:color="auto"/>
          <w:color w:val="auto"/>
        </w:rPr>
        <w:t>/s/ Joel Smejkal</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Joel Smejkal</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February 22, 2023</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7"/>
        </w:trPr>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r>
      <w:tr>
        <w:trPr>
          <w:trHeight w:val="162"/>
        </w:trPr>
        <w:tc>
          <w:tcPr>
            <w:tcW w:w="4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Executive Officer:</w:t>
            </w:r>
          </w:p>
        </w:tc>
        <w:tc>
          <w:tcPr>
            <w:tcW w:w="2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4220" w:type="dxa"/>
            <w:vAlign w:val="bottom"/>
            <w:gridSpan w:val="1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Joel Smejkal</w:t>
            </w:r>
          </w:p>
        </w:tc>
        <w:tc>
          <w:tcPr>
            <w:tcW w:w="4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President, Chief Executive Officer,</w:t>
            </w:r>
          </w:p>
        </w:tc>
        <w:tc>
          <w:tcPr>
            <w:tcW w:w="29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Joel Smejkal</w:t>
            </w:r>
          </w:p>
        </w:tc>
        <w:tc>
          <w:tcPr>
            <w:tcW w:w="3320" w:type="dxa"/>
            <w:vAlign w:val="bottom"/>
            <w:tcBorders>
              <w:top w:val="single" w:sz="8" w:color="CCEEFF"/>
            </w:tcBorders>
            <w:gridSpan w:val="11"/>
          </w:tcPr>
          <w:p>
            <w:pPr>
              <w:spacing w:after="0"/>
              <w:rPr>
                <w:sz w:val="14"/>
                <w:szCs w:val="14"/>
                <w:color w:val="auto"/>
              </w:rPr>
            </w:pPr>
          </w:p>
        </w:tc>
        <w:tc>
          <w:tcPr>
            <w:tcW w:w="4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and Director</w:t>
            </w:r>
          </w:p>
        </w:tc>
        <w:tc>
          <w:tcPr>
            <w:tcW w:w="28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r>
      <w:tr>
        <w:trPr>
          <w:trHeight w:val="144"/>
        </w:trPr>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62"/>
        </w:trPr>
        <w:tc>
          <w:tcPr>
            <w:tcW w:w="422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Financial and Accounting Officer:</w:t>
            </w:r>
          </w:p>
        </w:tc>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4220" w:type="dxa"/>
            <w:vAlign w:val="bottom"/>
            <w:gridSpan w:val="13"/>
          </w:tcPr>
          <w:p>
            <w:pPr>
              <w:spacing w:after="0" w:line="135" w:lineRule="exact"/>
              <w:rPr>
                <w:sz w:val="20"/>
                <w:szCs w:val="20"/>
                <w:color w:val="auto"/>
              </w:rPr>
            </w:pPr>
            <w:r>
              <w:rPr>
                <w:rFonts w:ascii="Times New Roman" w:cs="Times New Roman" w:eastAsia="Times New Roman" w:hAnsi="Times New Roman"/>
                <w:sz w:val="14"/>
                <w:szCs w:val="14"/>
                <w:color w:val="auto"/>
              </w:rPr>
              <w:t>/s/ Lori Lipcaman</w:t>
            </w:r>
          </w:p>
        </w:tc>
        <w:tc>
          <w:tcPr>
            <w:tcW w:w="41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Executive Vice President and Chief</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102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Lori Lipcaman</w:t>
            </w:r>
          </w:p>
        </w:tc>
        <w:tc>
          <w:tcPr>
            <w:tcW w:w="3200" w:type="dxa"/>
            <w:vAlign w:val="bottom"/>
            <w:gridSpan w:val="9"/>
            <w:shd w:val="clear" w:color="auto" w:fill="CCEEFF"/>
          </w:tcPr>
          <w:p>
            <w:pPr>
              <w:spacing w:after="0"/>
              <w:rPr>
                <w:sz w:val="14"/>
                <w:szCs w:val="14"/>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Officer</w:t>
            </w: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62"/>
        </w:trPr>
        <w:tc>
          <w:tcPr>
            <w:tcW w:w="4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w:t>
            </w:r>
          </w:p>
        </w:tc>
        <w:tc>
          <w:tcPr>
            <w:tcW w:w="2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4220" w:type="dxa"/>
            <w:vAlign w:val="bottom"/>
            <w:gridSpan w:val="1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Marc Zandman</w:t>
            </w:r>
          </w:p>
        </w:tc>
        <w:tc>
          <w:tcPr>
            <w:tcW w:w="4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Executive Chairman of</w:t>
            </w:r>
          </w:p>
        </w:tc>
        <w:tc>
          <w:tcPr>
            <w:tcW w:w="29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10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Marc Zandman</w:t>
            </w:r>
          </w:p>
        </w:tc>
        <w:tc>
          <w:tcPr>
            <w:tcW w:w="3180" w:type="dxa"/>
            <w:vAlign w:val="bottom"/>
            <w:tcBorders>
              <w:top w:val="single" w:sz="8" w:color="CCEEFF"/>
            </w:tcBorders>
            <w:gridSpan w:val="8"/>
          </w:tcPr>
          <w:p>
            <w:pPr>
              <w:spacing w:after="0"/>
              <w:rPr>
                <w:sz w:val="14"/>
                <w:szCs w:val="14"/>
                <w:color w:val="auto"/>
              </w:rPr>
            </w:pPr>
          </w:p>
        </w:tc>
        <w:tc>
          <w:tcPr>
            <w:tcW w:w="4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 Board of Directors</w:t>
            </w:r>
          </w:p>
        </w:tc>
        <w:tc>
          <w:tcPr>
            <w:tcW w:w="280" w:type="dxa"/>
            <w:vAlign w:val="bottom"/>
            <w:tcBorders>
              <w:top w:val="single" w:sz="8" w:color="CCEEFF"/>
            </w:tcBorders>
          </w:tcPr>
          <w:p>
            <w:pPr>
              <w:spacing w:after="0"/>
              <w:rPr>
                <w:sz w:val="14"/>
                <w:szCs w:val="14"/>
                <w:color w:val="auto"/>
              </w:rPr>
            </w:pPr>
          </w:p>
        </w:tc>
        <w:tc>
          <w:tcPr>
            <w:tcW w:w="2660" w:type="dxa"/>
            <w:vAlign w:val="bottom"/>
            <w:tcBorders>
              <w:top w:val="single" w:sz="8" w:color="CCEEFF"/>
            </w:tcBorders>
          </w:tcPr>
          <w:p>
            <w:pPr>
              <w:spacing w:after="0"/>
              <w:rPr>
                <w:sz w:val="14"/>
                <w:szCs w:val="14"/>
                <w:color w:val="auto"/>
              </w:rPr>
            </w:pPr>
          </w:p>
        </w:tc>
      </w:tr>
      <w:tr>
        <w:trPr>
          <w:trHeight w:val="144"/>
        </w:trPr>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1080" w:type="dxa"/>
            <w:vAlign w:val="bottom"/>
            <w:tcBorders>
              <w:bottom w:val="single" w:sz="8" w:color="auto"/>
            </w:tcBorders>
            <w:gridSpan w:val="6"/>
          </w:tcPr>
          <w:p>
            <w:pPr>
              <w:spacing w:after="0" w:line="135" w:lineRule="exact"/>
              <w:rPr>
                <w:sz w:val="20"/>
                <w:szCs w:val="20"/>
                <w:color w:val="auto"/>
              </w:rPr>
            </w:pPr>
            <w:r>
              <w:rPr>
                <w:rFonts w:ascii="Times New Roman" w:cs="Times New Roman" w:eastAsia="Times New Roman" w:hAnsi="Times New Roman"/>
                <w:sz w:val="14"/>
                <w:szCs w:val="14"/>
                <w:color w:val="auto"/>
              </w:rPr>
              <w:t>/s/ Renee B. Booth</w:t>
            </w:r>
          </w:p>
        </w:tc>
        <w:tc>
          <w:tcPr>
            <w:tcW w:w="3140" w:type="dxa"/>
            <w:vAlign w:val="bottom"/>
            <w:gridSpan w:val="7"/>
          </w:tcPr>
          <w:p>
            <w:pPr>
              <w:spacing w:after="0"/>
              <w:rPr>
                <w:sz w:val="12"/>
                <w:szCs w:val="12"/>
                <w:color w:val="auto"/>
              </w:rPr>
            </w:pPr>
          </w:p>
        </w:tc>
        <w:tc>
          <w:tcPr>
            <w:tcW w:w="41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4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Dr. Renee B. Booth</w:t>
            </w:r>
          </w:p>
        </w:tc>
        <w:tc>
          <w:tcPr>
            <w:tcW w:w="2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1120" w:type="dxa"/>
            <w:vAlign w:val="bottom"/>
            <w:tcBorders>
              <w:bottom w:val="single" w:sz="8" w:color="auto"/>
            </w:tcBorders>
            <w:gridSpan w:val="7"/>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Michael J. Cody</w:t>
            </w:r>
          </w:p>
        </w:tc>
        <w:tc>
          <w:tcPr>
            <w:tcW w:w="3100" w:type="dxa"/>
            <w:vAlign w:val="bottom"/>
            <w:tcBorders>
              <w:bottom w:val="single" w:sz="8" w:color="CCEEFF"/>
            </w:tcBorders>
            <w:gridSpan w:val="6"/>
            <w:shd w:val="clear" w:color="auto" w:fill="CCEEFF"/>
          </w:tcPr>
          <w:p>
            <w:pPr>
              <w:spacing w:after="0"/>
              <w:rPr>
                <w:sz w:val="12"/>
                <w:szCs w:val="12"/>
                <w:color w:val="auto"/>
              </w:rPr>
            </w:pPr>
          </w:p>
        </w:tc>
        <w:tc>
          <w:tcPr>
            <w:tcW w:w="41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42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Michael J. Cody</w:t>
            </w:r>
          </w:p>
        </w:tc>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1280" w:type="dxa"/>
            <w:vAlign w:val="bottom"/>
            <w:tcBorders>
              <w:bottom w:val="single" w:sz="8" w:color="auto"/>
            </w:tcBorders>
            <w:gridSpan w:val="10"/>
          </w:tcPr>
          <w:p>
            <w:pPr>
              <w:spacing w:after="0" w:line="135" w:lineRule="exact"/>
              <w:rPr>
                <w:sz w:val="20"/>
                <w:szCs w:val="20"/>
                <w:color w:val="auto"/>
              </w:rPr>
            </w:pPr>
            <w:r>
              <w:rPr>
                <w:rFonts w:ascii="Times New Roman" w:cs="Times New Roman" w:eastAsia="Times New Roman" w:hAnsi="Times New Roman"/>
                <w:sz w:val="14"/>
                <w:szCs w:val="14"/>
                <w:color w:val="auto"/>
              </w:rPr>
              <w:t>/s/ Michiko Kurahashi</w:t>
            </w:r>
          </w:p>
        </w:tc>
        <w:tc>
          <w:tcPr>
            <w:tcW w:w="2940" w:type="dxa"/>
            <w:vAlign w:val="bottom"/>
            <w:gridSpan w:val="3"/>
          </w:tcPr>
          <w:p>
            <w:pPr>
              <w:spacing w:after="0"/>
              <w:rPr>
                <w:sz w:val="12"/>
                <w:szCs w:val="12"/>
                <w:color w:val="auto"/>
              </w:rPr>
            </w:pPr>
          </w:p>
        </w:tc>
        <w:tc>
          <w:tcPr>
            <w:tcW w:w="41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4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Dr. Michiko Kurahashi</w:t>
            </w:r>
          </w:p>
        </w:tc>
        <w:tc>
          <w:tcPr>
            <w:tcW w:w="2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35"/>
        </w:trPr>
        <w:tc>
          <w:tcPr>
            <w:tcW w:w="4220" w:type="dxa"/>
            <w:vAlign w:val="bottom"/>
            <w:gridSpan w:val="1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Abraham Ludomirski</w:t>
            </w:r>
          </w:p>
        </w:tc>
        <w:tc>
          <w:tcPr>
            <w:tcW w:w="4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27"/>
        </w:trPr>
        <w:tc>
          <w:tcPr>
            <w:tcW w:w="5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r>
      <w:tr>
        <w:trPr>
          <w:trHeight w:val="162"/>
        </w:trPr>
        <w:tc>
          <w:tcPr>
            <w:tcW w:w="42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Dr. Abraham Ludomirski</w:t>
            </w:r>
          </w:p>
        </w:tc>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4220" w:type="dxa"/>
            <w:vAlign w:val="bottom"/>
            <w:gridSpan w:val="13"/>
          </w:tcPr>
          <w:p>
            <w:pPr>
              <w:spacing w:after="0" w:line="135" w:lineRule="exact"/>
              <w:rPr>
                <w:sz w:val="20"/>
                <w:szCs w:val="20"/>
                <w:color w:val="auto"/>
              </w:rPr>
            </w:pPr>
            <w:r>
              <w:rPr>
                <w:rFonts w:ascii="Times New Roman" w:cs="Times New Roman" w:eastAsia="Times New Roman" w:hAnsi="Times New Roman"/>
                <w:sz w:val="14"/>
                <w:szCs w:val="14"/>
                <w:color w:val="auto"/>
              </w:rPr>
              <w:t>/s/ Ziv Shoshani</w:t>
            </w:r>
          </w:p>
        </w:tc>
        <w:tc>
          <w:tcPr>
            <w:tcW w:w="41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9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Ziv Shoshani</w:t>
            </w:r>
          </w:p>
        </w:tc>
        <w:tc>
          <w:tcPr>
            <w:tcW w:w="3300" w:type="dxa"/>
            <w:vAlign w:val="bottom"/>
            <w:gridSpan w:val="10"/>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1260" w:type="dxa"/>
            <w:vAlign w:val="bottom"/>
            <w:tcBorders>
              <w:bottom w:val="single" w:sz="8" w:color="auto"/>
            </w:tcBorders>
            <w:gridSpan w:val="9"/>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w w:val="98"/>
              </w:rPr>
              <w:t>/s/ Timothy V. Talbert</w:t>
            </w:r>
          </w:p>
        </w:tc>
        <w:tc>
          <w:tcPr>
            <w:tcW w:w="2960" w:type="dxa"/>
            <w:vAlign w:val="bottom"/>
            <w:tcBorders>
              <w:bottom w:val="single" w:sz="8" w:color="CCEEFF"/>
            </w:tcBorders>
            <w:gridSpan w:val="4"/>
            <w:shd w:val="clear" w:color="auto" w:fill="CCEEFF"/>
          </w:tcPr>
          <w:p>
            <w:pPr>
              <w:spacing w:after="0"/>
              <w:rPr>
                <w:sz w:val="12"/>
                <w:szCs w:val="12"/>
                <w:color w:val="auto"/>
              </w:rPr>
            </w:pPr>
          </w:p>
        </w:tc>
        <w:tc>
          <w:tcPr>
            <w:tcW w:w="41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42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Timothy V. Talbert</w:t>
            </w:r>
          </w:p>
        </w:tc>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1300" w:type="dxa"/>
            <w:vAlign w:val="bottom"/>
            <w:tcBorders>
              <w:bottom w:val="single" w:sz="8" w:color="auto"/>
            </w:tcBorders>
            <w:gridSpan w:val="11"/>
          </w:tcPr>
          <w:p>
            <w:pPr>
              <w:spacing w:after="0" w:line="135" w:lineRule="exact"/>
              <w:rPr>
                <w:sz w:val="20"/>
                <w:szCs w:val="20"/>
                <w:color w:val="auto"/>
              </w:rPr>
            </w:pPr>
            <w:r>
              <w:rPr>
                <w:rFonts w:ascii="Times New Roman" w:cs="Times New Roman" w:eastAsia="Times New Roman" w:hAnsi="Times New Roman"/>
                <w:sz w:val="14"/>
                <w:szCs w:val="14"/>
                <w:color w:val="auto"/>
                <w:w w:val="99"/>
              </w:rPr>
              <w:t>/s/ Jeffrey H. Vanneste</w:t>
            </w:r>
          </w:p>
        </w:tc>
        <w:tc>
          <w:tcPr>
            <w:tcW w:w="2920" w:type="dxa"/>
            <w:vAlign w:val="bottom"/>
            <w:gridSpan w:val="2"/>
          </w:tcPr>
          <w:p>
            <w:pPr>
              <w:spacing w:after="0"/>
              <w:rPr>
                <w:sz w:val="12"/>
                <w:szCs w:val="12"/>
                <w:color w:val="auto"/>
              </w:rPr>
            </w:pPr>
          </w:p>
        </w:tc>
        <w:tc>
          <w:tcPr>
            <w:tcW w:w="41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4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Jeffrey H. Vanneste</w:t>
            </w:r>
          </w:p>
        </w:tc>
        <w:tc>
          <w:tcPr>
            <w:tcW w:w="2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44"/>
        </w:trPr>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r>
      <w:tr>
        <w:trPr>
          <w:trHeight w:val="142"/>
        </w:trPr>
        <w:tc>
          <w:tcPr>
            <w:tcW w:w="1020" w:type="dxa"/>
            <w:vAlign w:val="bottom"/>
            <w:tcBorders>
              <w:bottom w:val="single" w:sz="8" w:color="auto"/>
            </w:tcBorders>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 Ruta Zandman</w:t>
            </w:r>
          </w:p>
        </w:tc>
        <w:tc>
          <w:tcPr>
            <w:tcW w:w="3200" w:type="dxa"/>
            <w:vAlign w:val="bottom"/>
            <w:tcBorders>
              <w:bottom w:val="single" w:sz="8" w:color="CCEEFF"/>
            </w:tcBorders>
            <w:gridSpan w:val="9"/>
            <w:shd w:val="clear" w:color="auto" w:fill="CCEEFF"/>
          </w:tcPr>
          <w:p>
            <w:pPr>
              <w:spacing w:after="0"/>
              <w:rPr>
                <w:sz w:val="12"/>
                <w:szCs w:val="12"/>
                <w:color w:val="auto"/>
              </w:rPr>
            </w:pPr>
          </w:p>
        </w:tc>
        <w:tc>
          <w:tcPr>
            <w:tcW w:w="41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42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Ruta Zandman</w:t>
            </w:r>
          </w:p>
        </w:tc>
        <w:tc>
          <w:tcPr>
            <w:tcW w:w="2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44"/>
        </w:trPr>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r>
      <w:tr>
        <w:trPr>
          <w:trHeight w:val="142"/>
        </w:trPr>
        <w:tc>
          <w:tcPr>
            <w:tcW w:w="1240" w:type="dxa"/>
            <w:vAlign w:val="bottom"/>
            <w:tcBorders>
              <w:bottom w:val="single" w:sz="8" w:color="auto"/>
            </w:tcBorders>
            <w:gridSpan w:val="8"/>
          </w:tcPr>
          <w:p>
            <w:pPr>
              <w:spacing w:after="0" w:line="135" w:lineRule="exact"/>
              <w:rPr>
                <w:sz w:val="20"/>
                <w:szCs w:val="20"/>
                <w:color w:val="auto"/>
              </w:rPr>
            </w:pPr>
            <w:r>
              <w:rPr>
                <w:rFonts w:ascii="Times New Roman" w:cs="Times New Roman" w:eastAsia="Times New Roman" w:hAnsi="Times New Roman"/>
                <w:sz w:val="14"/>
                <w:szCs w:val="14"/>
                <w:color w:val="auto"/>
              </w:rPr>
              <w:t>/s/ Raanan Zilberman</w:t>
            </w:r>
          </w:p>
        </w:tc>
        <w:tc>
          <w:tcPr>
            <w:tcW w:w="2980" w:type="dxa"/>
            <w:vAlign w:val="bottom"/>
            <w:gridSpan w:val="5"/>
          </w:tcPr>
          <w:p>
            <w:pPr>
              <w:spacing w:after="0"/>
              <w:rPr>
                <w:sz w:val="12"/>
                <w:szCs w:val="12"/>
                <w:color w:val="auto"/>
              </w:rPr>
            </w:pPr>
          </w:p>
        </w:tc>
        <w:tc>
          <w:tcPr>
            <w:tcW w:w="41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Director</w:t>
            </w:r>
          </w:p>
        </w:tc>
        <w:tc>
          <w:tcPr>
            <w:tcW w:w="29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February 22, 2023</w:t>
            </w:r>
          </w:p>
        </w:tc>
      </w:tr>
      <w:tr>
        <w:trPr>
          <w:trHeight w:val="162"/>
        </w:trPr>
        <w:tc>
          <w:tcPr>
            <w:tcW w:w="42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4"/>
                <w:szCs w:val="14"/>
                <w:color w:val="auto"/>
              </w:rPr>
              <w:t>Raanan Zilberman</w:t>
            </w:r>
          </w:p>
        </w:tc>
        <w:tc>
          <w:tcPr>
            <w:tcW w:w="280" w:type="dxa"/>
            <w:vAlign w:val="bottom"/>
            <w:shd w:val="clear" w:color="auto" w:fill="CCEEFF"/>
          </w:tcPr>
          <w:p>
            <w:pPr>
              <w:spacing w:after="0"/>
              <w:rPr>
                <w:sz w:val="14"/>
                <w:szCs w:val="14"/>
                <w:color w:val="auto"/>
              </w:rPr>
            </w:pPr>
          </w:p>
        </w:tc>
        <w:tc>
          <w:tcPr>
            <w:tcW w:w="3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558"/>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140" w:type="dxa"/>
            <w:vAlign w:val="bottom"/>
            <w:gridSpan w:val="2"/>
          </w:tcPr>
          <w:p>
            <w:pPr>
              <w:ind w:left="1360"/>
              <w:spacing w:after="0"/>
              <w:rPr>
                <w:sz w:val="20"/>
                <w:szCs w:val="20"/>
                <w:color w:val="auto"/>
              </w:rPr>
            </w:pPr>
            <w:r>
              <w:rPr>
                <w:rFonts w:ascii="Times New Roman" w:cs="Times New Roman" w:eastAsia="Times New Roman" w:hAnsi="Times New Roman"/>
                <w:sz w:val="12"/>
                <w:szCs w:val="12"/>
                <w:color w:val="auto"/>
              </w:rPr>
              <w:t>64</w:t>
            </w: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6"/>
        </w:trPr>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0" w:type="dxa"/>
            <w:vAlign w:val="bottom"/>
          </w:tcPr>
          <w:p>
            <w:pPr>
              <w:jc w:val="center"/>
              <w:ind w:right="2212"/>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06"/>
        </w:trPr>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tcPr>
          <w:p>
            <w:pPr>
              <w:jc w:val="center"/>
              <w:ind w:right="2212"/>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6"/>
        </w:trPr>
        <w:tc>
          <w:tcPr>
            <w:tcW w:w="1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2"/>
        </w:trPr>
        <w:tc>
          <w:tcPr>
            <w:tcW w:w="10580" w:type="dxa"/>
            <w:vAlign w:val="bottom"/>
            <w:tcBorders>
              <w:right w:val="single" w:sz="8" w:color="CCEEFF"/>
            </w:tcBorders>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ID:42)</w:t>
            </w:r>
          </w:p>
        </w:tc>
        <w:tc>
          <w:tcPr>
            <w:tcW w:w="720" w:type="dxa"/>
            <w:vAlign w:val="bottom"/>
            <w:gridSpan w:val="2"/>
            <w:shd w:val="clear" w:color="auto" w:fill="CCEEFF"/>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F-2</w:t>
            </w:r>
          </w:p>
        </w:tc>
      </w:tr>
      <w:tr>
        <w:trPr>
          <w:trHeight w:val="144"/>
        </w:trPr>
        <w:tc>
          <w:tcPr>
            <w:tcW w:w="16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600" w:type="dxa"/>
            <w:vAlign w:val="bottom"/>
            <w:tcBorders>
              <w:top w:val="single" w:sz="8" w:color="CCEEFF"/>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r>
      <w:tr>
        <w:trPr>
          <w:trHeight w:val="162"/>
        </w:trPr>
        <w:tc>
          <w:tcPr>
            <w:tcW w:w="1058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Audited Consolidated Financial Statements</w:t>
            </w:r>
          </w:p>
        </w:tc>
        <w:tc>
          <w:tcPr>
            <w:tcW w:w="200" w:type="dxa"/>
            <w:vAlign w:val="bottom"/>
            <w:shd w:val="clear" w:color="auto" w:fill="CCEEFF"/>
          </w:tcPr>
          <w:p>
            <w:pPr>
              <w:spacing w:after="0"/>
              <w:rPr>
                <w:sz w:val="14"/>
                <w:szCs w:val="14"/>
                <w:color w:val="auto"/>
              </w:rPr>
            </w:pPr>
          </w:p>
        </w:tc>
        <w:tc>
          <w:tcPr>
            <w:tcW w:w="520" w:type="dxa"/>
            <w:vAlign w:val="bottom"/>
            <w:tcBorders>
              <w:left w:val="single" w:sz="8" w:color="CCEEFF"/>
            </w:tcBorders>
            <w:shd w:val="clear" w:color="auto" w:fill="CCEEFF"/>
          </w:tcPr>
          <w:p>
            <w:pPr>
              <w:spacing w:after="0"/>
              <w:rPr>
                <w:sz w:val="14"/>
                <w:szCs w:val="14"/>
                <w:color w:val="auto"/>
              </w:rPr>
            </w:pPr>
          </w:p>
        </w:tc>
      </w:tr>
      <w:tr>
        <w:trPr>
          <w:trHeight w:val="144"/>
        </w:trPr>
        <w:tc>
          <w:tcPr>
            <w:tcW w:w="1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10580" w:type="dxa"/>
            <w:vAlign w:val="bottom"/>
            <w:tcBorders>
              <w:right w:val="single" w:sz="8" w:color="CCEEFF"/>
            </w:tcBorders>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Balance Sheets</w:t>
            </w:r>
          </w:p>
        </w:tc>
        <w:tc>
          <w:tcPr>
            <w:tcW w:w="720" w:type="dxa"/>
            <w:vAlign w:val="bottom"/>
            <w:gridSpan w:val="2"/>
            <w:shd w:val="clear" w:color="auto" w:fill="CCEEFF"/>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F-4</w:t>
            </w:r>
          </w:p>
        </w:tc>
      </w:tr>
      <w:tr>
        <w:trPr>
          <w:trHeight w:val="27"/>
        </w:trPr>
        <w:tc>
          <w:tcPr>
            <w:tcW w:w="1660" w:type="dxa"/>
            <w:vAlign w:val="bottom"/>
            <w:shd w:val="clear" w:color="auto" w:fill="0000EE"/>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Borders>
              <w:left w:val="single" w:sz="8" w:color="CCEEFF"/>
            </w:tcBorders>
            <w:shd w:val="clear" w:color="auto" w:fill="CCEEFF"/>
          </w:tcPr>
          <w:p>
            <w:pPr>
              <w:spacing w:after="0"/>
              <w:rPr>
                <w:sz w:val="2"/>
                <w:szCs w:val="2"/>
                <w:color w:val="auto"/>
              </w:rPr>
            </w:pPr>
          </w:p>
        </w:tc>
      </w:tr>
      <w:tr>
        <w:trPr>
          <w:trHeight w:val="135"/>
        </w:trPr>
        <w:tc>
          <w:tcPr>
            <w:tcW w:w="10580" w:type="dxa"/>
            <w:vAlign w:val="bottom"/>
            <w:gridSpan w:val="6"/>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Operations</w:t>
            </w:r>
          </w:p>
        </w:tc>
        <w:tc>
          <w:tcPr>
            <w:tcW w:w="72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F-6</w:t>
            </w:r>
          </w:p>
        </w:tc>
      </w:tr>
      <w:tr>
        <w:trPr>
          <w:trHeight w:val="27"/>
        </w:trPr>
        <w:tc>
          <w:tcPr>
            <w:tcW w:w="16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r>
      <w:tr>
        <w:trPr>
          <w:trHeight w:val="142"/>
        </w:trPr>
        <w:tc>
          <w:tcPr>
            <w:tcW w:w="10580" w:type="dxa"/>
            <w:vAlign w:val="bottom"/>
            <w:tcBorders>
              <w:right w:val="single" w:sz="8" w:color="CCEEFF"/>
            </w:tcBorders>
            <w:gridSpan w:val="6"/>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Comprehensive Income</w:t>
            </w:r>
          </w:p>
        </w:tc>
        <w:tc>
          <w:tcPr>
            <w:tcW w:w="720" w:type="dxa"/>
            <w:vAlign w:val="bottom"/>
            <w:gridSpan w:val="2"/>
            <w:shd w:val="clear" w:color="auto" w:fill="CCEEFF"/>
          </w:tcPr>
          <w:p>
            <w:pPr>
              <w:jc w:val="center"/>
              <w:ind w:right="520"/>
              <w:spacing w:after="0" w:line="135" w:lineRule="exact"/>
              <w:rPr>
                <w:sz w:val="20"/>
                <w:szCs w:val="20"/>
                <w:color w:val="auto"/>
              </w:rPr>
            </w:pPr>
            <w:r>
              <w:rPr>
                <w:rFonts w:ascii="Times New Roman" w:cs="Times New Roman" w:eastAsia="Times New Roman" w:hAnsi="Times New Roman"/>
                <w:sz w:val="14"/>
                <w:szCs w:val="14"/>
                <w:color w:val="0000EE"/>
              </w:rPr>
              <w:t>F-7</w:t>
            </w:r>
          </w:p>
        </w:tc>
      </w:tr>
      <w:tr>
        <w:trPr>
          <w:trHeight w:val="135"/>
        </w:trPr>
        <w:tc>
          <w:tcPr>
            <w:tcW w:w="2980" w:type="dxa"/>
            <w:vAlign w:val="bottom"/>
            <w:tcBorders>
              <w:top w:val="single" w:sz="8" w:color="0000EE"/>
            </w:tcBorders>
            <w:gridSpan w:val="5"/>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Cash Flows</w:t>
            </w:r>
          </w:p>
        </w:tc>
        <w:tc>
          <w:tcPr>
            <w:tcW w:w="7600" w:type="dxa"/>
            <w:vAlign w:val="bottom"/>
            <w:tcBorders>
              <w:top w:val="single" w:sz="8" w:color="CCEEFF"/>
            </w:tcBorders>
          </w:tcPr>
          <w:p>
            <w:pPr>
              <w:spacing w:after="0"/>
              <w:rPr>
                <w:sz w:val="11"/>
                <w:szCs w:val="11"/>
                <w:color w:val="auto"/>
              </w:rPr>
            </w:pPr>
          </w:p>
        </w:tc>
        <w:tc>
          <w:tcPr>
            <w:tcW w:w="200" w:type="dxa"/>
            <w:vAlign w:val="bottom"/>
            <w:tcBorders>
              <w:top w:val="single" w:sz="8" w:color="0000EE"/>
            </w:tcBorders>
          </w:tcPr>
          <w:p>
            <w:pPr>
              <w:jc w:val="center"/>
              <w:spacing w:after="0" w:line="135" w:lineRule="exact"/>
              <w:rPr>
                <w:sz w:val="20"/>
                <w:szCs w:val="20"/>
                <w:color w:val="auto"/>
              </w:rPr>
            </w:pPr>
            <w:r>
              <w:rPr>
                <w:rFonts w:ascii="Times New Roman" w:cs="Times New Roman" w:eastAsia="Times New Roman" w:hAnsi="Times New Roman"/>
                <w:sz w:val="14"/>
                <w:szCs w:val="14"/>
                <w:color w:val="0000EE"/>
              </w:rPr>
              <w:t>F-8</w:t>
            </w:r>
          </w:p>
        </w:tc>
        <w:tc>
          <w:tcPr>
            <w:tcW w:w="520" w:type="dxa"/>
            <w:vAlign w:val="bottom"/>
            <w:tcBorders>
              <w:top w:val="single" w:sz="8" w:color="CCEEFF"/>
            </w:tcBorders>
          </w:tcPr>
          <w:p>
            <w:pPr>
              <w:spacing w:after="0"/>
              <w:rPr>
                <w:sz w:val="11"/>
                <w:szCs w:val="11"/>
                <w:color w:val="auto"/>
              </w:rPr>
            </w:pPr>
          </w:p>
        </w:tc>
      </w:tr>
      <w:tr>
        <w:trPr>
          <w:trHeight w:val="27"/>
        </w:trPr>
        <w:tc>
          <w:tcPr>
            <w:tcW w:w="16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r>
      <w:tr>
        <w:trPr>
          <w:trHeight w:val="142"/>
        </w:trPr>
        <w:tc>
          <w:tcPr>
            <w:tcW w:w="2840" w:type="dxa"/>
            <w:vAlign w:val="bottom"/>
            <w:tcBorders>
              <w:bottom w:val="single" w:sz="8" w:color="0000EE"/>
            </w:tcBorders>
            <w:gridSpan w:val="4"/>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EE"/>
              </w:rPr>
              <w:t>Consolidated Statements of Stockholders’ Equity</w:t>
            </w:r>
          </w:p>
        </w:tc>
        <w:tc>
          <w:tcPr>
            <w:tcW w:w="7740" w:type="dxa"/>
            <w:vAlign w:val="bottom"/>
            <w:tcBorders>
              <w:bottom w:val="single" w:sz="8" w:color="CCEEFF"/>
              <w:right w:val="single" w:sz="8" w:color="CCEEFF"/>
            </w:tcBorders>
            <w:gridSpan w:val="2"/>
            <w:shd w:val="clear" w:color="auto" w:fill="CCEEFF"/>
          </w:tcPr>
          <w:p>
            <w:pPr>
              <w:spacing w:after="0"/>
              <w:rPr>
                <w:sz w:val="12"/>
                <w:szCs w:val="12"/>
                <w:color w:val="auto"/>
              </w:rPr>
            </w:pPr>
          </w:p>
        </w:tc>
        <w:tc>
          <w:tcPr>
            <w:tcW w:w="200" w:type="dxa"/>
            <w:vAlign w:val="bottom"/>
            <w:tcBorders>
              <w:bottom w:val="single" w:sz="8" w:color="0000EE"/>
            </w:tcBorders>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0000EE"/>
              </w:rPr>
              <w:t>F-9</w:t>
            </w:r>
          </w:p>
        </w:tc>
        <w:tc>
          <w:tcPr>
            <w:tcW w:w="520" w:type="dxa"/>
            <w:vAlign w:val="bottom"/>
            <w:tcBorders>
              <w:left w:val="single" w:sz="8" w:color="CCEEFF"/>
              <w:bottom w:val="single" w:sz="8" w:color="CCEEFF"/>
            </w:tcBorders>
            <w:shd w:val="clear" w:color="auto" w:fill="CCEEFF"/>
          </w:tcPr>
          <w:p>
            <w:pPr>
              <w:spacing w:after="0"/>
              <w:rPr>
                <w:sz w:val="12"/>
                <w:szCs w:val="12"/>
                <w:color w:val="auto"/>
              </w:rPr>
            </w:pPr>
          </w:p>
        </w:tc>
      </w:tr>
      <w:tr>
        <w:trPr>
          <w:trHeight w:val="135"/>
        </w:trPr>
        <w:tc>
          <w:tcPr>
            <w:tcW w:w="10580" w:type="dxa"/>
            <w:vAlign w:val="bottom"/>
            <w:gridSpan w:val="6"/>
          </w:tcPr>
          <w:p>
            <w:pPr>
              <w:spacing w:after="0" w:line="135"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720" w:type="dxa"/>
            <w:vAlign w:val="bottom"/>
            <w:gridSpan w:val="2"/>
          </w:tcPr>
          <w:p>
            <w:pPr>
              <w:jc w:val="center"/>
              <w:ind w:right="500"/>
              <w:spacing w:after="0" w:line="135" w:lineRule="exact"/>
              <w:rPr>
                <w:sz w:val="20"/>
                <w:szCs w:val="20"/>
                <w:color w:val="auto"/>
              </w:rPr>
            </w:pPr>
            <w:r>
              <w:rPr>
                <w:rFonts w:ascii="Times New Roman" w:cs="Times New Roman" w:eastAsia="Times New Roman" w:hAnsi="Times New Roman"/>
                <w:sz w:val="14"/>
                <w:szCs w:val="14"/>
                <w:color w:val="0000EE"/>
                <w:w w:val="83"/>
              </w:rPr>
              <w:t>F-10</w:t>
            </w:r>
          </w:p>
        </w:tc>
      </w:tr>
      <w:tr>
        <w:trPr>
          <w:trHeight w:val="421"/>
        </w:trPr>
        <w:tc>
          <w:tcPr>
            <w:tcW w:w="16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tcPr>
          <w:p>
            <w:pPr>
              <w:jc w:val="center"/>
              <w:ind w:right="2212"/>
              <w:spacing w:after="0"/>
              <w:rPr>
                <w:sz w:val="20"/>
                <w:szCs w:val="20"/>
                <w:color w:val="auto"/>
              </w:rPr>
            </w:pPr>
            <w:r>
              <w:rPr>
                <w:rFonts w:ascii="Times New Roman" w:cs="Times New Roman" w:eastAsia="Times New Roman" w:hAnsi="Times New Roman"/>
                <w:sz w:val="12"/>
                <w:szCs w:val="12"/>
                <w:color w:val="auto"/>
                <w:w w:val="95"/>
              </w:rPr>
              <w:t>F-1</w:t>
            </w:r>
          </w:p>
        </w:tc>
        <w:tc>
          <w:tcPr>
            <w:tcW w:w="2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r>
      <w:tr>
        <w:trPr>
          <w:trHeight w:val="36"/>
        </w:trPr>
        <w:tc>
          <w:tcPr>
            <w:tcW w:w="16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the Stockholders and the Board of Directors of Vishay Intertechnology,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Vishay Intertechnology, Inc. (the Company) as of December 31, 2022 and 2021, and the related consolidated statements of operations, comprehensive income,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22, 2023 expressed an unqualified opinion thereon.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6" w:right="2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6"/>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Sales Returns and Allowances Accruals</w:t>
            </w:r>
          </w:p>
        </w:tc>
        <w:tc>
          <w:tcPr>
            <w:tcW w:w="0" w:type="dxa"/>
            <w:vAlign w:val="bottom"/>
          </w:tcPr>
          <w:p>
            <w:pPr>
              <w:spacing w:after="0"/>
              <w:rPr>
                <w:sz w:val="1"/>
                <w:szCs w:val="1"/>
                <w:color w:val="auto"/>
              </w:rPr>
            </w:pPr>
          </w:p>
        </w:tc>
      </w:tr>
      <w:tr>
        <w:trPr>
          <w:trHeight w:val="162"/>
        </w:trPr>
        <w:tc>
          <w:tcPr>
            <w:tcW w:w="1820" w:type="dxa"/>
            <w:vAlign w:val="bottom"/>
            <w:vMerge w:val="continue"/>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At December 31, 2022, the Company’s liability for sales returns and allowances was $47 million. As discussed in Note 1 of the consolidated financial</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statements, the Company recognizes the estimated variable consideration to be received as revenue from contracts with customers and recognizes a related</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liability for estimated future credits that will be issued to its customers, primarily distributors, for product returns, scrap allowance, “stock, ship and</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debit”, and price protection programs with those customers.</w:t>
            </w: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Auditing management’s sales returns and allowances accruals specifically related to the scrap allowance and “stock, ship and debit” programs involved a high</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degree of subjectivity due to the significant judgment required in evaluating management’s estimates of future credits that will be issued to customers for sales</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that were recognized during the period. In particular, the estimates were sensitive to significant assumptions such as the amount of future credits that are</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expected to be provided to the customers.</w:t>
            </w:r>
          </w:p>
        </w:tc>
        <w:tc>
          <w:tcPr>
            <w:tcW w:w="0" w:type="dxa"/>
            <w:vAlign w:val="bottom"/>
          </w:tcPr>
          <w:p>
            <w:pPr>
              <w:spacing w:after="0"/>
              <w:rPr>
                <w:sz w:val="1"/>
                <w:szCs w:val="1"/>
                <w:color w:val="auto"/>
              </w:rPr>
            </w:pPr>
          </w:p>
        </w:tc>
      </w:tr>
      <w:tr>
        <w:trPr>
          <w:trHeight w:val="296"/>
        </w:trPr>
        <w:tc>
          <w:tcPr>
            <w:tcW w:w="1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How  We  Addressed  the</w:t>
            </w: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sales returns and allowances review</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Matter in Our Audit</w:t>
            </w: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process for the scrap allowance and “stock, ship and debit” programs. For example, we tested controls over management’s review of the significant</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assumptions described above.</w:t>
            </w:r>
          </w:p>
        </w:tc>
        <w:tc>
          <w:tcPr>
            <w:tcW w:w="0" w:type="dxa"/>
            <w:vAlign w:val="bottom"/>
          </w:tcPr>
          <w:p>
            <w:pPr>
              <w:spacing w:after="0"/>
              <w:rPr>
                <w:sz w:val="1"/>
                <w:szCs w:val="1"/>
                <w:color w:val="auto"/>
              </w:rPr>
            </w:pPr>
          </w:p>
        </w:tc>
      </w:tr>
      <w:tr>
        <w:trPr>
          <w:trHeight w:val="298"/>
        </w:trPr>
        <w:tc>
          <w:tcPr>
            <w:tcW w:w="182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 test the estimated sales returns and allowances accruals for the scrap allowance and “stock, ship and debit” programs, we performed audit procedures that</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included, among others, assessing methodologies and testing the significant assumptions discussed above and the completeness and accuracy of the underlying</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data used by the Company in its analyses. We inspected contracts with customers in evaluating whether the assumptions used by management agreed with the</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terms and conditions of the contracts. In addition, we compared the significant assumptions used by management to actual historical credit experience. We also</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assessed the historical accuracy of management’s estimates and performed sensitivity analyses of significant assumptions to evaluate the changes in the</w:t>
            </w:r>
          </w:p>
        </w:tc>
        <w:tc>
          <w:tcPr>
            <w:tcW w:w="0" w:type="dxa"/>
            <w:vAlign w:val="bottom"/>
          </w:tcPr>
          <w:p>
            <w:pPr>
              <w:spacing w:after="0"/>
              <w:rPr>
                <w:sz w:val="1"/>
                <w:szCs w:val="1"/>
                <w:color w:val="auto"/>
              </w:rPr>
            </w:pPr>
          </w:p>
        </w:tc>
      </w:tr>
      <w:tr>
        <w:trPr>
          <w:trHeight w:val="188"/>
        </w:trPr>
        <w:tc>
          <w:tcPr>
            <w:tcW w:w="1820" w:type="dxa"/>
            <w:vAlign w:val="bottom"/>
          </w:tcPr>
          <w:p>
            <w:pPr>
              <w:spacing w:after="0"/>
              <w:rPr>
                <w:sz w:val="16"/>
                <w:szCs w:val="16"/>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accruals that would result from changes in the significant assumptions.</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1968.</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66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304"/>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610,825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774,108</w:t>
            </w: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Short-term investments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305,272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146,743</w:t>
            </w: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net of allowances for credit losses of $1,324 and $1,895, respectively</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416,178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396,458</w:t>
            </w: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Finished goods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156,234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147,293</w:t>
            </w:r>
          </w:p>
        </w:tc>
      </w:tr>
      <w:tr>
        <w:trPr>
          <w:trHeight w:val="162"/>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Work in process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261,345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226,496</w:t>
            </w:r>
          </w:p>
        </w:tc>
      </w:tr>
      <w:tr>
        <w:trPr>
          <w:trHeight w:val="162"/>
        </w:trPr>
        <w:tc>
          <w:tcPr>
            <w:tcW w:w="8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Raw materials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201,300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162,711</w:t>
            </w:r>
          </w:p>
        </w:tc>
      </w:tr>
      <w:tr>
        <w:trPr>
          <w:trHeight w:val="16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inventories</w:t>
            </w: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618,879</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536,500</w:t>
            </w:r>
          </w:p>
        </w:tc>
        <w:tc>
          <w:tcPr>
            <w:tcW w:w="120" w:type="dxa"/>
            <w:vAlign w:val="bottom"/>
            <w:shd w:val="clear" w:color="auto" w:fill="CCEEFF"/>
          </w:tcPr>
          <w:p>
            <w:pPr>
              <w:spacing w:after="0"/>
              <w:rPr>
                <w:sz w:val="13"/>
                <w:szCs w:val="13"/>
                <w:color w:val="auto"/>
              </w:rPr>
            </w:pP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170,056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156,689</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2,121,210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2,010,498</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at cost:</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Land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75,907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74,646</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658,829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639,879</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2,857,636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2,758,262</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243,038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145,828</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Allowance for depreciation</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(2,704,951)</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(2,639,136)</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1,130,459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979,479</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131,193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117,635</w:t>
            </w:r>
          </w:p>
        </w:tc>
      </w:tr>
      <w:tr>
        <w:trPr>
          <w:trHeight w:val="144"/>
        </w:trPr>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104,667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95,037</w:t>
            </w:r>
          </w:p>
        </w:tc>
      </w:tr>
      <w:tr>
        <w:trPr>
          <w:trHeight w:val="144"/>
        </w:trPr>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201,432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165,269</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77,896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67,714</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98,796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107,625</w:t>
            </w:r>
          </w:p>
        </w:tc>
      </w:tr>
      <w:tr>
        <w:trPr>
          <w:trHeight w:val="200"/>
        </w:trPr>
        <w:tc>
          <w:tcPr>
            <w:tcW w:w="8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3,865,653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3,543,257</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Continues on following page.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286"/>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Trade 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189,099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254,049</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Payroll and related expenses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166,079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162,694</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Lease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25,319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23,392</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accrued expenses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261,606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218,089</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84,155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35,443</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726,258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693,667</w:t>
            </w: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500,937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455,666</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transition tax payable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83,010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110,681</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117,183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69,003</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108,493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99,987</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92,530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95,861</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pension and other postretirement costs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187,092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271,672</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1,815,503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1,796,537</w:t>
            </w:r>
          </w:p>
        </w:tc>
      </w:tr>
      <w:tr>
        <w:trPr>
          <w:trHeight w:val="160"/>
        </w:trPr>
        <w:tc>
          <w:tcPr>
            <w:tcW w:w="87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Preferred stock, par value $1.00 per share: authorized - 1,000,000 shares; zero issued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par value $0.10 per share: authorized - 300,000,000 shares; 132,911,771 and 132,710,732 shares outstanding</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13,291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13,271</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B convertible common stock, par value $0.10 per share: authorized - 40,000,000 shares; 12,097,148 shares outstanding</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1,210</w:t>
            </w:r>
          </w:p>
        </w:tc>
      </w:tr>
      <w:tr>
        <w:trPr>
          <w:trHeight w:val="162"/>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1,352,321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1,347,830</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773,228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401,694</w:t>
            </w:r>
          </w:p>
        </w:tc>
      </w:tr>
      <w:tr>
        <w:trPr>
          <w:trHeight w:val="162"/>
        </w:trPr>
        <w:tc>
          <w:tcPr>
            <w:tcW w:w="8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Treasury stock (at cost): 4,240,573 and zero common shares</w:t>
            </w:r>
          </w:p>
        </w:tc>
        <w:tc>
          <w:tcPr>
            <w:tcW w:w="1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(82,972)</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(10,827)</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(20,252)</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Vishay stockholders' equity</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2,046,251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1,743,753</w:t>
            </w:r>
          </w:p>
        </w:tc>
      </w:tr>
      <w:tr>
        <w:trPr>
          <w:trHeight w:val="16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3,899</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2,050,150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1,746,720</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3,865,653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3,543,257</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7"/>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5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286"/>
        </w:trPr>
        <w:tc>
          <w:tcPr>
            <w:tcW w:w="4580" w:type="dxa"/>
            <w:vAlign w:val="bottom"/>
          </w:tcPr>
          <w:p>
            <w:pPr>
              <w:spacing w:after="0"/>
              <w:rPr>
                <w:sz w:val="24"/>
                <w:szCs w:val="24"/>
                <w:color w:val="auto"/>
              </w:rPr>
            </w:pPr>
          </w:p>
        </w:tc>
        <w:tc>
          <w:tcPr>
            <w:tcW w:w="3020" w:type="dxa"/>
            <w:vAlign w:val="bottom"/>
            <w:gridSpan w:val="2"/>
          </w:tcPr>
          <w:p>
            <w:pPr>
              <w:spacing w:after="0"/>
              <w:rPr>
                <w:sz w:val="24"/>
                <w:szCs w:val="24"/>
                <w:color w:val="auto"/>
              </w:rPr>
            </w:pPr>
          </w:p>
        </w:tc>
        <w:tc>
          <w:tcPr>
            <w:tcW w:w="90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r>
      <w:tr>
        <w:trPr>
          <w:trHeight w:val="16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3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3,497,401</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3,240,487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2,501,898</w:t>
            </w:r>
          </w:p>
        </w:tc>
      </w:tr>
      <w:tr>
        <w:trPr>
          <w:trHeight w:val="16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Costs of products sold</w:t>
            </w: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2,438,412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2,352,574</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1,919,995</w:t>
            </w:r>
          </w:p>
        </w:tc>
      </w:tr>
      <w:tr>
        <w:trPr>
          <w:trHeight w:val="16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76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1,058,989</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887,913</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581,903</w:t>
            </w:r>
          </w:p>
        </w:tc>
        <w:tc>
          <w:tcPr>
            <w:tcW w:w="120" w:type="dxa"/>
            <w:vAlign w:val="bottom"/>
            <w:shd w:val="clear" w:color="auto" w:fill="CCEEFF"/>
          </w:tcPr>
          <w:p>
            <w:pPr>
              <w:spacing w:after="0"/>
              <w:rPr>
                <w:sz w:val="13"/>
                <w:szCs w:val="13"/>
                <w:color w:val="auto"/>
              </w:rPr>
            </w:pPr>
          </w:p>
        </w:tc>
      </w:tr>
      <w:tr>
        <w:trPr>
          <w:trHeight w:val="144"/>
        </w:trPr>
        <w:tc>
          <w:tcPr>
            <w:tcW w:w="4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443,503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420,111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371,450</w:t>
            </w:r>
          </w:p>
        </w:tc>
      </w:tr>
      <w:tr>
        <w:trPr>
          <w:trHeight w:val="16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severance costs</w:t>
            </w: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743</w:t>
            </w:r>
          </w:p>
        </w:tc>
      </w:tr>
      <w:tr>
        <w:trPr>
          <w:trHeight w:val="16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76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615,486</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467,802</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209,710</w:t>
            </w:r>
          </w:p>
        </w:tc>
        <w:tc>
          <w:tcPr>
            <w:tcW w:w="120" w:type="dxa"/>
            <w:vAlign w:val="bottom"/>
            <w:shd w:val="clear" w:color="auto" w:fill="CCEEFF"/>
          </w:tcPr>
          <w:p>
            <w:pPr>
              <w:spacing w:after="0"/>
              <w:rPr>
                <w:sz w:val="13"/>
                <w:szCs w:val="13"/>
                <w:color w:val="auto"/>
              </w:rPr>
            </w:pPr>
          </w:p>
        </w:tc>
      </w:tr>
      <w:tr>
        <w:trPr>
          <w:trHeight w:val="144"/>
        </w:trPr>
        <w:tc>
          <w:tcPr>
            <w:tcW w:w="4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5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(17,129)</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(17,538)</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(31,555)</w:t>
            </w:r>
          </w:p>
        </w:tc>
      </w:tr>
      <w:tr>
        <w:trPr>
          <w:trHeight w:val="162"/>
        </w:trPr>
        <w:tc>
          <w:tcPr>
            <w:tcW w:w="4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2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(4,852)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(15,654)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(11,754)</w:t>
            </w:r>
          </w:p>
        </w:tc>
      </w:tr>
      <w:tr>
        <w:trPr>
          <w:trHeight w:val="162"/>
        </w:trPr>
        <w:tc>
          <w:tcPr>
            <w:tcW w:w="4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(8,073)</w:t>
            </w:r>
          </w:p>
        </w:tc>
      </w:tr>
      <w:tr>
        <w:trPr>
          <w:trHeight w:val="16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27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(21,981)</w:t>
            </w: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(33,192)</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(51,382)</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4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taxes</w:t>
            </w:r>
          </w:p>
        </w:tc>
        <w:tc>
          <w:tcPr>
            <w:tcW w:w="2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593,505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434,610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158,328</w:t>
            </w:r>
          </w:p>
        </w:tc>
      </w:tr>
      <w:tr>
        <w:trPr>
          <w:trHeight w:val="144"/>
        </w:trPr>
        <w:tc>
          <w:tcPr>
            <w:tcW w:w="4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163,022</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135,673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34,545</w:t>
            </w:r>
          </w:p>
        </w:tc>
      </w:tr>
      <w:tr>
        <w:trPr>
          <w:trHeight w:val="142"/>
        </w:trPr>
        <w:tc>
          <w:tcPr>
            <w:tcW w:w="4580" w:type="dxa"/>
            <w:vAlign w:val="bottom"/>
            <w:tcBorders>
              <w:top w:val="single" w:sz="8" w:color="CCEEFF"/>
            </w:tcBorders>
          </w:tcPr>
          <w:p>
            <w:pPr>
              <w:spacing w:after="0"/>
              <w:rPr>
                <w:sz w:val="12"/>
                <w:szCs w:val="12"/>
                <w:color w:val="auto"/>
              </w:rPr>
            </w:pPr>
          </w:p>
        </w:tc>
        <w:tc>
          <w:tcPr>
            <w:tcW w:w="276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2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430,483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298,937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123,783</w:t>
            </w:r>
          </w:p>
        </w:tc>
      </w:tr>
      <w:tr>
        <w:trPr>
          <w:trHeight w:val="144"/>
        </w:trPr>
        <w:tc>
          <w:tcPr>
            <w:tcW w:w="4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earnings attributable to noncontrolling interests</w:t>
            </w:r>
          </w:p>
        </w:tc>
        <w:tc>
          <w:tcPr>
            <w:tcW w:w="2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1,673</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860</w:t>
            </w:r>
          </w:p>
        </w:tc>
      </w:tr>
      <w:tr>
        <w:trPr>
          <w:trHeight w:val="144"/>
        </w:trPr>
        <w:tc>
          <w:tcPr>
            <w:tcW w:w="4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0"/>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attributable to Vishay stockholders</w:t>
            </w:r>
          </w:p>
        </w:tc>
        <w:tc>
          <w:tcPr>
            <w:tcW w:w="2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428,810</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297,970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122,923</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20"/>
        </w:trPr>
        <w:tc>
          <w:tcPr>
            <w:tcW w:w="4580" w:type="dxa"/>
            <w:vAlign w:val="bottom"/>
          </w:tcPr>
          <w:p>
            <w:pPr>
              <w:spacing w:after="0"/>
              <w:rPr>
                <w:sz w:val="10"/>
                <w:szCs w:val="10"/>
                <w:color w:val="auto"/>
              </w:rPr>
            </w:pPr>
          </w:p>
        </w:tc>
        <w:tc>
          <w:tcPr>
            <w:tcW w:w="3020" w:type="dxa"/>
            <w:vAlign w:val="bottom"/>
            <w:gridSpan w:val="2"/>
          </w:tcPr>
          <w:p>
            <w:pPr>
              <w:spacing w:after="0"/>
              <w:rPr>
                <w:sz w:val="10"/>
                <w:szCs w:val="10"/>
                <w:color w:val="auto"/>
              </w:rPr>
            </w:pPr>
          </w:p>
        </w:tc>
        <w:tc>
          <w:tcPr>
            <w:tcW w:w="9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r>
      <w:tr>
        <w:trPr>
          <w:trHeight w:val="144"/>
        </w:trPr>
        <w:tc>
          <w:tcPr>
            <w:tcW w:w="45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spacing w:after="0"/>
              <w:rPr>
                <w:sz w:val="12"/>
                <w:szCs w:val="12"/>
                <w:color w:val="auto"/>
              </w:rPr>
            </w:pPr>
          </w:p>
        </w:tc>
        <w:tc>
          <w:tcPr>
            <w:tcW w:w="9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6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Basic earnings per share attributable to Vishay stockholders:</w:t>
            </w:r>
          </w:p>
        </w:tc>
        <w:tc>
          <w:tcPr>
            <w:tcW w:w="3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2.99</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0.85</w:t>
            </w:r>
          </w:p>
        </w:tc>
      </w:tr>
      <w:tr>
        <w:trPr>
          <w:trHeight w:val="144"/>
        </w:trPr>
        <w:tc>
          <w:tcPr>
            <w:tcW w:w="45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spacing w:after="0"/>
              <w:rPr>
                <w:sz w:val="12"/>
                <w:szCs w:val="12"/>
                <w:color w:val="auto"/>
              </w:rPr>
            </w:pPr>
          </w:p>
        </w:tc>
        <w:tc>
          <w:tcPr>
            <w:tcW w:w="9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6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share attributable to Vishay stockholders:</w:t>
            </w:r>
          </w:p>
        </w:tc>
        <w:tc>
          <w:tcPr>
            <w:tcW w:w="3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2.98</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0.85</w:t>
            </w:r>
          </w:p>
        </w:tc>
      </w:tr>
      <w:tr>
        <w:trPr>
          <w:trHeight w:val="144"/>
        </w:trPr>
        <w:tc>
          <w:tcPr>
            <w:tcW w:w="45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6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 basic</w:t>
            </w: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143,399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145,005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144,836</w:t>
            </w:r>
          </w:p>
        </w:tc>
      </w:tr>
      <w:tr>
        <w:trPr>
          <w:trHeight w:val="144"/>
        </w:trPr>
        <w:tc>
          <w:tcPr>
            <w:tcW w:w="45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6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 diluted</w:t>
            </w: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143,915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145,495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145,228</w:t>
            </w:r>
          </w:p>
        </w:tc>
      </w:tr>
      <w:tr>
        <w:trPr>
          <w:trHeight w:val="144"/>
        </w:trPr>
        <w:tc>
          <w:tcPr>
            <w:tcW w:w="458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spacing w:after="0"/>
              <w:rPr>
                <w:sz w:val="12"/>
                <w:szCs w:val="12"/>
                <w:color w:val="auto"/>
              </w:rPr>
            </w:pPr>
          </w:p>
        </w:tc>
        <w:tc>
          <w:tcPr>
            <w:tcW w:w="90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90"/>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per share</w:t>
            </w:r>
          </w:p>
        </w:tc>
        <w:tc>
          <w:tcPr>
            <w:tcW w:w="30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0.400</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0.385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0.380</w:t>
            </w:r>
          </w:p>
        </w:tc>
      </w:tr>
      <w:tr>
        <w:trPr>
          <w:trHeight w:val="286"/>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2"/>
        </w:trPr>
        <w:tc>
          <w:tcPr>
            <w:tcW w:w="4580" w:type="dxa"/>
            <w:vAlign w:val="bottom"/>
          </w:tcPr>
          <w:p>
            <w:pPr>
              <w:spacing w:after="0"/>
              <w:rPr>
                <w:sz w:val="22"/>
                <w:szCs w:val="22"/>
                <w:color w:val="auto"/>
              </w:rPr>
            </w:pPr>
          </w:p>
        </w:tc>
        <w:tc>
          <w:tcPr>
            <w:tcW w:w="3020" w:type="dxa"/>
            <w:vAlign w:val="bottom"/>
            <w:gridSpan w:val="2"/>
          </w:tcPr>
          <w:p>
            <w:pPr>
              <w:jc w:val="right"/>
              <w:ind w:right="1808"/>
              <w:spacing w:after="0"/>
              <w:rPr>
                <w:sz w:val="20"/>
                <w:szCs w:val="20"/>
                <w:color w:val="auto"/>
              </w:rPr>
            </w:pPr>
            <w:r>
              <w:rPr>
                <w:rFonts w:ascii="Times New Roman" w:cs="Times New Roman" w:eastAsia="Times New Roman" w:hAnsi="Times New Roman"/>
                <w:sz w:val="12"/>
                <w:szCs w:val="12"/>
                <w:color w:val="auto"/>
              </w:rPr>
              <w:t>F-6</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36"/>
        </w:trPr>
        <w:tc>
          <w:tcPr>
            <w:tcW w:w="458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7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2860" w:type="dxa"/>
            <w:vAlign w:val="bottom"/>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2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430,483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298,937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123,783</w:t>
            </w: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Pension and other post-retirement actuarial items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51,310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18,167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(9,055)</w:t>
            </w: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(41,885)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(51,978)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49,260</w:t>
            </w:r>
          </w:p>
        </w:tc>
      </w:tr>
      <w:tr>
        <w:trPr>
          <w:trHeight w:val="142"/>
        </w:trPr>
        <w:tc>
          <w:tcPr>
            <w:tcW w:w="47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9,425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(33,811)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40,205</w:t>
            </w:r>
          </w:p>
        </w:tc>
      </w:tr>
      <w:tr>
        <w:trPr>
          <w:trHeight w:val="142"/>
        </w:trPr>
        <w:tc>
          <w:tcPr>
            <w:tcW w:w="47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439,908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265,126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163,988</w:t>
            </w:r>
          </w:p>
        </w:tc>
      </w:tr>
      <w:tr>
        <w:trPr>
          <w:trHeight w:val="142"/>
        </w:trPr>
        <w:tc>
          <w:tcPr>
            <w:tcW w:w="4740" w:type="dxa"/>
            <w:vAlign w:val="bottom"/>
            <w:tcBorders>
              <w:top w:val="single" w:sz="8" w:color="CCEEFF"/>
            </w:tcBorders>
          </w:tcPr>
          <w:p>
            <w:pPr>
              <w:spacing w:after="0"/>
              <w:rPr>
                <w:sz w:val="12"/>
                <w:szCs w:val="12"/>
                <w:color w:val="auto"/>
              </w:rPr>
            </w:pPr>
          </w:p>
        </w:tc>
        <w:tc>
          <w:tcPr>
            <w:tcW w:w="26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2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1,673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860</w:t>
            </w:r>
          </w:p>
        </w:tc>
      </w:tr>
      <w:tr>
        <w:trPr>
          <w:trHeight w:val="144"/>
        </w:trPr>
        <w:tc>
          <w:tcPr>
            <w:tcW w:w="47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0"/>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attributable to Vishay stockholders</w:t>
            </w:r>
          </w:p>
        </w:tc>
        <w:tc>
          <w:tcPr>
            <w:tcW w:w="2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438,235</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264,159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163,128</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9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6"/>
        </w:trPr>
        <w:tc>
          <w:tcPr>
            <w:tcW w:w="4740" w:type="dxa"/>
            <w:vAlign w:val="bottom"/>
          </w:tcPr>
          <w:p>
            <w:pPr>
              <w:spacing w:after="0"/>
              <w:rPr>
                <w:sz w:val="24"/>
                <w:szCs w:val="24"/>
                <w:color w:val="auto"/>
              </w:rPr>
            </w:pPr>
          </w:p>
        </w:tc>
        <w:tc>
          <w:tcPr>
            <w:tcW w:w="2860" w:type="dxa"/>
            <w:vAlign w:val="bottom"/>
            <w:gridSpan w:val="2"/>
          </w:tcPr>
          <w:p>
            <w:pPr>
              <w:jc w:val="right"/>
              <w:ind w:right="1808"/>
              <w:spacing w:after="0"/>
              <w:rPr>
                <w:sz w:val="20"/>
                <w:szCs w:val="20"/>
                <w:color w:val="auto"/>
              </w:rPr>
            </w:pPr>
            <w:r>
              <w:rPr>
                <w:rFonts w:ascii="Times New Roman" w:cs="Times New Roman" w:eastAsia="Times New Roman" w:hAnsi="Times New Roman"/>
                <w:sz w:val="12"/>
                <w:szCs w:val="12"/>
                <w:color w:val="auto"/>
              </w:rPr>
              <w:t>F-7</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474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524"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304"/>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430,483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298,937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123,783</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163,991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167,037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166,230</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(455)</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157</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Accretion of interest on convertible debt instruments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13,161</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Inventory write-offs for obsolescence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26,898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20,657</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22,730</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Pensions and other postretirement benefits, net of contributions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(615)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2,106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2,864</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8,073</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38,677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50,613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(12,141)</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operating activities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7,380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16,226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3,304</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Change in U.S. transition tax liability</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(14,757)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(14,757)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(14,757)</w:t>
            </w: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 in repatriation tax liability</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(25,201)</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(16,258)</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operating assets and liabilities, net of effects of businesses acquired</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(142,113)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(83,412)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17,792</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484,288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457,104</w:t>
            </w: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314,938</w:t>
            </w:r>
          </w:p>
        </w:tc>
      </w:tr>
      <w:tr>
        <w:trPr>
          <w:trHeight w:val="142"/>
        </w:trPr>
        <w:tc>
          <w:tcPr>
            <w:tcW w:w="7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(325,308)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(218,372)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(123,599)</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1,317</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403</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businesses, net of cash acquired</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(50,000)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(20,847)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(25,852)</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(285,956)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(140,603)</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(293,087)</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Maturity of short-term investments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132,901</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147,893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250,580</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(1,766)</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129</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(529)</w:t>
            </w:r>
          </w:p>
        </w:tc>
      </w:tr>
      <w:tr>
        <w:trPr>
          <w:trHeight w:val="16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(528,931)</w:t>
            </w: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(230,483)</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(192,084)</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proceeds on revolving credit facility</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convertible debt instruments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(151,683)</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 to common stockholders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(52,348)</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(51,094)</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(50,372)</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paid to Class B common stockholders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(4,839)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(4,657)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(4,597)</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changes in short-term borrowings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(114)</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Repurchase of common stock held in treasury</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(82,972)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(741)</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(800)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(600)</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withholding taxes paid when shares withheld for vested equity awards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(2,123)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(1,963)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(2,016)</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(101,023)</w:t>
            </w:r>
          </w:p>
        </w:tc>
        <w:tc>
          <w:tcPr>
            <w:tcW w:w="24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(58,814)</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(209,382)</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(17,617)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(13,573)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12,269</w:t>
            </w:r>
          </w:p>
        </w:tc>
      </w:tr>
      <w:tr>
        <w:trPr>
          <w:trHeight w:val="142"/>
        </w:trPr>
        <w:tc>
          <w:tcPr>
            <w:tcW w:w="73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(163,283)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154,234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(74,259)</w:t>
            </w: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774,108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619,874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694,133</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610,825</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774,108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619,874</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Stockholders'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p>
      <w:pPr>
        <w:sectPr>
          <w:pgSz w:w="11900" w:h="16838" w:orient="portrait"/>
          <w:cols w:equalWidth="0" w:num="1">
            <w:col w:w="11300"/>
          </w:cols>
          <w:pgMar w:left="300" w:top="52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Balance at December 31, 2019</w:t>
      </w:r>
    </w:p>
    <w:p>
      <w:pPr>
        <w:spacing w:after="0" w:line="29" w:lineRule="exact"/>
        <w:rPr>
          <w:sz w:val="20"/>
          <w:szCs w:val="20"/>
          <w:color w:val="auto"/>
        </w:rPr>
      </w:pPr>
    </w:p>
    <w:p>
      <w:pPr>
        <w:ind w:left="80" w:hanging="85"/>
        <w:spacing w:after="0" w:line="217" w:lineRule="auto"/>
        <w:rPr>
          <w:sz w:val="20"/>
          <w:szCs w:val="20"/>
          <w:color w:val="auto"/>
        </w:rPr>
      </w:pPr>
      <w:r>
        <w:rPr>
          <w:rFonts w:ascii="Times New Roman" w:cs="Times New Roman" w:eastAsia="Times New Roman" w:hAnsi="Times New Roman"/>
          <w:sz w:val="10"/>
          <w:szCs w:val="10"/>
          <w:color w:val="auto"/>
        </w:rPr>
        <w:t>Cumulative effect of accounting change for adoption of ASU 2016-13</w:t>
      </w:r>
    </w:p>
    <w:p>
      <w:pPr>
        <w:spacing w:after="0" w:line="236" w:lineRule="auto"/>
        <w:rPr>
          <w:sz w:val="20"/>
          <w:szCs w:val="20"/>
          <w:color w:val="auto"/>
        </w:rPr>
      </w:pPr>
      <w:r>
        <w:rPr>
          <w:rFonts w:ascii="Times New Roman" w:cs="Times New Roman" w:eastAsia="Times New Roman" w:hAnsi="Times New Roman"/>
          <w:sz w:val="10"/>
          <w:szCs w:val="10"/>
          <w:color w:val="auto"/>
        </w:rPr>
        <w:t>Net earnings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Other comprehensive income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Distributions to noncontrolling interests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Conversion of Class B shares (261 shares)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Temporary equity reclassifications</w:t>
      </w:r>
    </w:p>
    <w:p>
      <w:pPr>
        <w:spacing w:after="0" w:line="29" w:lineRule="exact"/>
        <w:rPr>
          <w:sz w:val="20"/>
          <w:szCs w:val="20"/>
          <w:color w:val="auto"/>
        </w:rPr>
      </w:pPr>
    </w:p>
    <w:p>
      <w:pPr>
        <w:ind w:left="80" w:right="220" w:hanging="85"/>
        <w:spacing w:after="0" w:line="271" w:lineRule="auto"/>
        <w:rPr>
          <w:sz w:val="20"/>
          <w:szCs w:val="20"/>
          <w:color w:val="auto"/>
        </w:rPr>
      </w:pPr>
      <w:r>
        <w:rPr>
          <w:rFonts w:ascii="Times New Roman" w:cs="Times New Roman" w:eastAsia="Times New Roman" w:hAnsi="Times New Roman"/>
          <w:sz w:val="8"/>
          <w:szCs w:val="8"/>
          <w:color w:val="auto"/>
        </w:rPr>
        <w:t>Issuance of stock and related tax withholdings for vested restricted stock units (212,392 shares)</w:t>
      </w:r>
    </w:p>
    <w:p>
      <w:pPr>
        <w:spacing w:after="0" w:line="237" w:lineRule="auto"/>
        <w:rPr>
          <w:sz w:val="20"/>
          <w:szCs w:val="20"/>
          <w:color w:val="auto"/>
        </w:rPr>
      </w:pPr>
      <w:r>
        <w:rPr>
          <w:rFonts w:ascii="Times New Roman" w:cs="Times New Roman" w:eastAsia="Times New Roman" w:hAnsi="Times New Roman"/>
          <w:sz w:val="10"/>
          <w:szCs w:val="10"/>
          <w:color w:val="auto"/>
        </w:rPr>
        <w:t>Dividends declared ($0.380 per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Stock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Repurchase of convertible debt instruments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Balance at December 31, 2020</w:t>
      </w:r>
    </w:p>
    <w:p>
      <w:pPr>
        <w:spacing w:after="0" w:line="29" w:lineRule="exact"/>
        <w:rPr>
          <w:sz w:val="20"/>
          <w:szCs w:val="20"/>
          <w:color w:val="auto"/>
        </w:rPr>
      </w:pPr>
    </w:p>
    <w:p>
      <w:pPr>
        <w:ind w:left="80" w:hanging="85"/>
        <w:spacing w:after="0" w:line="217" w:lineRule="auto"/>
        <w:rPr>
          <w:sz w:val="20"/>
          <w:szCs w:val="20"/>
          <w:color w:val="auto"/>
        </w:rPr>
      </w:pPr>
      <w:r>
        <w:rPr>
          <w:rFonts w:ascii="Times New Roman" w:cs="Times New Roman" w:eastAsia="Times New Roman" w:hAnsi="Times New Roman"/>
          <w:sz w:val="10"/>
          <w:szCs w:val="10"/>
          <w:color w:val="auto"/>
        </w:rPr>
        <w:t>Cumulative effect of accounting change for adoption of ASU 2020-06</w:t>
      </w:r>
    </w:p>
    <w:p>
      <w:pPr>
        <w:spacing w:after="0" w:line="236" w:lineRule="auto"/>
        <w:rPr>
          <w:sz w:val="20"/>
          <w:szCs w:val="20"/>
          <w:color w:val="auto"/>
        </w:rPr>
      </w:pPr>
      <w:r>
        <w:rPr>
          <w:rFonts w:ascii="Times New Roman" w:cs="Times New Roman" w:eastAsia="Times New Roman" w:hAnsi="Times New Roman"/>
          <w:sz w:val="10"/>
          <w:szCs w:val="10"/>
          <w:color w:val="auto"/>
        </w:rPr>
        <w:t>Net earnings</w:t>
      </w:r>
    </w:p>
    <w:p>
      <w:pPr>
        <w:spacing w:after="0" w:line="21" w:lineRule="exact"/>
        <w:rPr>
          <w:sz w:val="20"/>
          <w:szCs w:val="20"/>
          <w:color w:val="auto"/>
        </w:rPr>
      </w:pPr>
    </w:p>
    <w:p>
      <w:pPr>
        <w:ind w:right="600"/>
        <w:spacing w:after="0" w:line="375" w:lineRule="auto"/>
        <w:rPr>
          <w:sz w:val="20"/>
          <w:szCs w:val="20"/>
          <w:color w:val="auto"/>
        </w:rPr>
      </w:pPr>
      <w:r>
        <w:rPr>
          <w:rFonts w:ascii="Times New Roman" w:cs="Times New Roman" w:eastAsia="Times New Roman" w:hAnsi="Times New Roman"/>
          <w:sz w:val="8"/>
          <w:szCs w:val="8"/>
          <w:color w:val="auto"/>
        </w:rPr>
        <w:t>Other comprehensive income (loss) Distributions to noncontrolling interests</w:t>
      </w:r>
    </w:p>
    <w:p>
      <w:pPr>
        <w:spacing w:after="0" w:line="1" w:lineRule="exact"/>
        <w:rPr>
          <w:sz w:val="20"/>
          <w:szCs w:val="20"/>
          <w:color w:val="auto"/>
        </w:rPr>
      </w:pPr>
    </w:p>
    <w:p>
      <w:pPr>
        <w:ind w:left="80" w:right="220" w:hanging="85"/>
        <w:spacing w:after="0" w:line="271" w:lineRule="auto"/>
        <w:rPr>
          <w:sz w:val="20"/>
          <w:szCs w:val="20"/>
          <w:color w:val="auto"/>
        </w:rPr>
      </w:pPr>
      <w:r>
        <w:rPr>
          <w:rFonts w:ascii="Times New Roman" w:cs="Times New Roman" w:eastAsia="Times New Roman" w:hAnsi="Times New Roman"/>
          <w:sz w:val="8"/>
          <w:szCs w:val="8"/>
          <w:color w:val="auto"/>
        </w:rPr>
        <w:t>Issuance of stock and related tax withholdings for vested restricted stock units (149,722 shares)</w:t>
      </w:r>
    </w:p>
    <w:p>
      <w:pPr>
        <w:ind w:right="660"/>
        <w:spacing w:after="0" w:line="306" w:lineRule="auto"/>
        <w:rPr>
          <w:sz w:val="20"/>
          <w:szCs w:val="20"/>
          <w:color w:val="auto"/>
        </w:rPr>
      </w:pPr>
      <w:r>
        <w:rPr>
          <w:rFonts w:ascii="Times New Roman" w:cs="Times New Roman" w:eastAsia="Times New Roman" w:hAnsi="Times New Roman"/>
          <w:sz w:val="10"/>
          <w:szCs w:val="10"/>
          <w:color w:val="auto"/>
        </w:rPr>
        <w:t>Dividends declared ($0.385 per share) Stock compensation expense Balance at December 31, 2021</w:t>
      </w:r>
    </w:p>
    <w:p>
      <w:pPr>
        <w:spacing w:after="0"/>
        <w:rPr>
          <w:sz w:val="20"/>
          <w:szCs w:val="20"/>
          <w:color w:val="auto"/>
        </w:rPr>
      </w:pPr>
      <w:r>
        <w:rPr>
          <w:rFonts w:ascii="Times New Roman" w:cs="Times New Roman" w:eastAsia="Times New Roman" w:hAnsi="Times New Roman"/>
          <w:sz w:val="10"/>
          <w:szCs w:val="10"/>
          <w:color w:val="auto"/>
        </w:rPr>
        <w:t>Net earnings</w:t>
      </w:r>
    </w:p>
    <w:p>
      <w:pPr>
        <w:spacing w:after="0" w:line="29" w:lineRule="exact"/>
        <w:rPr>
          <w:sz w:val="20"/>
          <w:szCs w:val="20"/>
          <w:color w:val="auto"/>
        </w:rPr>
      </w:pPr>
    </w:p>
    <w:p>
      <w:pPr>
        <w:ind w:right="600"/>
        <w:spacing w:after="0" w:line="375" w:lineRule="auto"/>
        <w:rPr>
          <w:sz w:val="20"/>
          <w:szCs w:val="20"/>
          <w:color w:val="auto"/>
        </w:rPr>
      </w:pPr>
      <w:r>
        <w:rPr>
          <w:rFonts w:ascii="Times New Roman" w:cs="Times New Roman" w:eastAsia="Times New Roman" w:hAnsi="Times New Roman"/>
          <w:sz w:val="8"/>
          <w:szCs w:val="8"/>
          <w:color w:val="auto"/>
        </w:rPr>
        <w:t>Other comprehensive income (loss) Distributions to noncontrolling interests</w:t>
      </w:r>
    </w:p>
    <w:p>
      <w:pPr>
        <w:spacing w:after="0" w:line="1" w:lineRule="exact"/>
        <w:rPr>
          <w:sz w:val="20"/>
          <w:szCs w:val="20"/>
          <w:color w:val="auto"/>
        </w:rPr>
      </w:pPr>
    </w:p>
    <w:p>
      <w:pPr>
        <w:ind w:left="80" w:right="220" w:hanging="85"/>
        <w:spacing w:after="0" w:line="271" w:lineRule="auto"/>
        <w:rPr>
          <w:sz w:val="20"/>
          <w:szCs w:val="20"/>
          <w:color w:val="auto"/>
        </w:rPr>
      </w:pPr>
      <w:r>
        <w:rPr>
          <w:rFonts w:ascii="Times New Roman" w:cs="Times New Roman" w:eastAsia="Times New Roman" w:hAnsi="Times New Roman"/>
          <w:sz w:val="8"/>
          <w:szCs w:val="8"/>
          <w:color w:val="auto"/>
        </w:rPr>
        <w:t>Issuance of stock and related tax withholdings for vested restricted stock units (201,039 shares)</w:t>
      </w:r>
    </w:p>
    <w:p>
      <w:pPr>
        <w:spacing w:after="0" w:line="237" w:lineRule="auto"/>
        <w:rPr>
          <w:sz w:val="20"/>
          <w:szCs w:val="20"/>
          <w:color w:val="auto"/>
        </w:rPr>
      </w:pPr>
      <w:r>
        <w:rPr>
          <w:rFonts w:ascii="Times New Roman" w:cs="Times New Roman" w:eastAsia="Times New Roman" w:hAnsi="Times New Roman"/>
          <w:sz w:val="10"/>
          <w:szCs w:val="10"/>
          <w:color w:val="auto"/>
        </w:rPr>
        <w:t>Dividends declared ($0.400 per share)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Stock compensation expense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Class B</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Convertible</w:t>
            </w:r>
          </w:p>
        </w:tc>
        <w:tc>
          <w:tcPr>
            <w:tcW w:w="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Capital in</w:t>
            </w:r>
          </w:p>
        </w:tc>
        <w:tc>
          <w:tcPr>
            <w:tcW w:w="120" w:type="dxa"/>
            <w:vAlign w:val="bottom"/>
          </w:tcPr>
          <w:p>
            <w:pPr>
              <w:spacing w:after="0"/>
              <w:rPr>
                <w:sz w:val="12"/>
                <w:szCs w:val="12"/>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Total Vishay</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6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Excess of Par</w:t>
            </w: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Stockholders'</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ind w:right="11"/>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4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6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8"/>
              </w:rPr>
              <w:t>Total Equity</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13,235</w:t>
            </w:r>
          </w:p>
        </w:tc>
        <w:tc>
          <w:tcPr>
            <w:tcW w:w="2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w:t>
            </w:r>
          </w:p>
        </w:tc>
        <w:tc>
          <w:tcPr>
            <w:tcW w:w="2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1,425,170</w:t>
            </w:r>
          </w:p>
        </w:tc>
        <w:tc>
          <w:tcPr>
            <w:tcW w:w="220" w:type="dxa"/>
            <w:vAlign w:val="bottom"/>
          </w:tcPr>
          <w:p>
            <w:pPr>
              <w:spacing w:after="0"/>
              <w:rPr>
                <w:sz w:val="24"/>
                <w:szCs w:val="24"/>
                <w:color w:val="auto"/>
              </w:rPr>
            </w:pPr>
          </w:p>
        </w:tc>
        <w:tc>
          <w:tcPr>
            <w:tcW w:w="12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72,180</w:t>
            </w: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(26,646)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1,485,149</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2,540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1,487,689</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(1,070)</w:t>
            </w:r>
          </w:p>
        </w:tc>
        <w:tc>
          <w:tcPr>
            <w:tcW w:w="4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(1,070)</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(1,070)</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122,923</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122,923</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860</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123,783</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40,205</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40,205</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40,205</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(600)</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(600)</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4</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(2,037)</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(2,016)</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(2,016)</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(55,043)</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(54,969)</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(54,969)</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5,276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5,276</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5,276</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(19,287)</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(19,287)</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(19,287)</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13,256</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1,409,200</w:t>
            </w:r>
          </w:p>
        </w:tc>
        <w:tc>
          <w:tcPr>
            <w:tcW w:w="22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138,990</w:t>
            </w:r>
          </w:p>
        </w:tc>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13,559</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1,576,215</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2,800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1,579,015</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(66,078)</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20,566</w:t>
            </w:r>
          </w:p>
        </w:tc>
        <w:tc>
          <w:tcPr>
            <w:tcW w:w="4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(45,512)</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(45,512)</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297,970</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297,970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967</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298,937</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(33,811)</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(33,811)</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(33,811)</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(800)</w:t>
            </w: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(1,978)</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(1,963)</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(1,963)</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(55,832)</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(55,751)</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(55,751)</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6,605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6,605</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6,605</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13,271</w:t>
            </w:r>
          </w:p>
        </w:tc>
        <w:tc>
          <w:tcPr>
            <w:tcW w:w="2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1,347,830</w:t>
            </w:r>
          </w:p>
        </w:tc>
        <w:tc>
          <w:tcPr>
            <w:tcW w:w="220" w:type="dxa"/>
            <w:vAlign w:val="bottom"/>
          </w:tcPr>
          <w:p>
            <w:pPr>
              <w:spacing w:after="0"/>
              <w:rPr>
                <w:sz w:val="11"/>
                <w:szCs w:val="11"/>
                <w:color w:val="auto"/>
              </w:rPr>
            </w:pPr>
          </w:p>
        </w:tc>
        <w:tc>
          <w:tcPr>
            <w:tcW w:w="12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401,694</w:t>
            </w:r>
          </w:p>
        </w:tc>
        <w:tc>
          <w:tcPr>
            <w:tcW w:w="4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continue"/>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(20,252)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1,743,753</w:t>
            </w:r>
          </w:p>
        </w:tc>
        <w:tc>
          <w:tcPr>
            <w:tcW w:w="12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2,967</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1,746,720</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428,810</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428,810</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1,673</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430,483</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9,425</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9,425</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9,425</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(741)</w:t>
            </w: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(741)</w:t>
            </w: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20</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(2,143)</w:t>
            </w:r>
          </w:p>
        </w:tc>
        <w:tc>
          <w:tcPr>
            <w:tcW w:w="12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(2,123)</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(2,123)</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(57,276)</w:t>
            </w:r>
          </w:p>
        </w:tc>
        <w:tc>
          <w:tcPr>
            <w:tcW w:w="40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(57,187)</w:t>
            </w:r>
          </w:p>
        </w:tc>
        <w:tc>
          <w:tcPr>
            <w:tcW w:w="1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(57,187)</w:t>
            </w: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6,545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6,545</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6,545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-2568575</wp:posOffset>
            </wp:positionV>
            <wp:extent cx="7178040" cy="91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-2351405</wp:posOffset>
            </wp:positionV>
            <wp:extent cx="7178040" cy="91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-2168525</wp:posOffset>
            </wp:positionV>
            <wp:extent cx="7178040" cy="914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-1985645</wp:posOffset>
            </wp:positionV>
            <wp:extent cx="7178040" cy="914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-1768475</wp:posOffset>
            </wp:positionV>
            <wp:extent cx="7178040" cy="914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-1585595</wp:posOffset>
            </wp:positionV>
            <wp:extent cx="717804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-1391285</wp:posOffset>
            </wp:positionV>
            <wp:extent cx="7178040" cy="125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0">
                      <a:extLst>
                        <a:ext uri="{28A0092B-C50C-407E-A947-70E740481C1C}"/>
                      </a:extLst>
                    </a:blip>
                    <a:srcRect/>
                    <a:stretch>
                      <a:fillRect/>
                    </a:stretch>
                  </pic:blipFill>
                  <pic:spPr bwMode="auto">
                    <a:xfrm>
                      <a:off x="0" y="0"/>
                      <a:ext cx="7178040" cy="12573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-1174115</wp:posOffset>
            </wp:positionV>
            <wp:extent cx="7178040" cy="914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-991235</wp:posOffset>
            </wp:positionV>
            <wp:extent cx="7178040" cy="125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2">
                      <a:extLst>
                        <a:ext uri="{28A0092B-C50C-407E-A947-70E740481C1C}"/>
                      </a:extLst>
                    </a:blip>
                    <a:srcRect/>
                    <a:stretch>
                      <a:fillRect/>
                    </a:stretch>
                  </pic:blipFill>
                  <pic:spPr bwMode="auto">
                    <a:xfrm>
                      <a:off x="0" y="0"/>
                      <a:ext cx="7178040" cy="12573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-774065</wp:posOffset>
            </wp:positionV>
            <wp:extent cx="717804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3">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-579755</wp:posOffset>
            </wp:positionV>
            <wp:extent cx="7178040" cy="914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-396875</wp:posOffset>
            </wp:positionV>
            <wp:extent cx="7178040" cy="914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-179705</wp:posOffset>
            </wp:positionV>
            <wp:extent cx="7178040" cy="91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120" w:space="140"/>
            <w:col w:w="9040"/>
          </w:cols>
          <w:pgMar w:left="300" w:top="524" w:right="299" w:bottom="1440" w:gutter="0" w:footer="0" w:header="0"/>
          <w:type w:val="continuous"/>
        </w:sectPr>
      </w:pPr>
    </w:p>
    <w:tbl>
      <w:tblPr>
        <w:tblLayout w:type="fixed"/>
        <w:tblInd w:w="0" w:type="dxa"/>
        <w:tblCellMar>
          <w:top w:w="0" w:type="dxa"/>
          <w:left w:w="0" w:type="dxa"/>
          <w:bottom w:w="0" w:type="dxa"/>
          <w:right w:w="0" w:type="dxa"/>
        </w:tblCellMar>
      </w:tblPr>
      <w:tr>
        <w:trPr>
          <w:trHeight w:val="89"/>
        </w:trPr>
        <w:tc>
          <w:tcPr>
            <w:tcW w:w="2260" w:type="dxa"/>
            <w:vAlign w:val="bottom"/>
            <w:shd w:val="clear" w:color="auto" w:fill="CCEEFF"/>
          </w:tcPr>
          <w:p>
            <w:pPr>
              <w:spacing w:after="0" w:line="89" w:lineRule="exact"/>
              <w:rPr>
                <w:sz w:val="20"/>
                <w:szCs w:val="20"/>
                <w:color w:val="auto"/>
              </w:rPr>
            </w:pPr>
            <w:r>
              <w:rPr>
                <w:rFonts w:ascii="Times New Roman" w:cs="Times New Roman" w:eastAsia="Times New Roman" w:hAnsi="Times New Roman"/>
                <w:sz w:val="10"/>
                <w:szCs w:val="10"/>
                <w:color w:val="auto"/>
              </w:rPr>
              <w:t>Repurchase of common stock held in treasury</w:t>
            </w:r>
          </w:p>
        </w:tc>
        <w:tc>
          <w:tcPr>
            <w:tcW w:w="30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vMerge w:val="restart"/>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shd w:val="clear" w:color="auto" w:fill="CCEEFF"/>
          </w:tcPr>
          <w:p>
            <w:pPr>
              <w:spacing w:after="0"/>
              <w:rPr>
                <w:sz w:val="7"/>
                <w:szCs w:val="7"/>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(82,972)</w:t>
            </w:r>
          </w:p>
        </w:tc>
        <w:tc>
          <w:tcPr>
            <w:tcW w:w="280" w:type="dxa"/>
            <w:vAlign w:val="bottom"/>
            <w:shd w:val="clear" w:color="auto" w:fill="CCEEFF"/>
          </w:tcPr>
          <w:p>
            <w:pPr>
              <w:spacing w:after="0"/>
              <w:rPr>
                <w:sz w:val="7"/>
                <w:szCs w:val="7"/>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shd w:val="clear" w:color="auto" w:fill="CCEEFF"/>
          </w:tcPr>
          <w:p>
            <w:pPr>
              <w:spacing w:after="0"/>
              <w:rPr>
                <w:sz w:val="7"/>
                <w:szCs w:val="7"/>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(82,972)</w:t>
            </w:r>
          </w:p>
        </w:tc>
        <w:tc>
          <w:tcPr>
            <w:tcW w:w="32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(82,972)</w:t>
            </w:r>
          </w:p>
        </w:tc>
        <w:tc>
          <w:tcPr>
            <w:tcW w:w="0" w:type="dxa"/>
            <w:vAlign w:val="bottom"/>
          </w:tcPr>
          <w:p>
            <w:pPr>
              <w:spacing w:after="0"/>
              <w:rPr>
                <w:sz w:val="1"/>
                <w:szCs w:val="1"/>
                <w:color w:val="auto"/>
              </w:rPr>
            </w:pPr>
          </w:p>
        </w:tc>
      </w:tr>
      <w:tr>
        <w:trPr>
          <w:trHeight w:val="113"/>
        </w:trPr>
        <w:tc>
          <w:tcPr>
            <w:tcW w:w="226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(4,240,573 shares)</w:t>
            </w:r>
          </w:p>
        </w:tc>
        <w:tc>
          <w:tcPr>
            <w:tcW w:w="30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Balance at December 31, 2022</w:t>
            </w:r>
          </w:p>
        </w:tc>
        <w:tc>
          <w:tcPr>
            <w:tcW w:w="300" w:type="dxa"/>
            <w:vAlign w:val="bottom"/>
            <w:vMerge w:val="restart"/>
          </w:tcPr>
          <w:p>
            <w:pPr>
              <w:jc w:val="right"/>
              <w:ind w:right="2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13,291</w:t>
            </w:r>
          </w:p>
        </w:tc>
        <w:tc>
          <w:tcPr>
            <w:tcW w:w="240" w:type="dxa"/>
            <w:vAlign w:val="bottom"/>
          </w:tcPr>
          <w:p>
            <w:pPr>
              <w:spacing w:after="0"/>
              <w:rPr>
                <w:sz w:val="10"/>
                <w:szCs w:val="10"/>
                <w:color w:val="auto"/>
              </w:rPr>
            </w:pPr>
          </w:p>
        </w:tc>
        <w:tc>
          <w:tcPr>
            <w:tcW w:w="320" w:type="dxa"/>
            <w:vAlign w:val="bottom"/>
            <w:vMerge w:val="restart"/>
          </w:tcPr>
          <w:p>
            <w:pPr>
              <w:jc w:val="right"/>
              <w:ind w:right="25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1,210</w:t>
            </w:r>
          </w:p>
        </w:tc>
        <w:tc>
          <w:tcPr>
            <w:tcW w:w="220" w:type="dxa"/>
            <w:vAlign w:val="bottom"/>
            <w:vMerge w:val="restart"/>
          </w:tcPr>
          <w:p>
            <w:pPr>
              <w:spacing w:after="0"/>
              <w:rPr>
                <w:sz w:val="10"/>
                <w:szCs w:val="10"/>
                <w:color w:val="auto"/>
              </w:rPr>
            </w:pPr>
          </w:p>
        </w:tc>
        <w:tc>
          <w:tcPr>
            <w:tcW w:w="24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1,352,321</w:t>
            </w:r>
          </w:p>
        </w:tc>
        <w:tc>
          <w:tcPr>
            <w:tcW w:w="220" w:type="dxa"/>
            <w:vAlign w:val="bottom"/>
            <w:vMerge w:val="restart"/>
          </w:tcPr>
          <w:p>
            <w:pPr>
              <w:spacing w:after="0"/>
              <w:rPr>
                <w:sz w:val="10"/>
                <w:szCs w:val="10"/>
                <w:color w:val="auto"/>
              </w:rPr>
            </w:pPr>
          </w:p>
        </w:tc>
        <w:tc>
          <w:tcPr>
            <w:tcW w:w="280" w:type="dxa"/>
            <w:vAlign w:val="bottom"/>
            <w:vMerge w:val="restart"/>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773,228</w:t>
            </w:r>
          </w:p>
        </w:tc>
        <w:tc>
          <w:tcPr>
            <w:tcW w:w="260" w:type="dxa"/>
            <w:vAlign w:val="bottom"/>
            <w:vMerge w:val="restart"/>
          </w:tcPr>
          <w:p>
            <w:pPr>
              <w:jc w:val="right"/>
              <w:ind w:right="19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(82,972)</w:t>
            </w:r>
          </w:p>
        </w:tc>
        <w:tc>
          <w:tcPr>
            <w:tcW w:w="280" w:type="dxa"/>
            <w:vAlign w:val="bottom"/>
            <w:vMerge w:val="restart"/>
          </w:tcPr>
          <w:p>
            <w:pPr>
              <w:jc w:val="right"/>
              <w:ind w:right="2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(10,827)</w:t>
            </w:r>
          </w:p>
        </w:tc>
        <w:tc>
          <w:tcPr>
            <w:tcW w:w="24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2,046,251</w:t>
            </w:r>
          </w:p>
        </w:tc>
        <w:tc>
          <w:tcPr>
            <w:tcW w:w="32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3,899</w:t>
            </w:r>
          </w:p>
        </w:tc>
        <w:tc>
          <w:tcPr>
            <w:tcW w:w="22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2,050,150</w:t>
            </w: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-93345</wp:posOffset>
            </wp:positionV>
            <wp:extent cx="56692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7">
                      <a:extLst>
                        <a:ext uri="{28A0092B-C50C-407E-A947-70E740481C1C}"/>
                      </a:extLst>
                    </a:blip>
                    <a:srcRect/>
                    <a:stretch>
                      <a:fillRect/>
                    </a:stretch>
                  </pic:blipFill>
                  <pic:spPr bwMode="auto">
                    <a:xfrm>
                      <a:off x="0" y="0"/>
                      <a:ext cx="5669280" cy="571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524" w:right="29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39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4"/>
          <w:szCs w:val="14"/>
          <w:color w:val="auto"/>
        </w:rPr>
        <w:t>Vishay Intertechnology, Inc. (“Vishay” or the “Company”) manufactures one of the world’s largest portfolios of discrete semiconductors and passive electronic components that are essential to innovative designs in the automotive, industrial, computing, consumer, telecommunications, military, aerospace, and medical markets. Semiconductors include MOSFETs, diodes, and optoelectronic components. Passive components include resistors, inductors, and capacitors.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accounting principles generally accepted in the United States (“GAAP”) requires management to make estimates and assumptions that affect the amounts reported in the consolidated financial statements and accompanying notes. Actual results could differ significantly from those estimates.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Vishay and all of its subsidiaries in which a controlling financial interest is maintained. For those consolidated subsidiaries in which the Company’s ownership is less than 100 percent, the outside stockholders’ interests are shown as noncontrolling interest in the accompanying consolidated balance sheets. Investments in affiliates over which the Company has significant influence but not a controlling interest are carried on the equity basis. Investments in affiliates over which the Company does not have significant influence are accounted for by the cost method. All intercompany transactions, accounts, and profits are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recognizes revenue from contracts with customers when it satisfies the performance obligations within the contract. The Company has framework agreements with many of its customers that contain the terms and conditions of future sales, but do not create enforceable rights or obligations. For revenue recognition purposes, the Company considers the combined purchase orders and the terms and conditions contained within such framework agreements to be contracts.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Payment terms for the Company's sales are generally less than sixty days. Substantially all of the Company's receivables historically have been and are expected to continue to be collected within twelve months of the transfer of products to the customer and the Company expects this to continue going forward. Accordingly, the Company does not recognize a financing component of the transaction price.</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Revenue is measured based on the consideration specified in contracts with customers, and excludes any sales incentives and amounts collected on behalf of third parties. The Company recognizes revenue when it satisfies its performance obligations. The Company analyzes its contracts to determine whether the promise in the contract to construct and transfer goods to the customer is a performance obligation that will be satisfied over time or at a point in time. When the Company's performance does not create an asset with an alternative use to the Company and the Company has an enforceable right to payment for performance completed to date, the Company transfers control of a good or service over time and, therefore, satisfies a performance obligation and recognizes revenue over time. The Company has a limited number of contracts for custom products that meet the criteria to recognize revenue over time.</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contracts contain two performance obligations: delivery of products and warranty protection. The Company does not sell separate, enhanced, or extended warranty coverage, but through its customary business practices, the Company has created implied service-type warranties, which are accounted for as separate performance obligations. Revenue is allocated between these two performance obligations and recognized as the obligations are satisfied. The allocation of revenue to warranty protection is based on an estimate of expected cost plus margin. The delivery of products performance obligation is satisfied and product sales revenue is recognized when the customer takes control of the products. Warranty revenue is deferred and the warranty protection performance obligation is satisfied and revenue is recognized over the warranty period, which is typically less than twenty four months from sale to end customer. The warranty deferred revenue liability is recorded within Other Accrued Expenses and Other Liabilities on the accompanying consolidated balance sheets. The deferred revenue balance associated with the service-type warranty performance obligations and the components that comprise the change in the deferred revenue balance are not significant.</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has a broad line of products that it sells to original equipment manufacturers ("OEMs"), electronic manufacturing services ("EMS") companies, which manufacture for OEMs on an outsourcing basis, and independent distributors that maintain large inventories of electronic components for resale to OEMs and EMS companies.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recognizes revenue on sales to distributors when the distributor takes control of the products ("sold-to" model). The Company has agreements with distributors that allow distributors a limited credit for unsaleable products, which it terms a "scrap allowance." Consistent with industry practice, the Company also has a "stock, ship and debit" program whereby it considers requests by distributors for credits on previously purchased products that remain in distributors' inventory, to enable the distributors to offer more competitive pricing. In addition, the Company has contractual arrangements whereby it provides distributors with protection against price reductions initiated by the Company after product is sold by the Company to the distributor and prior to resale by the distributor.</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recognizes the estimated variable consideration to be received as revenue and records a related accrued expense for the consideration not expected to be received, based upon its estimate of product returns, scrap allowances, "stock, ship and debit" credits, and price protection credits that will be attributable to sales recorded through the end of the period. The Company makes these estimates based upon sales levels to its distributors during the period, inventory levels at the distributors, current and projected market conditions, and historical experience under the programs. While the Company utilizes a number of different methodologies to estimate the accruals, all of the methodologies take into account sales levels to distributors during the relevant period, inventory levels at the distributors, current and projected market trends and conditions, recent and historical activity under the relevant programs, changes in program policies, and open requests for credits. These procedures require the exercise of significant judgments. The Company believes that it has a reasonable basis to estimate future credits under the programs. See sales returns and allowances accrual activity in Note 9.</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pays commissions to external sales representatives on a per-sale basis. Accordingly, these commissions are expensed as incurred because the future amortization period of the asset that the Company otherwise would have recognized is one year or less. Internal staff are not paid commissions.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elected to account for shipping and handling as activities to fulfill the promise to transfer the product even if the shipping and handling activities are performed after the customer obtains control. The Company does not evaluate whether shipping and handling activities are promised services to its customers. If control transfers and revenue is recognized for the related products before the shipping and handling activities occur, the related costs of those shipping and handling activities is accrued. The Company applies this accounting policy election consistently to similar types of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disaggregated revenue information in Note 15.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Research and development costs are expensed as incurred. The amount charged to expense for research and development (exclusive of purchased in-process research and development) aggregated $81,182, $77,377, and $70,861, for the years ended December 31, 2022, 2021, and 2020, respectively. The Company spends additional amounts for the development of machinery and equipment for new processes and for cost reduction measures.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plus the change in deferred taxes during the year. Deferred taxes result from differences between the financial and tax bases of the Company’s assets and liabilities and are adjusted for changes in tax rates and tax laws when changes are enacted. Valuation allowances have been established for deferred tax assets which the Company believes do not meet GAAP criteria of “more likely than not” to be realized. This criterion requires a level of judgment regarding future taxable income, which may be revised due to changes in market conditions, tax laws, or other factors. If the Company’s assumptions and estimates change in the future, valuation allowances established may be increased, resulting in increased tax expense. Conversely, if the Company is ultimately able to utilize all or a portion of the deferred tax assets for which a valuation allowance has been established, then the related portion of the valuation allowance can be released, resulting in decreased tax expense.</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and its subsidiaries are subject to income taxes in the U.S. and numerous foreign jurisdictions. Significant judgment is required in evaluating the Company’s tax positions and determining its provision for income taxes. 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the Company’s belief that its tax return positions are fully supportable. The Company adjusts these reserves in light of changing facts and circumstances and the provision for income taxes includes the impact of reserve provisions and changes to reserves that are considered appropriate.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These accruals for tax-related uncertainties are based on management’s best estimate of potential tax exposures. When particular matters arise, a number of years may elapse before such matters are audited by tax authorities and finally resolved. Favorable resolution of such matters could be recognized as a reduction to the Company’s effective tax rate in the year of resolution. Unfavorable resolution of any particular issue could increase the effective tax rate and may require the use of cash in the year of resolution. The amount included in current liabilities on the accompanying consolidated balance sheets reflect only amounts expected to be settled in cash within one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5.</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Short-Term Investments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Cash and cash equivalents includes demand deposits and highly liquid investments with maturities of three months or less when purchased. Highly liquid investments with original maturities greater than three months, but less than one year are classified as short-term investments. At December 31, 2022 and 2021, the Company’s short-term investments were comprised of time deposits with financial institutions whose original maturity exceeds three months, but less than one year.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Credit Losses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Effective January 1, 2020, the Company estimates its credit losses on financial instruments using a current expected credit loss model. Prior to January 1, 2020, the Company estimated its credit losses using an incurred loss impairment methodology, which was not materially different than the methodology adopted on January 1, 2020. The Company maintains an allowance for accounts receivable credit losses resulting from the inability of its customers to make required payments. Payment terms for the Company's sales are generally less than ninety days. Substantially all of the Company's trade receivables are collected within twelve months of the transfer of products to the customer and the Company expects this to continue going forward. The credit loss allowance is determined through an analysis of the aging of accounts receivable and assessments of risk that are based on historical trends and an evaluation of the impact of current and projected economic conditions. Receivables from customers with deteriorating financial condition and those over 180 days past due are removed from the pool and evaluated separately. Net credit loss expense for accounts receivable was $365, $384, and $475 for the years ended December 31, 2022, 2021, and 2020, respectively.</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cash equivalents, short-term investments, and restricted investments are accounted for as held-to-maturity debt instruments, at amortized cost. Interest income on these instruments is recorded as Other income on the consolidated statements of operations and interest receivable is recognized as a separate asset and recorded in Prepaid expenses and other current assets on the consolidated balance sheets. The Company has not experienced a credit loss on the principal or interest receivable of its cash equivalents, short-term investments, or restricted investments. The Company pools its cash equivalents, short-term investments, and restricted investments by credit rating of the issuing financial institution and estimates an allowance for credit losses based on the corporate bond default ratios, evaluation of the impact of current and projected economic conditions, and probability of credit loss. Net credit loss expense for cash equivalents, short-term investments, and restricted investments was immaterial for the years ended December 31, 2022 and 2021. The Company does not measure an allowance for credit losses on interest receivable. Any uncollectible interest receivable is recognized by reversing interest income within the fiscal quarter that the interest becomes uncollectible.</w:t>
      </w:r>
    </w:p>
    <w:p>
      <w:pPr>
        <w:spacing w:after="0" w:line="11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Company has an immaterial amount of other short-term held-to-maturity debt instruments recorded within Prepaid expenses and other current assets on the consolidated balance sheets. The Company analyzes these assets on a separate asset basis and estimates an allowance for credit losses based on historical credit loss rates and an evaluation of the impact of current and projected economic conditions. Net credit loss expense for these other short-term held-to-maturity debt instruments was immaterial for the years ended December 31, 2022 and 2021.</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Inventories are stated at the lower of cost, determined by the first-in, first-out method, or net realizable value. Inventories are adjusted for estimated obsolescence and written down to net realizable value based upon estimates of future demand, technology developments, and market conditions.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Property and equipment is carried at cost and is depreciated principally by the straight-line method based upon the estimated useful lives of the assets. Machinery and equipment are being depreciated over useful lives of seven years to ten years. Buildings and building improvements are being depreciated over useful lives of twenty years to forty years. Construction in progress is not depreciated until the assets are placed in service. The estimated cost to complete construction in progress at December 31, 2022 was approximately $491,500. Included in the estimated cost to complete the Itzehoe, Germany 12-inch wafer fab construction project are costs for which there are currently no contractual commitments to complete. Depreciation expense was $155,864, $159,247, and $158,117 for the years ended December 31, 2022, 2021, and 2020, respectively. Gains and losses on the disposal of assets which do not qualify for presentation as discontinued operations are included in the determination of operating margin (within selling, general, and administrative expenses). Individually material gains and losses on disposal are separately disclosed in the notes to the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Commitments and Contingencies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commitments for the purchase of assets to complete its construction in progress as disclosed above. The commitment period for substantially all of these purchase commitments is less than one year. The Company expects to have noncancellable purchase commitments with commitment periods in excess of one year associated with its significant facility expansion programs as the programs progress. As of December 31, 2022, there are no material noncancellable commitments associated with these programs.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Liabilities for loss contingencies, including environmental remediation costs, arising from claims, assessments, litigation, fines, penalties, and other sources are recorded when it is probable that a liability has been incurred and the amount of the assessment and/or remediation can be reasonably estimated. The costs for a specific environmental remediation site are discounted if the aggregate amount of the obligation and the amount and timing of the cash payments for that site are fixed or reliably determinable based upon information derived from the remediation plan for that site. Accrued liabilities for environmental matters recorded at December 31, 2022 and 2021 do not include claims against third parties.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Other Intangible Assets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Goodwill represents the excess of the cost of a business acquired over the fair value of the related net assets at the date of acquisition. Certain intangible assets may be assigned indefinite useful lives. Goodwill and indefinite-lived intangible assets are not amortized but rather are tested for impairment at least annually. These tests are performed more frequently whenever events or changes in circumstances indicate that the assets might be impaired. The Company's business segments (see Note 15) represent its reporting units for goodwill impairment testing purposes. At December 31, 2022 and 2021, respectively, the Company has no recorded indefinite-lived intangible assets.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Definite-lived intangible assets are amortized over their estimated useful lives. Patents and acquired technology are being amortized over useful lives of seven years to twenty-five years. Capitalized software is amortized over periods of three years to ten years, primarily included in costs of products sold on the consolidated statements of operations. Customer relationships are amortized over useful lives of five years to twenty years. Noncompete agreements are amortized over periods of three years to ten years. The Company continually evaluates the reasonableness of the useful lives of these assets.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GAAP prescribes a quantitative method for determining goodwill impairment. The Company has the option of performing a qualitative assessment before performing the quantitative impairment test. If it is determined, on the basis of qualitative factors, that the fair value of the reporting unit is not more likely than not less than the carrying amount, the quantitative impairment test is not required. If it is determined that the fair value of the reporting unit is more likely than not less than the carrying amount, the quantitative impairment test is required.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determines the fair value of the reporting unit and compares that fair value to the net book value of the reporting unit. The fair value of the reporting unit is determined using various valuation techniques, including a comparable companies market multiple approach and a discounted cash flow analysis (an income approach). If the net book value of the reporting unit were to exceed the fair value, the Company would recognize an impairment charge.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carrying value of long-lived assets held-and-used, other than goodwill and indefinite-lived intangible assets, is evaluated when events or changes in circumstances indicate the carrying value may not be recoverable or the useful life has changed. The carrying value of a long-lived asset group is considered impaired when the total projected undiscounted cash flows from such asset group are separately identifiable and are less than the carrying value. In that event, a loss is recognized based on the amount by which the carrying value exceeds the fair market value of the long-lived asset group. Fair market value is determined primarily using present value techniques based on projected cash flows from the asset group. Losses on long-lived assets held-for-sale, other than goodwill and indefinite-lived intangible assets, are determined in a similar manner, except that fair market values are reduced for anticipated disposal costs.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Available-for-Sale Securities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Short-term investments and other assets reported on the accompanying consolidated balance sheets include time deposits with financial institutions whose original maturity exceeds three months, but less than one year that are classified as held-to-maturity instruments, and investments in marketable securities that are classified as available-for-sale instruments. The available-for-sale instruments include assets that are held in trust related to the Company’s non-qualified pension and deferred compensation plans (see Note 11) and assets that are intended to fund a portion of the Company’s other postretirement benefit obligations outside of the U.S. These assets are reported at fair value, based on quoted market prices as of the end of the reporting period. Unrealized gains and losses are reported as Other Income (Expense) on the consolidated statements of operations. At the time of sale, the assets that are held in trust related to the Company’s non-qualified pension and deferred compensation plans, any gains (losses) calculated by the specific identification method are recognized as a reduction (increase) to benefits expense, within selling, general, and administrative expenses.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uses financial instruments in the normal course of its business, including from time to time, derivative financial instruments. Additionally, from time to time, the Company enters into contracts that are not considered derivative financial instruments in their entirety, but that include embedded derivative features.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Other financial instruments include cash and cash equivalents, held-to-maturity short-term investments, accounts receivable, and notes payable. The carrying amounts of these financial instruments reported on the accompanying consolidated balance sheets approximate their fair values due to the short-term nature of these assets and liabilities.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fair value measurement accounting guidance establishes a valuation hierarchy of the inputs used to measure fair value. This hierarchy prioritizes the inputs to valuation techniques used to measure fair value into three broad levels. The following is a brief description of those three levels: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Level 1: Observable inputs such as quoted prices (unadjusted) in active markets for identical assets or liabilities.</w:t>
      </w:r>
    </w:p>
    <w:p>
      <w:pPr>
        <w:spacing w:after="0" w:line="145"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4"/>
          <w:szCs w:val="14"/>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Level 3: Unobservable inputs that reflect the Company’s own assumptions.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asset or liability’s classification within the hierarchy is determined based on the lowest level input that is significant to the fair value measurement.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Compensation costs related to stock-based payment transactions are recognized in the consolidated financial statements. The amount of compensation cost is measured based on the grant-date fair value of the equity (or liability) instruments issued. The Company determines compensation cost for restricted stock units ("RSUs") and phantom stock units based on the grant-date fair value of the underlying common stock adjusted for expected dividends paid over the required vesting period for non-participating awards. Compensation cost is recognized over the period that an officer, employee, or non-employee director is required to provide service in exchange for the award. For awards subject to graded vesting, the Company recognizes expense over the service period for each separately vesting portion of the award as if the award was, in-substance, multiple awards. The Company recognizes compensation cost for RSUs that are expected to vest and records cumulative adjustments in the period that the expectation changes.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Company has significant operations outside of the United States. The Company finances its operations in Europe and certain locations in Asia in local currencies, and accordingly, these subsidiaries utilize the local currency as their functional currency. The Company’s operations in Israel and most significant locations in Asia are largely financed in U.S. dollars, and accordingly, these subsidiaries utilize the U.S. dollar as their functional currency.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For those subsidiaries where the local currency is the functional currency, assets and liabilities on the accompanying consolidated balance sheets have been translated at the rate of exchange as of the balance sheet date. Translation adjustments do not impact the consolidated results of operations and are reported as a separate component of stockholders’ equity. Revenues and expenses are translated at the average exchange rate for the year. While the translation of revenues and expenses into U.S. dollars does not directly impact the statement of operations, the translation effectively increases or decreases the U.S. dollar equivalent of revenues generated and expenses incurred in those foreign currencies.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For those foreign subsidiaries where the U.S. dollar is the functional currency, all foreign currency financial statement amounts are remeasured into U.S. dollars. Exchange gains and losses arising from remeasurement of foreign currency-denominated monetary assets and liabilities are included in the consolidated results of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Treasury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records treasury stock at cost, inclusive of fees, commissions and other expenses, when outstanding common shares are repurchased.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Self-Insurance Programs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uses a combination of insurance and self-insurance mechanisms to provide for the potential liabilities for workers’ compensation, general liability, property damage, director and officers’ liability, and vehicle liability.</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part of its self-insurance program for certain risks, the Company created a wholly-owned captive insurance entity in 2007. At December 31, 2022, the captive insurance entity provides only property and general liability insurance, although it is licensed to also provide directors’ and officers’ insurance. The captive insurance entity had no amounts accrued for outstanding claims at December 31, 2022 and 2021.</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Certain investments held by the captive insurance entity are restricted primarily for the purpose of potential insurance claims. Such amounts are recorded in other noncurrent assets, and total $9,352 and $9,153 at December 31, 2022 and 2021, respectively, representing required statutory reserves of the captive insurance entity.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 – Summary of Significant Accounting Policies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Company leases buildings and machinery and equipment used for manufacturing and/or sales and administrative purposes. The Company is also party to various service, warehousing, and other agreements that it evaluates for potential embedded leases. Substantially all of the Company’s leases are structured and classified as operating leases.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leases assets in each region in which it operates. The Company’s leases are generally denominated in the currency of the leased assets' location, which may not be the functional currency of the subsidiary lessee. Accordingly, the Company remeasures its lease liability and recognizes a transactional gain/loss for leases denominated in currencies other than the functional currency of the subsidiary lessee.</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recognizes right of use assets and lease liabilities for leases greater than twelve months in duration based on the contract consideration for lease components through the term of the lease and the applicable discount rate. Leases with a duration less than or equal to twelve months are considered short-term leases. The Company does not recognize right of use assets or lease liabilities for short-term leases and classifies the expense as short-term lease expense. Variable lease payments based on an index or rate are included in the right of use assets and lease liabilities based on the effective rates at lease commencement. Changes in the rates or indices do not impact the right of use asset or lease liability and are recognized as a component of lease expense in the consolidated statements of operations. Variable lease payments not based on an index or rate are not included in the initial right of use asset and lease liability and are recognized when incurred as a component of lease expense in the consolidated statements of operations.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elected to not separate contract consideration for lease and non-lease components for its building leases. In addition to the noncancellable period of a lease, the Company includes periods covered by extension options it is reasonably certain to exercise, termination options that it is reasonably certain not to exercise, and extension and termination options controlled by the lessor in its determination of the lease term. The Company uses the rate implicit in the contract whenever possible when determining the applicable discount rate. When the implicit rate is not used, the Company employs a portfolio approach based on the duration of the lease. The portfolio lease rates are calculated monthly.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individual lease is considered significant and there are no leases that have not yet commenced that are considered significant.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and Severance Costs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Restructuring and severance costs reflect charges resulting from cost reduction programs implemented by the Company. Restructuring and severance costs include exit costs, severance benefits pursuant to an on-going arrangement, voluntary termination compensation under a defined program, and any related pension curtailment and settlement charges.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recognizes expense for one-time benefits only after management has committed to a plan, the plan is sufficiently detailed to provide the number, classification, and location of employees to be terminated as well as the expected completion date, the plan has been sufficiently communicated to employees such that they are able to determine the type and amount of benefits they will receive if terminated, and it is unlikely that the plan will be significantly changed or withdrawn. If an employee is not required to render service beyond a minimum retention period, the Company recognizes expense once the aforementioned criteria have been met. If an employee is required to render service beyond a minimum retention period, the Company recognizes expense over the period that the employee is required to render future service.</w:t>
      </w:r>
    </w:p>
    <w:p>
      <w:pPr>
        <w:sectPr>
          <w:pgSz w:w="11900" w:h="16838" w:orient="portrait"/>
          <w:cols w:equalWidth="0" w:num="1">
            <w:col w:w="11300"/>
          </w:cols>
          <w:pgMar w:left="300" w:top="121" w:right="299" w:bottom="1440" w:gutter="0" w:footer="0" w:header="0"/>
        </w:sectPr>
      </w:pP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Company recognizes expense for on-going benefit arrangements when the liability is reasonably estimable and considered probable. The separation / early retirement when the employee delivers an irrevocable voluntary termination notice pursuant to a defined Company program. incurred.</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firstLine="38"/>
        <w:spacing w:after="0" w:line="282" w:lineRule="auto"/>
        <w:rPr>
          <w:sz w:val="20"/>
          <w:szCs w:val="20"/>
          <w:color w:val="auto"/>
        </w:rPr>
      </w:pPr>
      <w:r>
        <w:rPr>
          <w:rFonts w:ascii="Times New Roman" w:cs="Times New Roman" w:eastAsia="Times New Roman" w:hAnsi="Times New Roman"/>
          <w:sz w:val="14"/>
          <w:szCs w:val="14"/>
          <w:color w:val="auto"/>
        </w:rPr>
        <w:t>Company recognizes expense for voluntary The Company recognizes other exit costs as</w:t>
      </w:r>
    </w:p>
    <w:p>
      <w:pPr>
        <w:spacing w:after="0" w:line="200" w:lineRule="exact"/>
        <w:rPr>
          <w:sz w:val="20"/>
          <w:szCs w:val="20"/>
          <w:color w:val="auto"/>
        </w:rPr>
      </w:pPr>
    </w:p>
    <w:p>
      <w:pPr>
        <w:sectPr>
          <w:pgSz w:w="11900" w:h="16838" w:orient="portrait"/>
          <w:cols w:equalWidth="0" w:num="2">
            <w:col w:w="8620" w:space="20"/>
            <w:col w:w="2660"/>
          </w:cols>
          <w:pgMar w:left="300" w:top="121" w:right="299" w:bottom="144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paid cash of $11,474 in the year ended December 31, 2021 due to a restructuring program announced in 2019. The program was substantially completed as of December 31,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Certain prior year amounts have been reclassified to conform with current year presentation. Such reclassifications had no effect on reported net earnings attributable to Vishay stockholders, total assets, stockholders' equity, or the statements of cash flows.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2 - Acquisition and Divestiture Activities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part of its growth strategy, the Company seeks to expand through targeted acquisitions of other manufacturers of electronic components. These acquisition targets include businesses that have established positions in major markets, reputations for product quality and reliability, and product lines with which the Company has substantial marketing and technical expertise. It also includes certain businesses that possess technologies which the Company expects to further develop and commercialize.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2022</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October 28, 2022, the Company acquired all of the outstanding equity interests of MaxPower Semiconductor, Inc., ("MaxPower"), a San Jose, California-based fabless power semiconductor provider dedicated to delivering innovative and cost-effective technologies that optimize power management solutions. The acquisition of MaxPower will enhance Vishay's current and future silicon carbide ("SiC") offerings for fast-growing markets such as electric vehicles.</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paid cash of $50,000, net of cash acquired, at closing. Related to the transaction, the Company may also be required to make certain contingent payments of up to $57,500, which would be payable upon the achievement of certain technology milestones, upon favorable resolution of certain technology licensing matters with a third party, and upon the disposition of MaxPower's investment in an equity affiliate. The purchase price for U.S. GAAP purposes includes the fair value, as of the acquisition date, of certain future contingent payments to non-employee equity holders of MaxPower. The estimated fair value of this contingent consideration as of the acquisition date was $6,851. The contingent consideration liability is included in other accrued expenses and other liabilities in the accompanying balance sheet and is remeasured each reporting period, with changes reported as selling, general, and administrative expenses on the consolidated statement of operations. See Note 18 for further discussion on the fair value measurement.</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 portion of contingent payments to be made to employee equity holders are deemed compensatory in nature. Such payments made to employee equity holders will be recognized as expense in future periods, and thus are not included in the U.S. GAAP purchase price.</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Based on an estimate of their fair values pending finalization of an independent appraisal, the Company allocated $18,600 of the purchase price to definite-lived intangible assets. After allocating the purchase price to the assets acquired and liabilities assumed based on a preliminary estimation of their fair values at the date of acquisition, the Company recorded goodwill of $36,885 related to this acquisition. The results and operation of this acquisition have been included in the MOSFETs segment since October 28, 2022. The goodwill related to this acquisition will be included in the MOSFETs reporting unit for goodwill impairment testing. The purchase price allocation for this acquisition is considered preliminary as the Company is awaiting further information about the contingent payments, the finalization of an independent appraisal, and the finalization of a net working capital adjustment.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2021</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On December 31, 2021, the Company acquired substantially all of the U.S. assets of Barry Industries, a Massachusetts-based, privately-held manufacturer of resistive components for $20,847. Based on an estimate of their fair values, the Company allocated $9,600 of the purchase price to definite-lived intangible assets. After allocating the purchase price to the assets acquired and liabilities assumed based on an estimation of their fair values at the date of acquisition, the Company recorded goodwill of $7,813 related to this acquisition. The results and operations of this acquisition have been included in the Resistors segment since December 31, 2021. The goodwill related to this acquisition is included in the Resistors reporting unit for goodwill impairment testing.</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2020</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October 1, 2020, the Company acquired the worldwide business and substantially all of the U.S. assets of Applied Thin-Film Products, a California-based, privately-held manufacturer of custom, build-to-print thin film substrates for the microwave, fiber optic, and life science industries. Concurrently, a Chinese subsidiary of Applied Thin-Film Products entered into an agreement to sell certain inventory and equipment to a subsidiary of Vishay, which was completed on June 30, 2021. The total acquisition price was $25,852. Based on an estimate of their fair values, the Company allocated $10,800 of the purchase price to definite-lived intangible assets. After allocating the purchase price to the assets acquired and liabilities assumed based on an estimation of their fair values at the date of acquisition, the Company recorded goodwill of $6,548 related to this acquisition. The results and operations of this acquisition have been included in the Resistors segment since October 1, 2020. The goodwill related to this acquisition is included in the Resistors reporting unit for goodwill impairment testing.</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Had these acquisitions occurred as of the beginning of the periods presented in these consolidated financial statements, the pro forma statements of operations would not be materially different than the consolidated statements of operations presented.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3 – Goodwill and Other Intangible Assets</w:t>
      </w:r>
    </w:p>
    <w:p>
      <w:pPr>
        <w:spacing w:after="0" w:line="1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Company performs its annual goodwill impairment test as of the first day of the fiscal fourth quarter. No impairment was identified as a result of the Company's annual impairment tests for 2022, 2021, and 2020.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changes in the carrying amount of goodwill by segment for the years ended December 31, 2022 and 2021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Optoelectronic</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6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MOSFETs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Resistors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Inductors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6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96,849</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35,519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25,815</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158,183</w:t>
            </w:r>
          </w:p>
        </w:tc>
      </w:tr>
      <w:tr>
        <w:trPr>
          <w:trHeight w:val="162"/>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Barry Industries acquisition</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7,813</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7,813</w:t>
            </w:r>
          </w:p>
        </w:tc>
      </w:tr>
      <w:tr>
        <w:trPr>
          <w:trHeight w:val="16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rate effects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(727)</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96,849</w:t>
            </w:r>
          </w:p>
        </w:tc>
        <w:tc>
          <w:tcPr>
            <w:tcW w:w="220" w:type="dxa"/>
            <w:vAlign w:val="bottom"/>
          </w:tcPr>
          <w:p>
            <w:pPr>
              <w:spacing w:after="0"/>
              <w:rPr>
                <w:sz w:val="13"/>
                <w:szCs w:val="13"/>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42,605</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25,815</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165,269</w:t>
            </w:r>
          </w:p>
        </w:tc>
      </w:tr>
      <w:tr>
        <w:trPr>
          <w:trHeight w:val="16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MaxPower acquisition</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36,885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36,885</w:t>
            </w:r>
          </w:p>
        </w:tc>
      </w:tr>
      <w:tr>
        <w:trPr>
          <w:trHeight w:val="162"/>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Exchange rate effect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(722)</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(722)</w:t>
            </w:r>
          </w:p>
        </w:tc>
      </w:tr>
      <w:tr>
        <w:trPr>
          <w:trHeight w:val="200"/>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36,885</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96,849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41,883</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25,815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201,432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308"/>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are as follows: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5"/>
                <w:szCs w:val="15"/>
                <w:color w:val="auto"/>
              </w:rPr>
            </w:pPr>
          </w:p>
        </w:tc>
      </w:tr>
      <w:tr>
        <w:trPr>
          <w:trHeight w:val="304"/>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subject to amortization: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Patents and acquired technology</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26,988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21,207</w:t>
            </w:r>
          </w:p>
        </w:tc>
      </w:tr>
      <w:tr>
        <w:trPr>
          <w:trHeight w:val="162"/>
        </w:trPr>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Capitalized software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58,735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57,909</w:t>
            </w:r>
          </w:p>
        </w:tc>
      </w:tr>
      <w:tr>
        <w:trPr>
          <w:trHeight w:val="162"/>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82,816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75,190</w:t>
            </w:r>
          </w:p>
        </w:tc>
      </w:tr>
      <w:tr>
        <w:trPr>
          <w:trHeight w:val="162"/>
        </w:trPr>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Tradenames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22,933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20,066</w:t>
            </w:r>
          </w:p>
        </w:tc>
      </w:tr>
      <w:tr>
        <w:trPr>
          <w:trHeight w:val="162"/>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400</w:t>
            </w:r>
          </w:p>
        </w:tc>
      </w:tr>
      <w:tr>
        <w:trPr>
          <w:trHeight w:val="20"/>
        </w:trPr>
        <w:tc>
          <w:tcPr>
            <w:tcW w:w="4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191,872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174,772</w:t>
            </w:r>
          </w:p>
        </w:tc>
      </w:tr>
      <w:tr>
        <w:trPr>
          <w:trHeight w:val="160"/>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Patents and acquired technology</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(14,743)</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(14,212)</w:t>
            </w:r>
          </w:p>
        </w:tc>
      </w:tr>
      <w:tr>
        <w:trPr>
          <w:trHeight w:val="162"/>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Capitalized software</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(53,348)</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(52,729)</w:t>
            </w:r>
          </w:p>
        </w:tc>
      </w:tr>
      <w:tr>
        <w:trPr>
          <w:trHeight w:val="162"/>
        </w:trPr>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(33,021)</w:t>
            </w: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(29,531)</w:t>
            </w:r>
          </w:p>
        </w:tc>
      </w:tr>
      <w:tr>
        <w:trPr>
          <w:trHeight w:val="162"/>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Tradenames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(12,731)</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(10,586)</w:t>
            </w:r>
          </w:p>
        </w:tc>
      </w:tr>
      <w:tr>
        <w:trPr>
          <w:trHeight w:val="162"/>
        </w:trPr>
        <w:tc>
          <w:tcPr>
            <w:tcW w:w="4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(133)</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6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(113,976)</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(107,058)</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4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intangible assets subject to amortization</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77,896</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67,714</w:t>
            </w:r>
          </w:p>
        </w:tc>
      </w:tr>
      <w:tr>
        <w:trPr>
          <w:trHeight w:val="20"/>
        </w:trPr>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expense (excluding capitalized software) was $8,127, $7,790, and $8,113, for the years ended December 31, 2022, 2021, and 2020,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Estimated annual amortization expense of intangible assets on the balance sheet at December 31, 2022 for each of the next five years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00" w:type="dxa"/>
            <w:vAlign w:val="bottom"/>
            <w:shd w:val="clear" w:color="auto" w:fill="CCEEFF"/>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2023</w:t>
            </w:r>
          </w:p>
        </w:tc>
        <w:tc>
          <w:tcPr>
            <w:tcW w:w="76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9,833</w:t>
            </w:r>
          </w:p>
        </w:tc>
      </w:tr>
      <w:tr>
        <w:trPr>
          <w:trHeight w:val="162"/>
        </w:trPr>
        <w:tc>
          <w:tcPr>
            <w:tcW w:w="2900" w:type="dxa"/>
            <w:vAlign w:val="bottom"/>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2024</w:t>
            </w:r>
          </w:p>
        </w:tc>
        <w:tc>
          <w:tcPr>
            <w:tcW w:w="76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9,537</w:t>
            </w:r>
          </w:p>
        </w:tc>
      </w:tr>
      <w:tr>
        <w:trPr>
          <w:trHeight w:val="162"/>
        </w:trPr>
        <w:tc>
          <w:tcPr>
            <w:tcW w:w="2900" w:type="dxa"/>
            <w:vAlign w:val="bottom"/>
            <w:shd w:val="clear" w:color="auto" w:fill="CCEEFF"/>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2025</w:t>
            </w:r>
          </w:p>
        </w:tc>
        <w:tc>
          <w:tcPr>
            <w:tcW w:w="76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9,100</w:t>
            </w:r>
          </w:p>
        </w:tc>
      </w:tr>
      <w:tr>
        <w:trPr>
          <w:trHeight w:val="162"/>
        </w:trPr>
        <w:tc>
          <w:tcPr>
            <w:tcW w:w="2900" w:type="dxa"/>
            <w:vAlign w:val="bottom"/>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2026</w:t>
            </w:r>
          </w:p>
        </w:tc>
        <w:tc>
          <w:tcPr>
            <w:tcW w:w="76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8,314</w:t>
            </w:r>
          </w:p>
        </w:tc>
      </w:tr>
      <w:tr>
        <w:trPr>
          <w:trHeight w:val="162"/>
        </w:trPr>
        <w:tc>
          <w:tcPr>
            <w:tcW w:w="2900" w:type="dxa"/>
            <w:vAlign w:val="bottom"/>
            <w:shd w:val="clear" w:color="auto" w:fill="CCEEFF"/>
          </w:tcPr>
          <w:p>
            <w:pPr>
              <w:jc w:val="right"/>
              <w:ind w:right="2548"/>
              <w:spacing w:after="0"/>
              <w:rPr>
                <w:sz w:val="20"/>
                <w:szCs w:val="20"/>
                <w:color w:val="auto"/>
              </w:rPr>
            </w:pPr>
            <w:r>
              <w:rPr>
                <w:rFonts w:ascii="Times New Roman" w:cs="Times New Roman" w:eastAsia="Times New Roman" w:hAnsi="Times New Roman"/>
                <w:sz w:val="14"/>
                <w:szCs w:val="14"/>
                <w:color w:val="auto"/>
                <w:w w:val="92"/>
              </w:rPr>
              <w:t>2027</w:t>
            </w:r>
          </w:p>
        </w:tc>
        <w:tc>
          <w:tcPr>
            <w:tcW w:w="76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6,493</w:t>
            </w:r>
          </w:p>
        </w:tc>
      </w:tr>
      <w:tr>
        <w:trPr>
          <w:trHeight w:val="432"/>
        </w:trPr>
        <w:tc>
          <w:tcPr>
            <w:tcW w:w="2900" w:type="dxa"/>
            <w:vAlign w:val="bottom"/>
          </w:tcPr>
          <w:p>
            <w:pPr>
              <w:spacing w:after="0"/>
              <w:rPr>
                <w:sz w:val="24"/>
                <w:szCs w:val="24"/>
                <w:color w:val="auto"/>
              </w:rPr>
            </w:pPr>
          </w:p>
        </w:tc>
        <w:tc>
          <w:tcPr>
            <w:tcW w:w="7600" w:type="dxa"/>
            <w:vAlign w:val="bottom"/>
          </w:tcPr>
          <w:p>
            <w:pPr>
              <w:jc w:val="right"/>
              <w:ind w:right="4674"/>
              <w:spacing w:after="0"/>
              <w:rPr>
                <w:sz w:val="20"/>
                <w:szCs w:val="20"/>
                <w:color w:val="auto"/>
              </w:rPr>
            </w:pPr>
            <w:r>
              <w:rPr>
                <w:rFonts w:ascii="Times New Roman" w:cs="Times New Roman" w:eastAsia="Times New Roman" w:hAnsi="Times New Roman"/>
                <w:sz w:val="12"/>
                <w:szCs w:val="12"/>
                <w:color w:val="auto"/>
              </w:rPr>
              <w:t>F-17</w:t>
            </w:r>
          </w:p>
        </w:tc>
        <w:tc>
          <w:tcPr>
            <w:tcW w:w="800" w:type="dxa"/>
            <w:vAlign w:val="bottom"/>
          </w:tcPr>
          <w:p>
            <w:pPr>
              <w:spacing w:after="0"/>
              <w:rPr>
                <w:sz w:val="24"/>
                <w:szCs w:val="24"/>
                <w:color w:val="auto"/>
              </w:rPr>
            </w:pPr>
          </w:p>
        </w:tc>
      </w:tr>
      <w:tr>
        <w:trPr>
          <w:trHeight w:val="36"/>
        </w:trPr>
        <w:tc>
          <w:tcPr>
            <w:tcW w:w="2900" w:type="dxa"/>
            <w:vAlign w:val="bottom"/>
            <w:tcBorders>
              <w:bottom w:val="single" w:sz="8" w:color="auto"/>
            </w:tcBorders>
          </w:tcPr>
          <w:p>
            <w:pPr>
              <w:spacing w:after="0"/>
              <w:rPr>
                <w:sz w:val="3"/>
                <w:szCs w:val="3"/>
                <w:color w:val="auto"/>
              </w:rPr>
            </w:pPr>
          </w:p>
        </w:tc>
        <w:tc>
          <w:tcPr>
            <w:tcW w:w="7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4 – Leases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net right of use assets and lease liabilities recognized on the consolidated balance sheets for the Company's operating leases as of December 31, 2022 and 2021 are presented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8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Operating Leases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126,933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112,951</w:t>
            </w: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4,260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4,684</w:t>
            </w:r>
          </w:p>
        </w:tc>
        <w:tc>
          <w:tcPr>
            <w:tcW w:w="0" w:type="dxa"/>
            <w:vAlign w:val="bottom"/>
          </w:tcPr>
          <w:p>
            <w:pPr>
              <w:spacing w:after="0"/>
              <w:rPr>
                <w:sz w:val="1"/>
                <w:szCs w:val="1"/>
                <w:color w:val="auto"/>
              </w:rPr>
            </w:pPr>
          </w:p>
        </w:tc>
      </w:tr>
      <w:tr>
        <w:trPr>
          <w:trHeight w:val="160"/>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131,193</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117,635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Current lease liabilities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i w:val="1"/>
                <w:iCs w:val="1"/>
                <w:color w:val="auto"/>
              </w:rPr>
              <w:t>Operating Leases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22,926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20,851</w:t>
            </w: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2,541</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25,319</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23,392</w:t>
            </w: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Operating Leases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106,693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97,890</w:t>
            </w:r>
          </w:p>
        </w:tc>
        <w:tc>
          <w:tcPr>
            <w:tcW w:w="0" w:type="dxa"/>
            <w:vAlign w:val="bottom"/>
          </w:tcPr>
          <w:p>
            <w:pPr>
              <w:spacing w:after="0"/>
              <w:rPr>
                <w:sz w:val="1"/>
                <w:szCs w:val="1"/>
                <w:color w:val="auto"/>
              </w:rPr>
            </w:pPr>
          </w:p>
        </w:tc>
      </w:tr>
      <w:tr>
        <w:trPr>
          <w:trHeight w:val="162"/>
        </w:trPr>
        <w:tc>
          <w:tcPr>
            <w:tcW w:w="8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2,097</w:t>
            </w:r>
          </w:p>
        </w:tc>
        <w:tc>
          <w:tcPr>
            <w:tcW w:w="0" w:type="dxa"/>
            <w:vAlign w:val="bottom"/>
          </w:tcPr>
          <w:p>
            <w:pPr>
              <w:spacing w:after="0"/>
              <w:rPr>
                <w:sz w:val="1"/>
                <w:szCs w:val="1"/>
                <w:color w:val="auto"/>
              </w:rPr>
            </w:pPr>
          </w:p>
        </w:tc>
      </w:tr>
      <w:tr>
        <w:trPr>
          <w:trHeight w:val="160"/>
        </w:trPr>
        <w:tc>
          <w:tcPr>
            <w:tcW w:w="8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108,493</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99,987</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133,812</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123,379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 expense is classified in the statements of operations based on asset use. Total lease cost recognized on the consolidated statements of operations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6"/>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Lease expense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3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20" w:type="dxa"/>
            <w:vAlign w:val="bottom"/>
            <w:shd w:val="clear" w:color="auto" w:fill="000000"/>
          </w:tcPr>
          <w:p>
            <w:pPr>
              <w:spacing w:after="0"/>
              <w:rPr>
                <w:sz w:val="2"/>
                <w:szCs w:val="2"/>
                <w:color w:val="auto"/>
              </w:rPr>
            </w:pPr>
          </w:p>
        </w:tc>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expense</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25,606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24,853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23,363</w:t>
            </w:r>
          </w:p>
        </w:tc>
        <w:tc>
          <w:tcPr>
            <w:tcW w:w="0" w:type="dxa"/>
            <w:vAlign w:val="bottom"/>
          </w:tcPr>
          <w:p>
            <w:pPr>
              <w:spacing w:after="0"/>
              <w:rPr>
                <w:sz w:val="1"/>
                <w:szCs w:val="1"/>
                <w:color w:val="auto"/>
              </w:rPr>
            </w:pPr>
          </w:p>
        </w:tc>
      </w:tr>
      <w:tr>
        <w:trPr>
          <w:trHeight w:val="162"/>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Short-term lease expense</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2,031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162"/>
        </w:trPr>
        <w:tc>
          <w:tcPr>
            <w:tcW w:w="7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Variable lease expense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0"/>
        </w:trPr>
        <w:tc>
          <w:tcPr>
            <w:tcW w:w="820" w:type="dxa"/>
            <w:vAlign w:val="bottom"/>
            <w:shd w:val="clear" w:color="auto" w:fill="CCEEFF"/>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lease expense</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26,942</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27,243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24,541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paid $24,074, $23,899, and $23,814 for its operating leases during the years ended December 31, 2022, 2021, and 2020, respectively, which are included in operating cash flows on the consolidated statements of cash flows. The weighted-average remaining lease term for the Company's operating leases is 9.8 years and the weighted-average discount rate is 6.0% as of December 31,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The undiscounted future lease payments for the Company's operating lease liabilities are as follows:</w:t>
            </w:r>
          </w:p>
        </w:tc>
        <w:tc>
          <w:tcPr>
            <w:tcW w:w="2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36"/>
        </w:trPr>
        <w:tc>
          <w:tcPr>
            <w:tcW w:w="79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25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25,067</w:t>
            </w:r>
          </w:p>
        </w:tc>
      </w:tr>
      <w:tr>
        <w:trPr>
          <w:trHeight w:val="16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25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22,891</w:t>
            </w:r>
          </w:p>
        </w:tc>
      </w:tr>
      <w:tr>
        <w:trPr>
          <w:trHeight w:val="16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2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19,687</w:t>
            </w:r>
          </w:p>
        </w:tc>
      </w:tr>
      <w:tr>
        <w:trPr>
          <w:trHeight w:val="162"/>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25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16,989</w:t>
            </w:r>
          </w:p>
        </w:tc>
      </w:tr>
      <w:tr>
        <w:trPr>
          <w:trHeight w:val="16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25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15,766</w:t>
            </w:r>
          </w:p>
        </w:tc>
      </w:t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254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70,747</w:t>
            </w: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undiscounted future lease payments presented in the table above include payments through the term of the lease, which may include periods beyond the noncancellable term. The difference between the total payments above and the lease liability balance is due to the discount rate used to calculate lease liabilities.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Tax Laws and Regulations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Israel</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Effective November 15, 2021, Israel enacted changes in its tax laws. As a direct result of this change in tax law, the Company made the determination during the fourth fiscal quarter of 2021 that substantially all unremitted foreign earnings in Israel were no longer indefinitely reinvested. The Company recorded additional tax expense of $53,316 during the fourth fiscal quarter of 2021 to accrue the claw-back tax on applicable earnings and withholding taxes necessary to distribute these approximately $385,000 of accumulated earnings to the United States. The Company repatriated $81,243 to the United States in 2022 pursuant to this repatriation program. The Company paid withholding taxes, foreign taxes, and Israeli clawback taxes of $25,201 due to the repatriation.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United States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December 22, 2017, the Tax Cuts and Jobs Act (the "TCJA") was enacted in the United States.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Under previous law, companies could indefinitely defer U.S. income taxation on unremitted foreign earnings. The TCJA imposed a one-time transition tax on deferred foreign earnings, payable in defined increments over eight years. Installments of $14,757 were paid in each of 2022, 2021, 2020, 2019, and 2018.</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The Company expects future installment payments as follows:</w:t>
            </w:r>
          </w:p>
        </w:tc>
        <w:tc>
          <w:tcPr>
            <w:tcW w:w="36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36"/>
        </w:trPr>
        <w:tc>
          <w:tcPr>
            <w:tcW w:w="68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364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27,670</w:t>
            </w:r>
          </w:p>
        </w:tc>
      </w:tr>
      <w:tr>
        <w:trPr>
          <w:trHeight w:val="162"/>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364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36,893</w:t>
            </w:r>
          </w:p>
        </w:tc>
      </w:tr>
      <w:tr>
        <w:trPr>
          <w:trHeight w:val="16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36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46,117</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U.S. Internal Revenue Service continues to issue regulations to address the provisions of the TCJA. During 2021, the Company amended tax returns for 2018 and 2019 and recognized tax benefits of $8,276 as a result of changes in tax regulations, by making an election regarding Global Intangible Low-Taxed Income (“GILTI”). The Company has elected to account for GILTI tax in the period in which it is incurred and, therefore, does not provide any deferred taxes in the consolidated financial statements at December 31, 2022, 2021, or 2020.</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repatriated $104,091 to the United States in 2020 pursuant to the repatriation program initiated in response to the enactment of the TCJA. Tax expense for the repatriation transaction was substantially recorded in 2017 upon enactment of the TCJA.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Indefinite Reversal Assertion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made the determination during the fourth fiscal quarter of 2022 that substantially all unremitted earnings in Germany are no longer indefinitely reinvested. Additional tax expense was recorded during the fourth fiscal quarter of 2022 to accrue the $59,642 of withholding taxes necessary to distribute these approximately $360,000 of accumulated earnings to the United States.</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These changes in this indefinite reinvestment assertion provide greater access to the Company's worldwide cash balances to fund its growth plan and its Stockholder Return Policy. While the change in assertion provides access to these balances, these amounts will be repatriated only as needed. The withholding taxes associated with any distribution to the United States is payable upon distribution.</w:t>
      </w: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There are amounts of unremitted foreign earnings in countries other than Israel and Germany, which continue to be reinvested indefinitely, and the Company has made no provision for incremental foreign income taxes and withholding taxes payable to foreign jurisdictions related to these amounts. Determination of the amount of the unrecognized deferred foreign tax liability for these amounts is not practicable because of the complexities associated with its hypothetical calculation.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Note 5 – Income Taxes (continued)</w:t>
            </w:r>
          </w:p>
        </w:tc>
        <w:tc>
          <w:tcPr>
            <w:tcW w:w="25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(loss) before taxes consists of the following components:</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2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60"/>
        </w:trPr>
        <w:tc>
          <w:tcPr>
            <w:tcW w:w="2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9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Domestic</w:t>
            </w:r>
          </w:p>
        </w:tc>
        <w:tc>
          <w:tcPr>
            <w:tcW w:w="2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132,426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62,921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(25,884)</w:t>
            </w:r>
          </w:p>
        </w:tc>
      </w:tr>
      <w:tr>
        <w:trPr>
          <w:trHeight w:val="162"/>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w:t>
            </w: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461,079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371,689</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184,212</w:t>
            </w:r>
          </w:p>
        </w:tc>
      </w:tr>
      <w:tr>
        <w:trPr>
          <w:trHeight w:val="200"/>
        </w:trPr>
        <w:tc>
          <w:tcPr>
            <w:tcW w:w="2120" w:type="dxa"/>
            <w:vAlign w:val="bottom"/>
            <w:tcBorders>
              <w:bottom w:val="single" w:sz="8" w:color="CCEEFF"/>
            </w:tcBorders>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593,505</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434,610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158,328</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308"/>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Significant components of income taxes are as follows:</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2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322"/>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Federal</w:t>
            </w:r>
          </w:p>
        </w:tc>
        <w:tc>
          <w:tcPr>
            <w:tcW w:w="29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24,423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2,336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7,327</w:t>
            </w:r>
          </w:p>
        </w:tc>
      </w:tr>
      <w:tr>
        <w:trPr>
          <w:trHeight w:val="162"/>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State and local</w:t>
            </w: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218</w:t>
            </w:r>
          </w:p>
        </w:tc>
      </w:tr>
      <w:tr>
        <w:trPr>
          <w:trHeight w:val="162"/>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w:t>
            </w:r>
          </w:p>
        </w:tc>
        <w:tc>
          <w:tcPr>
            <w:tcW w:w="2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121,810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82,258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55,399</w:t>
            </w:r>
          </w:p>
        </w:tc>
      </w:tr>
      <w:tr>
        <w:trPr>
          <w:trHeight w:val="20"/>
        </w:trPr>
        <w:tc>
          <w:tcPr>
            <w:tcW w:w="212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149,546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85,060</w:t>
            </w: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62,944</w:t>
            </w:r>
          </w:p>
        </w:tc>
      </w:tr>
      <w:tr>
        <w:trPr>
          <w:trHeight w:val="16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w:t>
            </w:r>
          </w:p>
        </w:tc>
        <w:tc>
          <w:tcPr>
            <w:tcW w:w="27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Federal</w:t>
            </w: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(40,136)</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554</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(6,068)</w:t>
            </w:r>
          </w:p>
        </w:tc>
      </w:tr>
      <w:tr>
        <w:trPr>
          <w:trHeight w:val="162"/>
        </w:trPr>
        <w:tc>
          <w:tcPr>
            <w:tcW w:w="4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State and local</w:t>
            </w:r>
          </w:p>
        </w:tc>
        <w:tc>
          <w:tcPr>
            <w:tcW w:w="2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(538)</w:t>
            </w:r>
          </w:p>
        </w:tc>
      </w:tr>
      <w:tr>
        <w:trPr>
          <w:trHeight w:val="162"/>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Foreign</w:t>
            </w: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53,080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49,676</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(21,793)</w:t>
            </w:r>
          </w:p>
        </w:tc>
      </w:tr>
      <w:tr>
        <w:trPr>
          <w:trHeight w:val="160"/>
        </w:trPr>
        <w:tc>
          <w:tcPr>
            <w:tcW w:w="2120" w:type="dxa"/>
            <w:vAlign w:val="bottom"/>
            <w:tcBorders>
              <w:bottom w:val="single" w:sz="8" w:color="CCEEFF"/>
            </w:tcBorders>
            <w:shd w:val="clear" w:color="auto" w:fill="CCEEFF"/>
          </w:tcPr>
          <w:p>
            <w:pPr>
              <w:spacing w:after="0"/>
              <w:rPr>
                <w:sz w:val="13"/>
                <w:szCs w:val="13"/>
                <w:color w:val="auto"/>
              </w:rPr>
            </w:pPr>
          </w:p>
        </w:tc>
        <w:tc>
          <w:tcPr>
            <w:tcW w:w="2520" w:type="dxa"/>
            <w:vAlign w:val="bottom"/>
            <w:tcBorders>
              <w:bottom w:val="single" w:sz="8" w:color="CCEEFF"/>
            </w:tcBorders>
            <w:shd w:val="clear" w:color="auto" w:fill="CCEEFF"/>
          </w:tcPr>
          <w:p>
            <w:pPr>
              <w:spacing w:after="0"/>
              <w:rPr>
                <w:sz w:val="13"/>
                <w:szCs w:val="13"/>
                <w:color w:val="auto"/>
              </w:rPr>
            </w:pPr>
          </w:p>
        </w:tc>
        <w:tc>
          <w:tcPr>
            <w:tcW w:w="27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13,476</w:t>
            </w: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50,613</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(28,399)</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income tax expense</w:t>
            </w:r>
          </w:p>
        </w:tc>
        <w:tc>
          <w:tcPr>
            <w:tcW w:w="270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163,022</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135,673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34,545</w:t>
            </w:r>
          </w:p>
        </w:tc>
      </w:tr>
      <w:tr>
        <w:trPr>
          <w:trHeight w:val="20"/>
        </w:trPr>
        <w:tc>
          <w:tcPr>
            <w:tcW w:w="2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6"/>
        </w:trPr>
        <w:tc>
          <w:tcPr>
            <w:tcW w:w="21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960" w:type="dxa"/>
            <w:vAlign w:val="bottom"/>
            <w:gridSpan w:val="2"/>
          </w:tcPr>
          <w:p>
            <w:pPr>
              <w:jc w:val="right"/>
              <w:ind w:right="1768"/>
              <w:spacing w:after="0"/>
              <w:rPr>
                <w:sz w:val="20"/>
                <w:szCs w:val="20"/>
                <w:color w:val="auto"/>
              </w:rPr>
            </w:pPr>
            <w:r>
              <w:rPr>
                <w:rFonts w:ascii="Times New Roman" w:cs="Times New Roman" w:eastAsia="Times New Roman" w:hAnsi="Times New Roman"/>
                <w:sz w:val="12"/>
                <w:szCs w:val="12"/>
                <w:color w:val="auto"/>
              </w:rPr>
              <w:t>F-20</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
        </w:trPr>
        <w:tc>
          <w:tcPr>
            <w:tcW w:w="212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 (continued)</w:t>
      </w:r>
    </w:p>
    <w:p>
      <w:pPr>
        <w:spacing w:after="0" w:line="1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amounts for income tax purposes. Significant components of the Company’s deferred tax assets and liabilities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8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304"/>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Pension and other retiree obligations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29,327</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50,069</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21,040</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17,168</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82,498</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115,200</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credit carryforwards</w:t>
            </w: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53,145</w:t>
            </w: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76,213</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accruals and reserves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37,634</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29,332</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26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223,644</w:t>
            </w:r>
          </w:p>
        </w:tc>
        <w:tc>
          <w:tcPr>
            <w:tcW w:w="3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287,982</w:t>
            </w:r>
          </w:p>
        </w:tc>
      </w:tr>
      <w:tr>
        <w:trPr>
          <w:trHeight w:val="162"/>
        </w:trPr>
        <w:tc>
          <w:tcPr>
            <w:tcW w:w="8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(101,169)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(186,204)</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122,475</w:t>
            </w:r>
          </w:p>
        </w:tc>
        <w:tc>
          <w:tcPr>
            <w:tcW w:w="3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101,778</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Property and equipment</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(8,307)</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(1,514)</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deductible goodwill</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(6,144)</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(5,412)</w:t>
            </w: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Earnings not indefinitely reinvested</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(113,661)</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(67,172)</w:t>
            </w:r>
          </w:p>
        </w:tc>
      </w:tr>
      <w:tr>
        <w:trPr>
          <w:trHeight w:val="162"/>
        </w:trPr>
        <w:tc>
          <w:tcPr>
            <w:tcW w:w="8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 net</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(6,879)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(1,646)</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gross deferred tax liabilities</w:t>
            </w:r>
          </w:p>
        </w:tc>
        <w:tc>
          <w:tcPr>
            <w:tcW w:w="26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(134,991)</w:t>
            </w:r>
          </w:p>
        </w:tc>
        <w:tc>
          <w:tcPr>
            <w:tcW w:w="36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(75,744)</w:t>
            </w:r>
          </w:p>
        </w:tc>
      </w:tr>
      <w:tr>
        <w:trPr>
          <w:trHeight w:val="142"/>
        </w:trPr>
        <w:tc>
          <w:tcPr>
            <w:tcW w:w="87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deferred tax assets (liabilities)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(12,516)</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26,034</w:t>
            </w: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makes significant judgments regarding the realizability of its deferred tax assets (principally net operating losses and tax credits). The carrying value of deferred tax assets is based on the Company’s assessment that it is more likely than not that the Company will realize these assets after consideration of all available positive and negative evidence.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income tax expense at the U.S. federal statutory income tax rate to actual income tax provision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at statutory rate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124,636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91,268</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33,249</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taxes, net of U.S. federal tax benefit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3,038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671</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(252)</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foreign operations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13,422</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(9,896)</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Tax on earnings not indefinitely reinvested</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71,141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54,648</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4,227</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Unrecognized tax benefits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(4,699)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4,351</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allowance on deferred tax assets</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(58,696)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(14,921)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income taxable in the U.S.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14,925</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9,532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7,675</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Foreign tax credit</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(20,408)</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(9,477)</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(3,520)</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Base Erosion Anti-Abuse Tax</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20,918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9,134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750</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Change in U.S. tax regulations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(8,276)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(1,255)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(3,745)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(2,039)</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Total income tax expense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163,022</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135,673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34,545</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valuation allowance on deferred tax assets includes the utilization of a foreign tax credit carryforward from prior years that previously had a valuation allowance.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 (continued)</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Vishay operates in a global environment with significant operations in various locations outside the United States. Accordingly, the consolidated income tax rate is a composite rate reflecting our earnings and the applicable tax rates in the various locations where we operate. Part of Vishay's historical strategy has been to achieve cost savings through the transfer and expansion of manufacturing operations to countries where it can take advantage of lower labor costs and available tax and other government-sponsored incentives. With the reduction in the U.S. statutory rate to 21% beginning January 1, 2018, Vishay expects that its effective tax rate will be higher than the U.S. statutory rate, excluding unusual transactions. Historically, the effective tax rates were generally less than the U.S. statutory rate of 35% primarily because of earnings in foreign jurisdictions.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Income tax expense for the years ended December 31, 2022, 2021, and 2020 includes certain discrete tax items for changes in uncertain tax positions, valuation allowances, tax rates, and other related items. These items total $20,032, $39,326, and $1,998 in 2022, 2021, and 2020, respectively.</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For the year ended December 31, 2022, the discrete items include tax expense of $59,642 due to the Company's change in its assertion that earnings of its subsidiaries in Germany are indefinitely reinvested, tax benefits of $5,941 for changes in uncertain tax positions following the resolution of a tax audit and a $33,669 tax benefit recognized upon the release of a valuation allowance.</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For the year ended December 31, 2021, the discrete items include $53,316 of tax expense recognized to accrue the claw-back and withholding taxes to repatriate unremitted foreign earnings from Israel, a $5,714 tax benefit recognized upon the release of a valuation allowance and $8,276 of tax benefits recognized due to changes in tax regulations.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2020, the discrete items include a tax benefit of $1,563 resulting from the early extinguishment of convertible senior debentures, reflecting the reduction in deferred tax liabilities related to the special tax attributes of the debentures and $190 (tax benefit) of adjustments to remeasure deferred taxes related to the cash repatriation program described above, and $3,751 of tax expense for changes in uncertain tax positions.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2022, the Company had the following significant net operating loss carryforwards for tax purposes:</w:t>
            </w:r>
          </w:p>
        </w:tc>
        <w:tc>
          <w:tcPr>
            <w:tcW w:w="1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16"/>
        </w:trPr>
        <w:tc>
          <w:tcPr>
            <w:tcW w:w="7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Expires</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Austria</w:t>
            </w:r>
          </w:p>
        </w:tc>
        <w:tc>
          <w:tcPr>
            <w:tcW w:w="13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4,319</w:t>
            </w:r>
          </w:p>
        </w:tc>
        <w:tc>
          <w:tcPr>
            <w:tcW w:w="12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Belgium</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149,864</w:t>
            </w: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8,024</w:t>
            </w:r>
          </w:p>
        </w:tc>
        <w:tc>
          <w:tcPr>
            <w:tcW w:w="12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Japan</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4,710</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2025 - 2030</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Netherlands</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9,947</w:t>
            </w:r>
          </w:p>
        </w:tc>
        <w:tc>
          <w:tcPr>
            <w:tcW w:w="12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No expiration</w:t>
            </w: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13,741</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2026 - 2028</w:t>
            </w:r>
          </w:p>
        </w:tc>
      </w:tr>
      <w:tr>
        <w:trPr>
          <w:trHeight w:val="162"/>
        </w:trPr>
        <w:tc>
          <w:tcPr>
            <w:tcW w:w="77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California</w:t>
            </w:r>
          </w:p>
        </w:tc>
        <w:tc>
          <w:tcPr>
            <w:tcW w:w="13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19,650</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2028 - 2041</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Pennsylvania</w:t>
            </w:r>
          </w:p>
        </w:tc>
        <w:tc>
          <w:tcPr>
            <w:tcW w:w="13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585,446</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2023 - 2042</w:t>
            </w:r>
          </w:p>
        </w:tc>
      </w:tr>
      <w:tr>
        <w:trPr>
          <w:trHeight w:val="332"/>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2022, the Company had the following significant tax credit carryforwards available:</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6"/>
        </w:trPr>
        <w:tc>
          <w:tcPr>
            <w:tcW w:w="7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Expires</w:t>
            </w:r>
          </w:p>
        </w:tc>
      </w:tr>
      <w:tr>
        <w:trPr>
          <w:trHeight w:val="162"/>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Foreign Tax Credit</w:t>
            </w:r>
          </w:p>
        </w:tc>
        <w:tc>
          <w:tcPr>
            <w:tcW w:w="13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34,089</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2028 - 2030</w:t>
            </w:r>
          </w:p>
        </w:tc>
      </w:tr>
      <w:tr>
        <w:trPr>
          <w:trHeight w:val="188"/>
        </w:trPr>
        <w:tc>
          <w:tcPr>
            <w:tcW w:w="7720" w:type="dxa"/>
            <w:vAlign w:val="bottom"/>
          </w:tcPr>
          <w:p>
            <w:pPr>
              <w:spacing w:after="0"/>
              <w:rPr>
                <w:sz w:val="20"/>
                <w:szCs w:val="20"/>
                <w:color w:val="auto"/>
              </w:rPr>
            </w:pPr>
            <w:r>
              <w:rPr>
                <w:rFonts w:ascii="Times New Roman" w:cs="Times New Roman" w:eastAsia="Times New Roman" w:hAnsi="Times New Roman"/>
                <w:sz w:val="14"/>
                <w:szCs w:val="14"/>
                <w:color w:val="auto"/>
              </w:rPr>
              <w:t>California Research Credit</w:t>
            </w:r>
          </w:p>
        </w:tc>
        <w:tc>
          <w:tcPr>
            <w:tcW w:w="136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18,902</w:t>
            </w: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No expiration</w:t>
            </w:r>
          </w:p>
        </w:tc>
      </w:tr>
      <w:tr>
        <w:trPr>
          <w:trHeight w:val="550"/>
        </w:trPr>
        <w:tc>
          <w:tcPr>
            <w:tcW w:w="7720" w:type="dxa"/>
            <w:vAlign w:val="bottom"/>
          </w:tcPr>
          <w:p>
            <w:pPr>
              <w:ind w:left="5540"/>
              <w:spacing w:after="0"/>
              <w:rPr>
                <w:sz w:val="20"/>
                <w:szCs w:val="20"/>
                <w:color w:val="auto"/>
              </w:rPr>
            </w:pPr>
            <w:r>
              <w:rPr>
                <w:rFonts w:ascii="Times New Roman" w:cs="Times New Roman" w:eastAsia="Times New Roman" w:hAnsi="Times New Roman"/>
                <w:sz w:val="12"/>
                <w:szCs w:val="12"/>
                <w:color w:val="auto"/>
              </w:rPr>
              <w:t>F-22</w:t>
            </w: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
        </w:trPr>
        <w:tc>
          <w:tcPr>
            <w:tcW w:w="77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5 – Income Taxes (continued)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Net income taxes paid were $134,199, $79,106, and $69,706 for the years ended December 31, 2022, 2021, and 2020, respectively. Net income taxes paid for the years ended December 31, 2022 and 2020 include $25,201 and $16,258, respectively, for repatriation activity. Net income taxes paid also includes $14,757 in each period presented for the TCJA transition tax.</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changes in the liabilities associated with unrecognized tax benefits:</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7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73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60"/>
        </w:trPr>
        <w:tc>
          <w:tcPr>
            <w:tcW w:w="7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26,719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40,652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36,868</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Addition based on tax positions related to the current year</w:t>
            </w: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663</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 based on tax positions related to prior years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3,197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8,358</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adjustments</w:t>
            </w: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(366)</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(523)</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1,361</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 based on tax positions related to prior years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(13,154)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(3,152)</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Reduction for settlements</w:t>
            </w:r>
          </w:p>
        </w:tc>
        <w:tc>
          <w:tcPr>
            <w:tcW w:w="7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(9,420)</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(982)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(3,446)</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 for lapses of statute of limitation</w:t>
            </w:r>
          </w:p>
        </w:tc>
        <w:tc>
          <w:tcPr>
            <w:tcW w:w="7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(1,701)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Balance at end of year</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18,429</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26,719</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40,652</w:t>
            </w:r>
          </w:p>
        </w:tc>
      </w:tr>
      <w:tr>
        <w:trPr>
          <w:trHeight w:val="20"/>
        </w:trPr>
        <w:tc>
          <w:tcPr>
            <w:tcW w:w="7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unrecognized tax benefits of $18,429 and $26,719, as of December 31, 2022 and 2021, respectively, would reduce the effective tax rate if recognized.</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Company recognizes interest and penalties related to unrecognized tax benefits in income tax expense. At December 31, 2022 and 2021, the Company had accrued interest and penalties related to the unrecognized tax benefits of $2,587 and $3,747, respectively. During the years ended December 31, 2022, 2021, and 2020, the Company recognized $376, $591, and $128, respectively, in interest and penalties.</w:t>
      </w:r>
    </w:p>
    <w:p>
      <w:pPr>
        <w:spacing w:after="0" w:line="1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The Company and its subsidiaries file U.S. federal income tax returns, as well as tax returns in multiple states and foreign jurisdictions. The Company's U.S. federal income tax returns are under examination for the years ended December 31, 2017 through 2019. The IRS may, however, ask for supporting documentation for net operating losses for the years ended December 31, 2013 through 2016, which were utilized in the year ended December 31, 2017. During the years ended December 31, 2022, 2021, and 2020, certain tax examinations were concluded and certain statutes of limitations lapsed. The tax provision for those years includes adjustments related to the resolution of these matters, as reflected in the table above. The tax returns of significant non-U.S. subsidiaries currently under examination are located in the following jurisdictions: Germany (2017 through 2021), India (2004 through 2020), and Italy (2017 through 2019). The Company and its subsidiaries also file income tax returns in other taxing jurisdictions in the U.S. and around the world, many of which are still open to examination.</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timing of the resolution of income tax examinations is highly uncertain, as are the amounts and timing of tax payments that result from such examinations. These events could cause large fluctuations in the balance sheet classification of current and non-current unrecognized tax benefits. The Company believes that in the next 12 months it is reasonably possible that certain income tax examinations will conclude or the statutes of limitation on certain income tax periods open to examination will expire, or both. Given the uncertainties described above, the Company can only determine an estimate of potential decreases in unrecognized tax benefits ranging from $6,088 to $9,428.</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Long-Term Debt</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 consists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15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156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42"/>
        </w:trPr>
        <w:tc>
          <w:tcPr>
            <w:tcW w:w="15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6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facility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42,000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465,344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465,344</w:t>
            </w:r>
          </w:p>
        </w:tc>
      </w:tr>
      <w:tr>
        <w:trPr>
          <w:trHeight w:val="16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financing costs</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(6,407)</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(9,678)</w:t>
            </w:r>
          </w:p>
        </w:tc>
      </w:tr>
      <w:tr>
        <w:trPr>
          <w:trHeight w:val="20"/>
        </w:trPr>
        <w:tc>
          <w:tcPr>
            <w:tcW w:w="156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156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500,937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455,666</w:t>
            </w:r>
          </w:p>
        </w:tc>
      </w:tr>
      <w:tr>
        <w:trPr>
          <w:trHeight w:val="16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portion</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560" w:type="dxa"/>
            <w:vAlign w:val="bottom"/>
            <w:shd w:val="clear" w:color="auto" w:fill="CCEEFF"/>
          </w:tcPr>
          <w:p>
            <w:pPr>
              <w:spacing w:after="0" w:line="20" w:lineRule="exact"/>
              <w:rPr>
                <w:sz w:val="1"/>
                <w:szCs w:val="1"/>
                <w:color w:val="auto"/>
              </w:rPr>
            </w:pPr>
          </w:p>
        </w:tc>
        <w:tc>
          <w:tcPr>
            <w:tcW w:w="7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156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500,937</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455,666</w:t>
            </w:r>
          </w:p>
        </w:tc>
      </w:tr>
      <w:tr>
        <w:trPr>
          <w:trHeight w:val="20"/>
        </w:trPr>
        <w:tc>
          <w:tcPr>
            <w:tcW w:w="15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maintains a credit agreement with a consortium of banks led by JPMorgan Chase Bank, N.A., as administrative agent, and the lenders (the "Credit Facility"), which provides an aggregate commitment of $750,000 of revolving loans available until June 5, 2024. The Credit Facility also provides for the ability of Vishay to request up to $300,000 of incremental facilities, subject to the satisfaction of certain conditions, which could take the form of additional revolving commitments, incremental “term loan A” or “term loan B” facilities, or incremental equivalent debt.</w:t>
      </w: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Borrowings under the Credit Facility bear interest at LIBOR plus an interest margin. The applicable interest margin is based on the Company's leverage ratio. Based on the Company's current leverage ratio, borrowings bear interest at LIBOR plus 1.50%. The Company also pays a commitment fee, also based on its leverage ratio, on undrawn amounts. The undrawn commitment fee, based on the Company's current leverage ratio, is 0.25% per annum.</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Credit Facility allows an unlimited amount of defined “Investments,” which include certain intercompany transactions and acquisitions, provided the Company's pro forma leverage ratio is equal to or less than 2.75 to 1.00. If the Company's pro forma leverage ratio is greater than 2.75 to 1.00, such Investments are subject to certain limitations.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Credit Facility also allows an unlimited amount of defined "Restricted Payments," which include cash dividends and share repurchases, provided the Company's pro forma leverage ratio is equal to or less than 2.50 to 1.00. If the Company's pro forma leverage ratio is greater than 2.50 to 1.00, the Credit Facility allows such payments up to $100,000 per annum (subject to a cap of $300,000 for the term of the facility, with up to $25,000 of any unused amount of the $100,000 per annum base available for use in the next succeeding calendar year).</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Borrowings under the Credit Facility are secured by a lien on substantially all assets, including accounts receivable, inventory, machinery and equipment, and general intangibles (but excluding real estate, intellectual property registered or licensed solely for use in, or arising solely under the laws of, any country other than the United States, assets located solely outside of the United States and deposit and securities accounts), of the Company and certain significant subsidiaries located in the United States, and pledges of stock in certain significant domestic and foreign subsidiaries; and are guaranteed by certain significant subsidiaries.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Credit Facility limits or restricts the Company and its subsidiaries, from, among other things, incurring indebtedness, incurring liens on its respective assets, making investments and acquisitions (assuming the Company’s pro forma leverage ratio is greater than 2.75 to 1.00), making asset sales, and paying cash dividends and making other restricted payments (assuming the Company's pro forma leverage ratio is greater than 2.50 to 1.00), and requires the Company to comply with other covenants, including the maintenance of specific financial ratios.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Credit Facility also contains customary events of default, including, but not limited to, failure to pay principal or interest, failure to pay or default under other material debt, material misrepresentation or breach of warranty, violation of certain covenants, a change of control, the commencement of bankruptcy proceedings, the insolvency of the Company or certain of its significant subsidiaries, and the rendering of a judgment in excess of $50,000 against the Company or its subsidiaries. Upon the occurrence of an event of default under the Credit Facility, the Company's obligations under the credit facility may be accelerated and the lending commitments under the credit facility may be terminated.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At December 31, 2022 and 2021, there was $707,061 and $748,931, respectively, available under the Credit Facility. Letters of credit totaling $939 and $1,069 were outstanding at December 31, 2022 and 2021, respectively.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7740" w:type="dxa"/>
            <w:vAlign w:val="bottom"/>
          </w:tcPr>
          <w:p>
            <w:pPr>
              <w:jc w:val="center"/>
              <w:ind w:right="968"/>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8"/>
        </w:trPr>
        <w:tc>
          <w:tcPr>
            <w:tcW w:w="2300" w:type="dxa"/>
            <w:vAlign w:val="bottom"/>
          </w:tcPr>
          <w:p>
            <w:pPr>
              <w:spacing w:after="0"/>
              <w:rPr>
                <w:sz w:val="16"/>
                <w:szCs w:val="16"/>
                <w:color w:val="auto"/>
              </w:rPr>
            </w:pPr>
          </w:p>
        </w:tc>
        <w:tc>
          <w:tcPr>
            <w:tcW w:w="7740" w:type="dxa"/>
            <w:vAlign w:val="bottom"/>
          </w:tcPr>
          <w:p>
            <w:pPr>
              <w:jc w:val="center"/>
              <w:ind w:right="968"/>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4"/>
        </w:trPr>
        <w:tc>
          <w:tcPr>
            <w:tcW w:w="10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Long-Term Debt (continued)</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21"/>
        </w:trPr>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Convertible Debt Instruments</w:t>
            </w:r>
          </w:p>
        </w:tc>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6"/>
        </w:trPr>
        <w:tc>
          <w:tcPr>
            <w:tcW w:w="10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some key facts and terms regarding the outstanding convertible senior notes due 2025 as of December 31, 2022: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8"/>
        </w:trPr>
        <w:tc>
          <w:tcPr>
            <w:tcW w:w="230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Due 2025</w:t>
            </w:r>
          </w:p>
        </w:tc>
      </w:tr>
      <w:tr>
        <w:trPr>
          <w:trHeight w:val="160"/>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date</w:t>
            </w: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June 12, 2018</w:t>
            </w:r>
          </w:p>
        </w:tc>
        <w:tc>
          <w:tcPr>
            <w:tcW w:w="140" w:type="dxa"/>
            <w:vAlign w:val="bottom"/>
            <w:shd w:val="clear" w:color="auto" w:fill="CCEEFF"/>
          </w:tcPr>
          <w:p>
            <w:pPr>
              <w:spacing w:after="0"/>
              <w:rPr>
                <w:sz w:val="13"/>
                <w:szCs w:val="13"/>
                <w:color w:val="auto"/>
              </w:rPr>
            </w:pPr>
          </w:p>
        </w:tc>
      </w:tr>
      <w:tr>
        <w:trPr>
          <w:trHeight w:val="162"/>
        </w:trPr>
        <w:tc>
          <w:tcPr>
            <w:tcW w:w="10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Maturity date</w:t>
            </w:r>
          </w:p>
        </w:tc>
        <w:tc>
          <w:tcPr>
            <w:tcW w:w="1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June 15, 2025</w:t>
            </w:r>
          </w:p>
        </w:tc>
      </w:tr>
      <w:tr>
        <w:trPr>
          <w:trHeight w:val="162"/>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amount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465,344</w:t>
            </w:r>
          </w:p>
        </w:tc>
      </w:tr>
      <w:tr>
        <w:trPr>
          <w:trHeight w:val="162"/>
        </w:trPr>
        <w:tc>
          <w:tcPr>
            <w:tcW w:w="10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coupon rate (per annum)</w:t>
            </w:r>
          </w:p>
        </w:tc>
        <w:tc>
          <w:tcPr>
            <w:tcW w:w="1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62"/>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Nonconvertible debt borrowing rate at issuance (per annum)</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62"/>
        </w:trPr>
        <w:tc>
          <w:tcPr>
            <w:tcW w:w="10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Conversion rate effective November 29, 2022 (per $1 principal amount)</w:t>
            </w:r>
          </w:p>
        </w:tc>
        <w:tc>
          <w:tcPr>
            <w:tcW w:w="1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32.0478</w:t>
            </w:r>
          </w:p>
        </w:tc>
      </w:tr>
      <w:tr>
        <w:trPr>
          <w:trHeight w:val="162"/>
        </w:trPr>
        <w:tc>
          <w:tcPr>
            <w:tcW w:w="10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Effective conversion price effective November 29, 2022 (per share)</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31.20</w:t>
            </w:r>
          </w:p>
        </w:tc>
      </w:tr>
      <w:tr>
        <w:trPr>
          <w:trHeight w:val="188"/>
        </w:trPr>
        <w:tc>
          <w:tcPr>
            <w:tcW w:w="10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130% of the conversion price (per share)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40.56</w:t>
            </w:r>
          </w:p>
        </w:tc>
      </w:tr>
    </w:tbl>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Prior to December 15, 2024, the holders of the convertible senior notes due 2025 may convert their notes only under the following circumstances: (1) the sale price of Vishay common stock reaches 130% of the conversion price for a specified period; (2) the trading price of the notes falls below 98% of the product of the sale price of Vishay's common stock and the conversion rate for a specified period; or (3) upon the occurrence of specified corporate transactions. The convertible senior notes due 2025 are not currently convertible.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Pursuant to the Supplemental Indenture governing the convertible senior notes due 2025, at the direction of its Board of Directors, Vishay has fixed the “Specified Dollar Amount” (as defined in the Indenture) that shall apply to all future conversions of notes at $1 cash per $1 principal amount. The fixing of the Specified Dollar Amount requires Vishay to satisfy its conversion obligations by paying cash with respect to such Specified Dollar Amount.</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quarterly cash dividend program of the Company results in adjustments to the conversion rate and effective conversion price for the convertible senior notes due 2025 effective as of the ex-dividend date of each cash dividend. The conversion rate and effective conversion price for the convertible senior notes due 2025 is adjusted for quarterly cash dividends to the extent such dividends exceed $0.085 per share of common stock. Vishay must provide additional shares upon conversion if there is a “fundamental change” in the business as defined in the indenture governing the convertible senior notes due 2025.</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Effective January 1, 2021, Vishay adopted ASU No. 2020-06. Prior to the adoption of ASU No. 2020-06, the Company separately accounted for the liability and equity components of convertible debt instruments that may be settled in cash in a manner that reflects the Company’s nonconvertible debt borrowing rate. The liability component at issuance was recognized at fair value, based on the fair value of a similar instrument that did not have a conversion feature. A discount was recorded if debt instruments are issued at a coupon rate which is below the rate of a similar instrument that did not have a conversion feature at issuance. The equity component was based on the excess of the principal amount of the debt instruments over the fair value of the liability component, after adjusting for an allocation of debt issuance costs and the deferred tax impact, and was recorded as capital in excess of par. Debt discounts were amortized as additional non-cash interest expense over the expected life of the debt.</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Upon adoption of ASU No. 2020-06, Vishay derecognized the bifurcated equity component, debt discount, and deferred taxes and remeasured the deferred financing costs associated with its convertible debt instruments. The carrying value of Vishay's convertible debt instruments is now equal to the outstanding principal amount and interest expense is now equal to the cash interest paid. The remeasured deferred financing costs continue to be recognized as non-cash interest expense. The carrying value of the convertible senior notes due 2025 was $465,344 as of December 31, 2022 and 2021.</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6 – Long-Term Debt (continued)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related to the convertible debt instruments is reflected on the accompanying consolidated statements of operations for the years ended December 31: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Non-cash</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interest</w:t>
            </w:r>
          </w:p>
        </w:tc>
      </w:t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debt</w:t>
            </w:r>
          </w:p>
        </w:tc>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non-cash</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related to the</w:t>
            </w:r>
          </w:p>
        </w:tc>
      </w:tr>
      <w:tr>
        <w:trPr>
          <w:trHeight w:val="182"/>
        </w:trPr>
        <w:tc>
          <w:tcPr>
            <w:tcW w:w="5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8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debentures</w:t>
            </w:r>
          </w:p>
        </w:tc>
      </w:tr>
      <w:tr>
        <w:trPr>
          <w:trHeight w:val="284"/>
        </w:trPr>
        <w:tc>
          <w:tcPr>
            <w:tcW w:w="55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6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10,470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1,733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12,203</w:t>
            </w:r>
          </w:p>
        </w:tc>
      </w:tr>
      <w:tr>
        <w:trPr>
          <w:trHeight w:val="144"/>
        </w:trPr>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62"/>
        </w:trPr>
        <w:tc>
          <w:tcPr>
            <w:tcW w:w="6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1,733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12,203</w:t>
            </w:r>
          </w:p>
        </w:tc>
      </w:tr>
      <w:tr>
        <w:trPr>
          <w:trHeight w:val="144"/>
        </w:trPr>
        <w:tc>
          <w:tcPr>
            <w:tcW w:w="5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6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13,118</w:t>
            </w: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26,838</w:t>
            </w:r>
          </w:p>
        </w:tc>
      </w:tr>
      <w:tr>
        <w:trPr>
          <w:trHeight w:val="162"/>
        </w:trPr>
        <w:tc>
          <w:tcPr>
            <w:tcW w:w="6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Convertible senior debentures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131</w:t>
            </w:r>
          </w:p>
        </w:tc>
      </w:tr>
      <w:tr>
        <w:trPr>
          <w:trHeight w:val="200"/>
        </w:trPr>
        <w:tc>
          <w:tcPr>
            <w:tcW w:w="6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12,185</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13,161</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26,969</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used cash to repurchase $134,656 principal amount of convertible senior notes due 2025 in 2020. The net carrying value of the notes repurchased was $115,978. In accordance with the then-current authoritative accounting guidance for convertible debt, the aggregate repurchase payments of $128,328 were allocated between the liability ($118,587) and equity ($9,741) components of the convertible notes, using the Company's nonconvertible debt borrowing rate at the time of the repurchases. As a result, the Company recognized a loss on extinguishment of convertible notes of $4,600, including the write-off of unamortized debt issuance costs.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used cash to repurchase $16,890 principal amount of convertible senior debentures due 2041 in 2020. The net carrying value of the debentures repurchased was $6,715. In accordance with the then-current authoritative accounting guidance for convertible debt, the aggregate repurchase payment of $23,355 was allocated between the liability ($10,075) and equity ($13,280) components of the convertible debentures, using the Company's nonconvertible debt borrowing rate at the time of the repurchase. As a result, the Company recognized a loss on extinguishment of convertible debentures of $3,473, including the write-off of unamortized debt issuance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redeemed the remaining $300 principal amount of convertible senior debentures due 2040 on February 4, 2021. The redemption price was paid in cash and was equal to 100% of the principal amount plus accrued but unpaid interest to, but excluding February 4, 2021. The convertible senior debentures due 2040, due 2041, and due 2042 have been fully repurchased.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Borrowings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Facility, of which $42,000 was drawn as of December 31, 2022, expires in 2024. The convertible senior notes mature in 2025.</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At December 31, 2022 and 2021, the Company had committed and uncommitted short-term credit lines with various U.S. and foreign banks aggregating approximately $1,000 with substantially no amounts borrowed.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paid was $13,739, $14,177, and $15,450 for the years ended December 31, 2022, 2021, and 2020,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18 for further discussion on the fair value of the Company’s long-term debt.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7 – Stockholders’ Equity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Class B common stock carries 10 votes per share while the common stock carries 1 vote per share. Class B shares are transferable only to certain permitted transferees while the common stock is freely transferable. Class B shares are convertible on a one-for-one basis at any time into shares of common stock. Transfers of Class B shares other than to permitted transferees result in the automatic conversion of the Class B shares into common stock.</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Board of Directors may only declare dividends or other distributions with respect to the common stock or the Class B common stock if it grants such dividends or distributions in the same amount per share with respect to the other class of stock. Stock dividends or distributions on any class of stock are payable only in shares of stock of that class. Shares of either common stock or Class B common stock cannot be split, divided, or combined unless the other is also split, divided, or combined equally. Cash dividends were paid quarterly in 2022 and 2021.</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Credit Facility also allows an unlimited amount of defined "Restricted Payments," which include cash dividends and share repurchases, provided the Company's pro forma leverage ratio is equal to or less than 2.50 to 1.00. If the Company's pro forma leverage ratio is greater than 2.50 to 1.00, the Credit Facility allows such payments up to $100,000 per annum (subject to a cap of $300,000 for the term of the facility, with up to $25,000 of any unused amount of the $100,000 per annum base available for use in the next succeeding calendar year).</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At December 31, 2022, the Company had reserved shares of common stock for future issuance as follows: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36"/>
        </w:trPr>
        <w:tc>
          <w:tcPr>
            <w:tcW w:w="10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 outstanding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894,000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Phantom stock units outstanding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226,000</w:t>
            </w:r>
          </w:p>
        </w:tc>
        <w:tc>
          <w:tcPr>
            <w:tcW w:w="120" w:type="dxa"/>
            <w:vAlign w:val="bottom"/>
          </w:tcPr>
          <w:p>
            <w:pPr>
              <w:spacing w:after="0"/>
              <w:rPr>
                <w:sz w:val="14"/>
                <w:szCs w:val="14"/>
                <w:color w:val="auto"/>
              </w:rPr>
            </w:pPr>
          </w:p>
        </w:tc>
      </w:tr>
      <w:tr>
        <w:trPr>
          <w:trHeight w:val="16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2007 Stock Incentive Program - available to grant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1,637,000</w:t>
            </w:r>
          </w:p>
        </w:tc>
        <w:tc>
          <w:tcPr>
            <w:tcW w:w="120" w:type="dxa"/>
            <w:vAlign w:val="bottom"/>
            <w:shd w:val="clear" w:color="auto" w:fill="CCEEFF"/>
          </w:tcPr>
          <w:p>
            <w:pPr>
              <w:spacing w:after="0"/>
              <w:rPr>
                <w:sz w:val="14"/>
                <w:szCs w:val="14"/>
                <w:color w:val="auto"/>
              </w:rPr>
            </w:pPr>
          </w:p>
        </w:tc>
      </w:tr>
      <w:tr>
        <w:trPr>
          <w:trHeight w:val="162"/>
        </w:trPr>
        <w:tc>
          <w:tcPr>
            <w:tcW w:w="10060" w:type="dxa"/>
            <w:vAlign w:val="bottom"/>
          </w:tcPr>
          <w:p>
            <w:pPr>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14,913,251</w:t>
            </w:r>
          </w:p>
        </w:tc>
        <w:tc>
          <w:tcPr>
            <w:tcW w:w="120" w:type="dxa"/>
            <w:vAlign w:val="bottom"/>
          </w:tcPr>
          <w:p>
            <w:pPr>
              <w:spacing w:after="0"/>
              <w:rPr>
                <w:sz w:val="14"/>
                <w:szCs w:val="14"/>
                <w:color w:val="auto"/>
              </w:rPr>
            </w:pPr>
          </w:p>
        </w:tc>
      </w:tr>
      <w:tr>
        <w:trPr>
          <w:trHeight w:val="162"/>
        </w:trPr>
        <w:tc>
          <w:tcPr>
            <w:tcW w:w="10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Class B common stock</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12,097,148</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60"/>
        </w:trPr>
        <w:tc>
          <w:tcPr>
            <w:tcW w:w="1006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29,767,399</w:t>
            </w:r>
          </w:p>
        </w:tc>
        <w:tc>
          <w:tcPr>
            <w:tcW w:w="120" w:type="dxa"/>
            <w:vAlign w:val="bottom"/>
          </w:tcPr>
          <w:p>
            <w:pPr>
              <w:spacing w:after="0"/>
              <w:rPr>
                <w:sz w:val="13"/>
                <w:szCs w:val="13"/>
                <w:color w:val="auto"/>
              </w:rPr>
            </w:pPr>
          </w:p>
        </w:tc>
      </w:tr>
      <w:tr>
        <w:trPr>
          <w:trHeight w:val="20"/>
        </w:trPr>
        <w:tc>
          <w:tcPr>
            <w:tcW w:w="10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February 7, 2022, the Company's Board of Directors adopted a Stockholder Return Policy that will remain in effect until such time as the Board votes to amend or rescind the policy. The Stockholder Return Policy calls for the Company to return a prescribed amount of cash flows on an annual basis. The Company intends to return such amounts directly, in the form of dividends, or indirectly, in the form of stock repurchases.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activity pursuant to this policy:</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10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2"/>
        </w:trPr>
        <w:tc>
          <w:tcPr>
            <w:tcW w:w="10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10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160"/>
        </w:trPr>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paid to stockholders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57,187</w:t>
            </w:r>
          </w:p>
        </w:tc>
        <w:tc>
          <w:tcPr>
            <w:tcW w:w="120" w:type="dxa"/>
            <w:vAlign w:val="bottom"/>
            <w:shd w:val="clear" w:color="auto" w:fill="CCEEFF"/>
          </w:tcPr>
          <w:p>
            <w:pPr>
              <w:spacing w:after="0"/>
              <w:rPr>
                <w:sz w:val="13"/>
                <w:szCs w:val="13"/>
                <w:color w:val="auto"/>
              </w:rPr>
            </w:pPr>
          </w:p>
        </w:tc>
      </w:tr>
      <w:tr>
        <w:trPr>
          <w:trHeight w:val="162"/>
        </w:trPr>
        <w:tc>
          <w:tcPr>
            <w:tcW w:w="10040" w:type="dxa"/>
            <w:vAlign w:val="bottom"/>
          </w:tcPr>
          <w:p>
            <w:pPr>
              <w:spacing w:after="0"/>
              <w:rPr>
                <w:sz w:val="20"/>
                <w:szCs w:val="20"/>
                <w:color w:val="auto"/>
              </w:rPr>
            </w:pPr>
            <w:r>
              <w:rPr>
                <w:rFonts w:ascii="Times New Roman" w:cs="Times New Roman" w:eastAsia="Times New Roman" w:hAnsi="Times New Roman"/>
                <w:sz w:val="14"/>
                <w:szCs w:val="14"/>
                <w:color w:val="auto"/>
              </w:rPr>
              <w:t>Stock repurchases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82,972</w:t>
            </w:r>
          </w:p>
        </w:tc>
        <w:tc>
          <w:tcPr>
            <w:tcW w:w="120" w:type="dxa"/>
            <w:vAlign w:val="bottom"/>
          </w:tcPr>
          <w:p>
            <w:pPr>
              <w:spacing w:after="0"/>
              <w:rPr>
                <w:sz w:val="14"/>
                <w:szCs w:val="14"/>
                <w:color w:val="auto"/>
              </w:rPr>
            </w:pPr>
          </w:p>
        </w:tc>
      </w:tr>
      <w:tr>
        <w:trPr>
          <w:trHeight w:val="200"/>
        </w:trPr>
        <w:tc>
          <w:tcPr>
            <w:tcW w:w="10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140,159</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repurchased shares are being held as treasury stock.</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Note 8 – Details of Expenses</w:t>
            </w:r>
          </w:p>
        </w:tc>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caption “Other” on the accompanying consolidated statements of operations consists of the following:</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17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17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60"/>
        </w:trPr>
        <w:tc>
          <w:tcPr>
            <w:tcW w:w="17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5,690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(2,692)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(4,095)</w:t>
            </w: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7,560</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1,269</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3,709</w:t>
            </w: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components of periodic pension expense</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(11,090)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(13,206)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(13,613)</w:t>
            </w: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income (expense)</w:t>
            </w: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(6,812)</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2,271</w:t>
            </w: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1720" w:type="dxa"/>
            <w:vAlign w:val="bottom"/>
            <w:shd w:val="clear" w:color="auto" w:fill="CCEEFF"/>
          </w:tcPr>
          <w:p>
            <w:pPr>
              <w:spacing w:after="0" w:line="20" w:lineRule="exact"/>
              <w:rPr>
                <w:sz w:val="1"/>
                <w:szCs w:val="1"/>
                <w:color w:val="auto"/>
              </w:rPr>
            </w:pPr>
          </w:p>
        </w:tc>
        <w:tc>
          <w:tcPr>
            <w:tcW w:w="56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17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(4,852)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(15,654)</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(11,754)</w:t>
            </w:r>
          </w:p>
        </w:tc>
      </w:tr>
      <w:tr>
        <w:trPr>
          <w:trHeight w:val="20"/>
        </w:trPr>
        <w:tc>
          <w:tcPr>
            <w:tcW w:w="17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used cash to repurchase $151,546 principal amount of convertible senior notes due 2025 in 2020 and recognized a loss on early extinguishment of the repurchased convertible debt of $8,073.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Impact of the COVID-19 Pandemic</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The Company's operations have been impacted by the "COVID-19" pandemic, particularly in 2020 when some manufacturing facilities were temporarily closed and some were operating at levels less than full capacity and again in 2022 when operations in the People's Republic of China were impacted by government-mandated shut-downs. The Company incurred incremental costs separable from normal operations that are directly related to the pandemic containment efforts, primarily wages paid to manufacturing employees during government-mandated shut-downs, additional wages and hardship allowances for working during lockdown periods, additional costs of cleaning and disinfecting facilities, costs of additional safety equipment for employees, and temporary housing for employees due to travel restrictions, which were partially offset by government subsidies. Since 2021, certain costs directly attributable to the pandemic, such as additional costs of cleaning and disinfecting facility and costs of additional safety equipment for employees, are no longer incremental and are considered normal operating costs. The net impact of the costs and subsidies are reported as cost of products sold of $6,661 and $4,563 and selling, general, and administrative expenses (benefits) of $546 and $(1,451) based on employee function on the consolidated statements of operations for the years ended December 31, 2022 and 2020,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insurance coverages generally exclude losses incurred due to pandemics. No amounts have been received due to the pandemic pursuant to the Company's insurance coverages.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amounts that may be received in the future will not be recognized until all contingencies are settled.</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Note 9 – Other Accrued Expenses</w:t>
            </w:r>
          </w:p>
        </w:tc>
        <w:tc>
          <w:tcPr>
            <w:tcW w:w="2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accrued expenses consist of the following:</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2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60"/>
        </w:trPr>
        <w:tc>
          <w:tcPr>
            <w:tcW w:w="20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2"/>
          </w:tcPr>
          <w:p>
            <w:pPr>
              <w:spacing w:after="0"/>
              <w:rPr>
                <w:sz w:val="13"/>
                <w:szCs w:val="13"/>
                <w:color w:val="auto"/>
              </w:rPr>
            </w:pPr>
          </w:p>
        </w:tc>
      </w:tr>
      <w:tr>
        <w:trPr>
          <w:trHeight w:val="16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returns and allowances</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46,979</w:t>
            </w: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39,759</w:t>
            </w: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Goods received, not yet invoiced</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60,201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53,736</w:t>
            </w:r>
          </w:p>
        </w:tc>
      </w:tr>
      <w:tr>
        <w:trPr>
          <w:trHeight w:val="16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VAT taxes payable</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55,010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46,240</w:t>
            </w: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99,416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78,354</w:t>
            </w:r>
          </w:p>
        </w:tc>
      </w:tr>
      <w:tr>
        <w:trPr>
          <w:trHeight w:val="200"/>
        </w:trPr>
        <w:tc>
          <w:tcPr>
            <w:tcW w:w="206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261,606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218,089</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308"/>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returns and allowances accrual activity is shown below:</w:t>
            </w: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9"/>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20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6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39,759</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13"/>
                <w:szCs w:val="13"/>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40,508</w:t>
            </w:r>
          </w:p>
        </w:tc>
        <w:tc>
          <w:tcPr>
            <w:tcW w:w="120" w:type="dxa"/>
            <w:vAlign w:val="bottom"/>
            <w:shd w:val="clear" w:color="auto" w:fill="CCEEFF"/>
          </w:tcPr>
          <w:p>
            <w:pPr>
              <w:spacing w:after="0"/>
              <w:rPr>
                <w:sz w:val="13"/>
                <w:szCs w:val="13"/>
                <w:color w:val="auto"/>
              </w:rPr>
            </w:pP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returns and allowances</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102,640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88,844</w:t>
            </w:r>
          </w:p>
        </w:tc>
      </w:tr>
      <w:tr>
        <w:trPr>
          <w:trHeight w:val="162"/>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Credits issued</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(94,682)</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(88,708)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(90,824)</w:t>
            </w:r>
          </w:p>
        </w:tc>
      </w:tr>
      <w:tr>
        <w:trPr>
          <w:trHeight w:val="162"/>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(738)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1,101</w:t>
            </w:r>
          </w:p>
        </w:tc>
      </w:tr>
      <w:tr>
        <w:trPr>
          <w:trHeight w:val="200"/>
        </w:trPr>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28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46,979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39,629</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46"/>
        </w:trPr>
        <w:tc>
          <w:tcPr>
            <w:tcW w:w="20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3060" w:type="dxa"/>
            <w:vAlign w:val="bottom"/>
            <w:gridSpan w:val="2"/>
          </w:tcPr>
          <w:p>
            <w:pPr>
              <w:jc w:val="right"/>
              <w:ind w:right="1768"/>
              <w:spacing w:after="0"/>
              <w:rPr>
                <w:sz w:val="20"/>
                <w:szCs w:val="20"/>
                <w:color w:val="auto"/>
              </w:rPr>
            </w:pPr>
            <w:r>
              <w:rPr>
                <w:rFonts w:ascii="Times New Roman" w:cs="Times New Roman" w:eastAsia="Times New Roman" w:hAnsi="Times New Roman"/>
                <w:sz w:val="12"/>
                <w:szCs w:val="12"/>
                <w:color w:val="auto"/>
              </w:rPr>
              <w:t>F-29</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
        </w:trPr>
        <w:tc>
          <w:tcPr>
            <w:tcW w:w="20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10 – Accumulated Other Comprehensive Income (Loss)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cumulative balance of each component of other comprehensive income (loss) and the income tax effects allocated to each component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 post-</w:t>
            </w: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6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actuarial items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2800" w:type="dxa"/>
            <w:vAlign w:val="bottom"/>
            <w:gridSpan w:val="2"/>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January 1, 2020</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(68,020)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41,374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(26,646)</w:t>
            </w:r>
          </w:p>
        </w:tc>
      </w:tr>
      <w:tr>
        <w:trPr>
          <w:trHeight w:val="162"/>
        </w:trPr>
        <w:tc>
          <w:tcPr>
            <w:tcW w:w="4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(22,055)</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49,260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27,205</w:t>
            </w:r>
          </w:p>
        </w:tc>
      </w:tr>
      <w:tr>
        <w:trPr>
          <w:trHeight w:val="162"/>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5,288</w:t>
            </w:r>
          </w:p>
        </w:tc>
      </w:tr>
      <w:tr>
        <w:trPr>
          <w:trHeight w:val="20"/>
        </w:trPr>
        <w:tc>
          <w:tcPr>
            <w:tcW w:w="46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(16,767)</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49,260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32,493</w:t>
            </w:r>
          </w:p>
        </w:tc>
      </w:tr>
      <w:tr>
        <w:trPr>
          <w:trHeight w:val="162"/>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w:t>
            </w: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10,168</w:t>
            </w:r>
          </w:p>
        </w:tc>
      </w:tr>
      <w:tr>
        <w:trPr>
          <w:trHeight w:val="162"/>
        </w:trPr>
        <w:tc>
          <w:tcPr>
            <w:tcW w:w="4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(2,456)</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(2,456)</w:t>
            </w:r>
          </w:p>
        </w:tc>
      </w:tr>
      <w:tr>
        <w:trPr>
          <w:trHeight w:val="160"/>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 net of tax</w:t>
            </w:r>
          </w:p>
        </w:tc>
        <w:tc>
          <w:tcPr>
            <w:tcW w:w="27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120" w:type="dxa"/>
            <w:vAlign w:val="bottom"/>
            <w:shd w:val="clear" w:color="auto" w:fill="CCEEFF"/>
          </w:tcPr>
          <w:p>
            <w:pPr>
              <w:spacing w:after="0"/>
              <w:rPr>
                <w:sz w:val="13"/>
                <w:szCs w:val="13"/>
                <w:color w:val="auto"/>
              </w:rPr>
            </w:pPr>
          </w:p>
        </w:tc>
      </w:tr>
      <w:tr>
        <w:trPr>
          <w:trHeight w:val="162"/>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comprehensive income (loss)</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(9,055)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49,260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40,205</w:t>
            </w:r>
          </w:p>
        </w:tc>
      </w:tr>
      <w:tr>
        <w:trPr>
          <w:trHeight w:val="160"/>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2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(77,075)</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90,634</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13,559</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4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(51,978)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(39,386)</w:t>
            </w:r>
          </w:p>
        </w:tc>
      </w:tr>
      <w:tr>
        <w:trPr>
          <w:trHeight w:val="162"/>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(2,509)</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(2,509)</w:t>
            </w:r>
          </w:p>
        </w:tc>
      </w:tr>
      <w:tr>
        <w:trPr>
          <w:trHeight w:val="20"/>
        </w:trPr>
        <w:tc>
          <w:tcPr>
            <w:tcW w:w="46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(51,978)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(41,895)</w:t>
            </w:r>
          </w:p>
        </w:tc>
      </w:tr>
      <w:tr>
        <w:trPr>
          <w:trHeight w:val="162"/>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w:t>
            </w: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10,677</w:t>
            </w:r>
          </w:p>
        </w:tc>
      </w:tr>
      <w:tr>
        <w:trPr>
          <w:trHeight w:val="162"/>
        </w:trPr>
        <w:tc>
          <w:tcPr>
            <w:tcW w:w="4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(2,593)</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(2,593)</w:t>
            </w:r>
          </w:p>
        </w:tc>
      </w:tr>
      <w:tr>
        <w:trPr>
          <w:trHeight w:val="160"/>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 net of tax</w:t>
            </w:r>
          </w:p>
        </w:tc>
        <w:tc>
          <w:tcPr>
            <w:tcW w:w="27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8,084</w:t>
            </w: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8,084</w:t>
            </w:r>
          </w:p>
        </w:tc>
        <w:tc>
          <w:tcPr>
            <w:tcW w:w="120" w:type="dxa"/>
            <w:vAlign w:val="bottom"/>
            <w:shd w:val="clear" w:color="auto" w:fill="CCEEFF"/>
          </w:tcPr>
          <w:p>
            <w:pPr>
              <w:spacing w:after="0"/>
              <w:rPr>
                <w:sz w:val="13"/>
                <w:szCs w:val="13"/>
                <w:color w:val="auto"/>
              </w:rPr>
            </w:pPr>
          </w:p>
        </w:tc>
      </w:tr>
      <w:tr>
        <w:trPr>
          <w:trHeight w:val="162"/>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comprehensive income (loss)</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18,167</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(51,978)</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(33,811)</w:t>
            </w:r>
          </w:p>
        </w:tc>
      </w:tr>
      <w:tr>
        <w:trPr>
          <w:trHeight w:val="160"/>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2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(58,908)</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38,656</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(20,252)</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0"/>
        </w:trPr>
        <w:tc>
          <w:tcPr>
            <w:tcW w:w="4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w:t>
            </w: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60,949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(41,885)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19,064</w:t>
            </w:r>
          </w:p>
        </w:tc>
      </w:tr>
      <w:tr>
        <w:trPr>
          <w:trHeight w:val="162"/>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(15,783)</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(15,783)</w:t>
            </w:r>
          </w:p>
        </w:tc>
      </w:tr>
      <w:tr>
        <w:trPr>
          <w:trHeight w:val="20"/>
        </w:trPr>
        <w:tc>
          <w:tcPr>
            <w:tcW w:w="46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 before reclassifications, net of tax</w:t>
            </w: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45,166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(41,885)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3,281</w:t>
            </w:r>
          </w:p>
        </w:tc>
      </w:tr>
      <w:tr>
        <w:trPr>
          <w:trHeight w:val="162"/>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w:t>
            </w:r>
          </w:p>
        </w:tc>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8,260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8,260</w:t>
            </w:r>
          </w:p>
        </w:tc>
      </w:tr>
      <w:tr>
        <w:trPr>
          <w:trHeight w:val="162"/>
        </w:trPr>
        <w:tc>
          <w:tcPr>
            <w:tcW w:w="4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effect</w:t>
            </w: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(2,116)</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(2,116)</w:t>
            </w:r>
          </w:p>
        </w:tc>
      </w:tr>
      <w:tr>
        <w:trPr>
          <w:trHeight w:val="160"/>
        </w:trPr>
        <w:tc>
          <w:tcPr>
            <w:tcW w:w="4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Amounts reclassified out of AOCI, net of tax</w:t>
            </w:r>
          </w:p>
        </w:tc>
        <w:tc>
          <w:tcPr>
            <w:tcW w:w="27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6,144</w:t>
            </w: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6,144</w:t>
            </w:r>
          </w:p>
        </w:tc>
        <w:tc>
          <w:tcPr>
            <w:tcW w:w="120" w:type="dxa"/>
            <w:vAlign w:val="bottom"/>
            <w:shd w:val="clear" w:color="auto" w:fill="CCEEFF"/>
          </w:tcPr>
          <w:p>
            <w:pPr>
              <w:spacing w:after="0"/>
              <w:rPr>
                <w:sz w:val="13"/>
                <w:szCs w:val="13"/>
                <w:color w:val="auto"/>
              </w:rPr>
            </w:pPr>
          </w:p>
        </w:tc>
      </w:tr>
      <w:tr>
        <w:trPr>
          <w:trHeight w:val="162"/>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comprehensive income (loss)</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51,310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(41,885)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9,425</w:t>
            </w:r>
          </w:p>
        </w:tc>
      </w:tr>
      <w:tr>
        <w:trPr>
          <w:trHeight w:val="200"/>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2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(7,598)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(3,229)</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(10,827)</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46"/>
        </w:trPr>
        <w:tc>
          <w:tcPr>
            <w:tcW w:w="4640" w:type="dxa"/>
            <w:vAlign w:val="bottom"/>
          </w:tcPr>
          <w:p>
            <w:pPr>
              <w:spacing w:after="0"/>
              <w:rPr>
                <w:sz w:val="21"/>
                <w:szCs w:val="21"/>
                <w:color w:val="auto"/>
              </w:rPr>
            </w:pPr>
          </w:p>
        </w:tc>
        <w:tc>
          <w:tcPr>
            <w:tcW w:w="2800" w:type="dxa"/>
            <w:vAlign w:val="bottom"/>
            <w:gridSpan w:val="2"/>
          </w:tcPr>
          <w:p>
            <w:pPr>
              <w:jc w:val="right"/>
              <w:ind w:right="1608"/>
              <w:spacing w:after="0"/>
              <w:rPr>
                <w:sz w:val="20"/>
                <w:szCs w:val="20"/>
                <w:color w:val="auto"/>
              </w:rPr>
            </w:pPr>
            <w:r>
              <w:rPr>
                <w:rFonts w:ascii="Times New Roman" w:cs="Times New Roman" w:eastAsia="Times New Roman" w:hAnsi="Times New Roman"/>
                <w:sz w:val="12"/>
                <w:szCs w:val="12"/>
                <w:color w:val="auto"/>
              </w:rPr>
              <w:t>F-30</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
        </w:trPr>
        <w:tc>
          <w:tcPr>
            <w:tcW w:w="464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maintains various retirement benefit plans. GAAP requires employers to recognize the funded status of a benefit plan, measured as the difference between plan assets at fair value and the benefit obligation, in its balance sheet. The recognition of the funded status on the balance sheet requires employers to recognize actuarial items (such as actuarial gains and losses, prior service costs, and transition obligations) as a component of other comprehensive income, net of tax.</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amounts recorded on the accompanying consolidated balance sheets associated with these various retirement benefit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8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322"/>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Included in "Other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4,715</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3,145</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included in other assets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4,715</w:t>
            </w:r>
          </w:p>
        </w:tc>
        <w:tc>
          <w:tcPr>
            <w:tcW w:w="220" w:type="dxa"/>
            <w:vAlign w:val="bottom"/>
          </w:tcPr>
          <w:p>
            <w:pPr>
              <w:spacing w:after="0"/>
              <w:rPr>
                <w:sz w:val="13"/>
                <w:szCs w:val="13"/>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3,145</w:t>
            </w: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8"/>
        </w:trPr>
        <w:tc>
          <w:tcPr>
            <w:tcW w:w="8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Included in "Payroll and related expenses":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pension plans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(6,378)</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(6,827)</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(7,602)</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other postretirement plans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(497)</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(975)</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other postretirement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(666)</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(696)</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Total included in payroll and related expenses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(14,368)</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(9,308)</w:t>
            </w: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8"/>
        </w:trPr>
        <w:tc>
          <w:tcPr>
            <w:tcW w:w="87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Accrued pension and other postretirement costs: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pension plans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(30,843)</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(45,578)</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(135,809)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(197,796)</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U.S. other postretirement plans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(3,831)</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(6,636)</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Non-U.S. other postretirement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(6,049)</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(7,086)</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Other retirement obligations</w:t>
            </w:r>
          </w:p>
        </w:tc>
        <w:tc>
          <w:tcPr>
            <w:tcW w:w="2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(10,560)</w:t>
            </w:r>
          </w:p>
        </w:tc>
        <w:tc>
          <w:tcPr>
            <w:tcW w:w="3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(14,576)</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accrued pension and other postretirement costs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(187,092)</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(271,672)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38"/>
        </w:trPr>
        <w:tc>
          <w:tcPr>
            <w:tcW w:w="8700" w:type="dxa"/>
            <w:vAlign w:val="bottom"/>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Accumulated other comprehensive loss: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pension plans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9,403</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Non-U.S. pension plans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16,392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72,437</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other postretirement plans</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(2,031)</w:t>
            </w: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837</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Non-U.S. other postretirement plans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743</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1,706</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accumulated other comprehensive loss*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15,173</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84,383</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rPr>
          <w:sz w:val="20"/>
          <w:szCs w:val="20"/>
          <w:color w:val="auto"/>
        </w:rPr>
      </w:pPr>
      <w:r>
        <w:rPr>
          <w:rFonts w:ascii="Times New Roman" w:cs="Times New Roman" w:eastAsia="Times New Roman" w:hAnsi="Times New Roman"/>
          <w:sz w:val="12"/>
          <w:szCs w:val="12"/>
          <w:color w:val="auto"/>
        </w:rPr>
        <w:t>* - Amounts included in accumulated other comprehensive loss are presented in this table pre-tax</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Benefit Pension Plans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U.S. Pension Plans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maintained several defined benefit pension plans which covered most full-time U.S. employees. These included pension plans which are “qualified” under the Employee Retirement Income Security Act of 1974 (“ERISA”) and the Internal Revenue Code, and “non-qualified” pension plans which provide defined benefits primarily to U.S. employees whose benefits under the qualified pension plan would be limited by ERISA and the Internal Revenue Code. The Company’s principal qualified U.S. pension plan (the Vishay Retirement Plan) was frozen effective January 1, 2009 and terminated in 2016.</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principal non-qualified U.S. pension plan (the Vishay Non-qualified Retirement Plan) was a contributory pension plan designed to provide similar defined benefits to covered U.S. employees whose benefits under the Vishay Retirement Plan were limited by the Internal Revenue Code. The Vishay Non-qualified Retirement Plan was similar in construction to the Vishay Retirement Plan, except that the plan is not qualified under the Internal Revenue Code.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Vishay Non-qualified Retirement Plan, like all non-qualified plans, is considered to be unfunded. The Company maintains a non-qualified trust, referred to as a “rabbi” trust, to fund benefit payments under this plan. Rabbi trust assets are subject to creditor claims under certain conditions and are not the property of employees. Therefore, they are accounted for as other noncurrent assets. Assets held in trust related to the non-qualified pension plan were $20,615 and $27,604 at December 31, 2022 and 2021, respectively.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2008, the Company adopted amendments to the Vishay Non-Qualified Retirement Plan such that effective January 1, 2009, the plan was frozen. Pursuant to these amendments, no new employees may participate in the plans, no further participant contributions were required or permitted, and no further benefits shall accrue after December 31, 2008. Benefits accumulated as of December 31, 2008 will be paid to employees upon or following retirement, and the Company will likely need to make additional cash contributions to the rabbi trust to fund this accumulated benefit obligation.</w:t>
      </w: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also maintains other pension plans which provide supplemental defined benefits primarily to former U.S. employees whose benefits under qualified pension plans were limited by the Internal Revenue Code. These non-qualified plans are all non-contributory plans, and are considered to be unfunded.</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2004, the Company entered into an employment agreement with Dr. Felix Zandman, its Executive Chairman and then-Chief Executive Officer. Pursuant to this agreement, the Company is providing an annual retirement benefit of approximately $614 to his surviving spouse. The Company maintains a non-qualified trust, referred to as a “rabbi” trust, to fund benefit payments under this plan. Rabbi trust assets are subject to creditor claims under certain conditions and are not the property of employees. Therefore, they are accounted for as other noncurrent assets. Assets held in trust related to this non-qualified pension plan were $1,023 and $630 at December 31, 2022 and 2021,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Non-U.S. Pension Plans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provides pension and similar benefits to employees of certain non-U.S. subsidiaries consistent with local practices. Pension benefits earned are generally based on years of service and compensation during active employment.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 reconciliation of the benefit obligation, plan assets, and funded status related to U.S. and non-U.S. pension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5"/>
                <w:szCs w:val="15"/>
                <w:color w:val="auto"/>
              </w:rPr>
            </w:pPr>
          </w:p>
        </w:tc>
        <w:tc>
          <w:tcPr>
            <w:tcW w:w="23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0"/>
        </w:trPr>
        <w:tc>
          <w:tcPr>
            <w:tcW w:w="4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6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4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8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304"/>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19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2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45,613</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278,173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45,564</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307,809</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4,199</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4,693</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1,122</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3,200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1,016</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2,968</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Plan amendments</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79</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490</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Actuarial (gains) losses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(7,668)</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(45,102)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(7,816)</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Benefits paid</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(1,846)</w:t>
            </w: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(16,777)</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(1,837)</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(14,773)</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Curtailments and settlements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(20,231)</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(15,164)</w:t>
            </w:r>
          </w:p>
        </w:tc>
      </w:tr>
      <w:tr>
        <w:trPr>
          <w:trHeight w:val="200"/>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end of year</w:t>
            </w:r>
          </w:p>
        </w:tc>
        <w:tc>
          <w:tcPr>
            <w:tcW w:w="1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37,221</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203,541</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45,613</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278,173</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20"/>
        </w:trPr>
        <w:tc>
          <w:tcPr>
            <w:tcW w:w="40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plan assets at beginning of year</w:t>
            </w:r>
          </w:p>
        </w:tc>
        <w:tc>
          <w:tcPr>
            <w:tcW w:w="218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75,920</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74,334</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790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2,792</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Company contributions</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13,212</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1,837</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13,095</w:t>
            </w:r>
          </w:p>
        </w:tc>
      </w:tr>
      <w:tr>
        <w:trPr>
          <w:trHeight w:val="16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Benefits paid</w:t>
            </w:r>
          </w:p>
        </w:tc>
        <w:tc>
          <w:tcPr>
            <w:tcW w:w="1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(1,846)</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(16,777)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(1,837)</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(14,773)</w:t>
            </w:r>
          </w:p>
        </w:tc>
      </w:tr>
      <w:tr>
        <w:trPr>
          <w:trHeight w:val="16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(7,525)</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472</w:t>
            </w:r>
          </w:p>
        </w:tc>
      </w:tr>
      <w:tr>
        <w:trPr>
          <w:trHeight w:val="200"/>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1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65,620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75,920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20"/>
        </w:trPr>
        <w:tc>
          <w:tcPr>
            <w:tcW w:w="4060" w:type="dxa"/>
            <w:vAlign w:val="bottom"/>
          </w:tcPr>
          <w:p>
            <w:pPr>
              <w:spacing w:after="0"/>
              <w:rPr>
                <w:sz w:val="10"/>
                <w:szCs w:val="10"/>
                <w:color w:val="auto"/>
              </w:rPr>
            </w:pPr>
          </w:p>
        </w:tc>
        <w:tc>
          <w:tcPr>
            <w:tcW w:w="2180" w:type="dxa"/>
            <w:vAlign w:val="bottom"/>
            <w:gridSpan w:val="2"/>
          </w:tcPr>
          <w:p>
            <w:pPr>
              <w:spacing w:after="0"/>
              <w:rPr>
                <w:sz w:val="10"/>
                <w:szCs w:val="10"/>
                <w:color w:val="auto"/>
              </w:rPr>
            </w:pPr>
          </w:p>
        </w:tc>
        <w:tc>
          <w:tcPr>
            <w:tcW w:w="11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r>
      <w:tr>
        <w:trPr>
          <w:trHeight w:val="20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Funded status at end of year</w:t>
            </w:r>
          </w:p>
        </w:tc>
        <w:tc>
          <w:tcPr>
            <w:tcW w:w="2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(37,221)</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(137,921)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(45,613)</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(202,253)</w:t>
            </w:r>
          </w:p>
        </w:tc>
      </w:tr>
      <w:tr>
        <w:trPr>
          <w:trHeight w:val="246"/>
        </w:trPr>
        <w:tc>
          <w:tcPr>
            <w:tcW w:w="4060" w:type="dxa"/>
            <w:vAlign w:val="bottom"/>
            <w:tcBorders>
              <w:top w:val="single" w:sz="8" w:color="CCEEFF"/>
            </w:tcBorders>
          </w:tcPr>
          <w:p>
            <w:pPr>
              <w:spacing w:after="0"/>
              <w:rPr>
                <w:sz w:val="21"/>
                <w:szCs w:val="21"/>
                <w:color w:val="auto"/>
              </w:rPr>
            </w:pPr>
          </w:p>
        </w:tc>
        <w:tc>
          <w:tcPr>
            <w:tcW w:w="1940" w:type="dxa"/>
            <w:vAlign w:val="bottom"/>
            <w:tcBorders>
              <w:top w:val="single" w:sz="8" w:color="CCEEFF"/>
            </w:tcBorders>
          </w:tcPr>
          <w:p>
            <w:pPr>
              <w:ind w:left="1480"/>
              <w:spacing w:after="0"/>
              <w:rPr>
                <w:sz w:val="20"/>
                <w:szCs w:val="20"/>
                <w:color w:val="auto"/>
              </w:rPr>
            </w:pPr>
            <w:r>
              <w:rPr>
                <w:rFonts w:ascii="Times New Roman" w:cs="Times New Roman" w:eastAsia="Times New Roman" w:hAnsi="Times New Roman"/>
                <w:sz w:val="12"/>
                <w:szCs w:val="12"/>
                <w:color w:val="auto"/>
              </w:rPr>
              <w:t>F-32</w:t>
            </w: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36"/>
        </w:trPr>
        <w:tc>
          <w:tcPr>
            <w:tcW w:w="40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plan assets are stated at fair value. See Note 18 for further discussion of the valuation of the plan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Amounts recognized in the accompanying consolidated balance sheets consist of the following:</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8"/>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24"/>
                <w:szCs w:val="24"/>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0"/>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gridSpan w:val="3"/>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4,715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3,145</w:t>
            </w:r>
          </w:p>
        </w:tc>
      </w:tr>
      <w:tr>
        <w:trPr>
          <w:trHeight w:val="16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benefit liability - current</w:t>
            </w:r>
          </w:p>
        </w:tc>
        <w:tc>
          <w:tcPr>
            <w:tcW w:w="200" w:type="dxa"/>
            <w:vAlign w:val="bottom"/>
          </w:tcPr>
          <w:p>
            <w:pPr>
              <w:spacing w:after="0"/>
              <w:rPr>
                <w:sz w:val="14"/>
                <w:szCs w:val="14"/>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(6,378)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(6,827)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(7,602)</w:t>
            </w:r>
          </w:p>
        </w:tc>
      </w:tr>
      <w:tr>
        <w:trPr>
          <w:trHeight w:val="16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benefit liability - non-current</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(30,843)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(135,809)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(45,578)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(197,796)</w:t>
            </w:r>
          </w:p>
        </w:tc>
      </w:tr>
      <w:tr>
        <w:trPr>
          <w:trHeight w:val="16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16,392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9,403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72,437</w:t>
            </w:r>
          </w:p>
        </w:tc>
      </w:tr>
      <w:tr>
        <w:trPr>
          <w:trHeight w:val="200"/>
        </w:trPr>
        <w:tc>
          <w:tcPr>
            <w:tcW w:w="5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(37,152)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(121,529)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(129,816)</w:t>
            </w:r>
          </w:p>
        </w:tc>
        <w:tc>
          <w:tcPr>
            <w:tcW w:w="120" w:type="dxa"/>
            <w:vAlign w:val="bottom"/>
            <w:shd w:val="clear" w:color="auto" w:fill="CCEEFF"/>
          </w:tcPr>
          <w:p>
            <w:pPr>
              <w:spacing w:after="0"/>
              <w:rPr>
                <w:sz w:val="17"/>
                <w:szCs w:val="17"/>
                <w:color w:val="auto"/>
              </w:rPr>
            </w:pPr>
          </w:p>
        </w:tc>
      </w:tr>
      <w:tr>
        <w:trPr>
          <w:trHeight w:val="308"/>
        </w:trPr>
        <w:tc>
          <w:tcPr>
            <w:tcW w:w="6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Actuarial items consist of the following:</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98"/>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24"/>
                <w:szCs w:val="24"/>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0"/>
        </w:trPr>
        <w:tc>
          <w:tcPr>
            <w:tcW w:w="5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ind w:left="1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1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4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60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Unrecognized net actuarial (gain) loss</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15,628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71,632</w:t>
            </w:r>
          </w:p>
        </w:tc>
      </w:tr>
      <w:tr>
        <w:trPr>
          <w:trHeight w:val="162"/>
        </w:trPr>
        <w:tc>
          <w:tcPr>
            <w:tcW w:w="6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Unamortized prior service cost</w:t>
            </w:r>
          </w:p>
        </w:tc>
        <w:tc>
          <w:tcPr>
            <w:tcW w:w="20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805</w:t>
            </w:r>
          </w:p>
        </w:tc>
      </w:tr>
      <w:tr>
        <w:trPr>
          <w:trHeight w:val="200"/>
        </w:trPr>
        <w:tc>
          <w:tcPr>
            <w:tcW w:w="5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16,392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72,437</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additional information regarding the projected and accumulated benefit obligations: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5"/>
                <w:szCs w:val="15"/>
                <w:color w:val="auto"/>
              </w:rPr>
            </w:pPr>
          </w:p>
        </w:tc>
        <w:tc>
          <w:tcPr>
            <w:tcW w:w="23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0"/>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ind w:left="1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benefit obligation, all plans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37,221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176,056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45,613</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259,087</w:t>
            </w:r>
          </w:p>
        </w:tc>
      </w:tr>
      <w:tr>
        <w:trPr>
          <w:trHeight w:val="144"/>
        </w:trPr>
        <w:tc>
          <w:tcPr>
            <w:tcW w:w="4420" w:type="dxa"/>
            <w:vAlign w:val="bottom"/>
            <w:gridSpan w:val="3"/>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Plans for which the accumulated benefit obligation exceeds plan assets:</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37,221</w:t>
            </w:r>
          </w:p>
        </w:tc>
        <w:tc>
          <w:tcPr>
            <w:tcW w:w="2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181,207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45,613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247,796</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37,221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159,433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45,613</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235,764</w:t>
            </w:r>
          </w:p>
        </w:tc>
      </w:tr>
      <w:tr>
        <w:trPr>
          <w:trHeight w:val="19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plan assets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38,854</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44,604</w:t>
            </w:r>
          </w:p>
        </w:tc>
      </w:tr>
      <w:tr>
        <w:trPr>
          <w:trHeight w:val="304"/>
        </w:trPr>
        <w:tc>
          <w:tcPr>
            <w:tcW w:w="46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sets forth the components of net periodic pension cost: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3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960" w:type="dxa"/>
            <w:vAlign w:val="bottom"/>
          </w:tcPr>
          <w:p>
            <w:pPr>
              <w:jc w:val="right"/>
              <w:ind w:right="229"/>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ind w:right="66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940" w:type="dxa"/>
            <w:vAlign w:val="bottom"/>
          </w:tcPr>
          <w:p>
            <w:pPr>
              <w:jc w:val="center"/>
              <w:ind w:right="1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4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940" w:type="dxa"/>
            <w:vAlign w:val="bottom"/>
          </w:tcPr>
          <w:p>
            <w:pPr>
              <w:jc w:val="center"/>
              <w:ind w:right="1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3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112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4,199</w:t>
            </w:r>
          </w:p>
        </w:tc>
        <w:tc>
          <w:tcPr>
            <w:tcW w:w="2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4,693</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4,382</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3,200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1,016</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2,968</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1,366</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3,783</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(1,725)</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(1,660)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(2,004)</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4,760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2,032</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7,444</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1,609</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6,554</w:t>
            </w: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216</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378</w:t>
            </w: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Curtailment and settlement losses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1,190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632</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1,148</w:t>
            </w:r>
          </w:p>
        </w:tc>
      </w:tr>
      <w:tr>
        <w:trPr>
          <w:trHeight w:val="20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periodic pension cost</w:t>
            </w: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2,789</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11,840</w:t>
            </w: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408"/>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F-33</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3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See Note 10 for the pretax, tax effect and after tax amounts included in other comprehensive income during the years ended December 31, 2022, 2021, and 2020. The estimated actuarial items for the defined benefit pensions plans that will be amortized from accumulated other comprehensive loss into net periodic pension cost during 2022 are not material.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benefit obligations at December 31 of the respective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6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5.50%</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3.57%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8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the net periodic pension costs: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8"/>
        </w:trPr>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6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2.50%</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62"/>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2.07%</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2.96%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bl>
    <w:p>
      <w:pPr>
        <w:spacing w:after="0" w:line="14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plans’ expected return on assets is based on management’s expectations of long-term average rates of return to be achieved by the underlying investment portfolios. In establishing this assumption, management considers historical and expected returns for the asset classes in which the plans are invested, advice from pension consultants and investment advisors, and current economic and capital market conditions.</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investment mix between equity securities and fixed income securities is based upon achieving a desired return, balancing higher return, more volatile equity securities, and lower return, less volatile fixed income securities and is adjusted for the expected duration of the obligation and the funded status of the plan. Investment allocations are made across a range of securities, maturities and credit quality. The Company’s non-U.S. defined benefit plan investments are based on local laws and customs. Most plans invest in cash and local government fixed income securities, although plans in certain countries have investments in equity securities. The plans do not invest in securities of Vishay or its subsidiaries. Negative investment returns could ultimately affect the funded status of the plans, requiring additional cash contributions. See Note 18 for further information on the fair value of the plan assets by asset category.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Estimated future benefit payments are as follows:</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8700" w:type="dxa"/>
            <w:vAlign w:val="bottom"/>
          </w:tcPr>
          <w:p>
            <w:pPr>
              <w:spacing w:after="0"/>
              <w:rPr>
                <w:sz w:val="24"/>
                <w:szCs w:val="24"/>
                <w:color w:val="auto"/>
              </w:rPr>
            </w:pPr>
          </w:p>
        </w:tc>
        <w:tc>
          <w:tcPr>
            <w:tcW w:w="7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182"/>
        </w:trPr>
        <w:tc>
          <w:tcPr>
            <w:tcW w:w="8700" w:type="dxa"/>
            <w:vAlign w:val="bottom"/>
          </w:tcPr>
          <w:p>
            <w:pPr>
              <w:spacing w:after="0"/>
              <w:rPr>
                <w:sz w:val="15"/>
                <w:szCs w:val="15"/>
                <w:color w:val="auto"/>
              </w:rPr>
            </w:pPr>
          </w:p>
        </w:tc>
        <w:tc>
          <w:tcPr>
            <w:tcW w:w="7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8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7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8,365</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15,741</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7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3,295</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14,669</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3,247</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15,553</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7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8,552</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17,068</w:t>
            </w: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3,277</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15,004</w:t>
            </w:r>
          </w:p>
        </w:tc>
      </w:tr>
      <w:tr>
        <w:trPr>
          <w:trHeight w:val="188"/>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2028-2032</w:t>
            </w: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9,742</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70,832</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anticipated 2023 contributions for defined benefit pension plans will approximate the expected benefit payments disclosed above.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11 – Pensions and Other Postretirement Benefits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Postretirement Benefits</w:t>
      </w:r>
    </w:p>
    <w:p>
      <w:pPr>
        <w:spacing w:after="0" w:line="1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In the U.S., the Company maintains unfunded non-pension postretirement plans, including medical benefits for certain executives and their surviving spouses, which are funded as costs are incurred. The Company also maintains two unfunded non-pension postretirement plans at two European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a reconciliation of the benefit obligation, plan assets, and accrued benefit cost related to U.S. and non-U.S. non-pension defined benefit postretirement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5"/>
                <w:szCs w:val="15"/>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0"/>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2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00" w:type="dxa"/>
            <w:vAlign w:val="bottom"/>
          </w:tcPr>
          <w:p>
            <w:pPr>
              <w:spacing w:after="0"/>
              <w:rPr>
                <w:sz w:val="15"/>
                <w:szCs w:val="15"/>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Plans</w:t>
            </w:r>
          </w:p>
        </w:tc>
      </w:tr>
      <w:tr>
        <w:trPr>
          <w:trHeight w:val="304"/>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beginning of year</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7,782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8,510</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278</w:t>
            </w: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Actuarial (gains) losses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(2,525)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w:t>
            </w: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Benefits paid</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(975)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(319)</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(652)</w:t>
            </w:r>
          </w:p>
        </w:tc>
      </w:tr>
      <w:tr>
        <w:trPr>
          <w:trHeight w:val="200"/>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obligation at end of year</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6,715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20"/>
        </w:trPr>
        <w:tc>
          <w:tcPr>
            <w:tcW w:w="5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plan assets at end of year</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55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20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Funded status at end of year</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(4,328)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(6,715)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(7,782)</w:t>
            </w:r>
          </w:p>
        </w:tc>
      </w:tr>
      <w:tr>
        <w:trPr>
          <w:trHeight w:val="308"/>
        </w:trPr>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Amounts recognized in the accompanying consolidated balance sheets consist of the following:</w:t>
            </w:r>
          </w:p>
        </w:tc>
        <w:tc>
          <w:tcPr>
            <w:tcW w:w="3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98"/>
        </w:trPr>
        <w:tc>
          <w:tcPr>
            <w:tcW w:w="5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24"/>
                <w:szCs w:val="24"/>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40"/>
        </w:trPr>
        <w:tc>
          <w:tcPr>
            <w:tcW w:w="5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1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4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r>
      <w:tr>
        <w:trPr>
          <w:trHeight w:val="182"/>
        </w:trPr>
        <w:tc>
          <w:tcPr>
            <w:tcW w:w="5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1240" w:type="dxa"/>
            <w:vAlign w:val="bottom"/>
            <w:gridSpan w:val="3"/>
          </w:tcPr>
          <w:p>
            <w:pPr>
              <w:spacing w:after="0"/>
              <w:rPr>
                <w:sz w:val="12"/>
                <w:szCs w:val="12"/>
                <w:color w:val="auto"/>
              </w:rPr>
            </w:pPr>
          </w:p>
        </w:tc>
        <w:tc>
          <w:tcPr>
            <w:tcW w:w="5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benefit liability - current</w:t>
            </w:r>
          </w:p>
        </w:tc>
        <w:tc>
          <w:tcPr>
            <w:tcW w:w="1240" w:type="dxa"/>
            <w:vAlign w:val="bottom"/>
            <w:gridSpan w:val="3"/>
            <w:shd w:val="clear" w:color="auto" w:fill="CCEEFF"/>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(696)</w:t>
            </w: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Accrued benefit liability - non-current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(3,831)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(6,049)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(7,086)</w:t>
            </w: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(2,031)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1,706</w:t>
            </w:r>
          </w:p>
        </w:tc>
      </w:tr>
      <w:tr>
        <w:trPr>
          <w:trHeight w:val="20"/>
        </w:trPr>
        <w:tc>
          <w:tcPr>
            <w:tcW w:w="55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5520" w:type="dxa"/>
            <w:vAlign w:val="bottom"/>
          </w:tcPr>
          <w:p>
            <w:pPr>
              <w:spacing w:after="0"/>
              <w:rPr>
                <w:sz w:val="13"/>
                <w:szCs w:val="13"/>
                <w:color w:val="auto"/>
              </w:rPr>
            </w:pPr>
          </w:p>
        </w:tc>
        <w:tc>
          <w:tcPr>
            <w:tcW w:w="124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7"/>
              </w:rPr>
              <w:t>(6,359)</w:t>
            </w:r>
          </w:p>
        </w:tc>
        <w:tc>
          <w:tcPr>
            <w:tcW w:w="12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(5,972)</w:t>
            </w:r>
          </w:p>
        </w:tc>
        <w:tc>
          <w:tcPr>
            <w:tcW w:w="100" w:type="dxa"/>
            <w:vAlign w:val="bottom"/>
          </w:tcPr>
          <w:p>
            <w:pPr>
              <w:spacing w:after="0"/>
              <w:rPr>
                <w:sz w:val="13"/>
                <w:szCs w:val="13"/>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(6,774)</w:t>
            </w:r>
          </w:p>
        </w:tc>
        <w:tc>
          <w:tcPr>
            <w:tcW w:w="100" w:type="dxa"/>
            <w:vAlign w:val="bottom"/>
          </w:tcPr>
          <w:p>
            <w:pPr>
              <w:spacing w:after="0"/>
              <w:rPr>
                <w:sz w:val="13"/>
                <w:szCs w:val="1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(6,076)</w:t>
            </w:r>
          </w:p>
        </w:tc>
      </w:tr>
      <w:tr>
        <w:trPr>
          <w:trHeight w:val="20"/>
        </w:trPr>
        <w:tc>
          <w:tcPr>
            <w:tcW w:w="5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0"/>
        </w:trPr>
        <w:tc>
          <w:tcPr>
            <w:tcW w:w="5520" w:type="dxa"/>
            <w:vAlign w:val="bottom"/>
          </w:tcPr>
          <w:p>
            <w:pPr>
              <w:spacing w:after="0"/>
              <w:rPr>
                <w:sz w:val="24"/>
                <w:szCs w:val="24"/>
                <w:color w:val="auto"/>
              </w:rPr>
            </w:pPr>
          </w:p>
        </w:tc>
        <w:tc>
          <w:tcPr>
            <w:tcW w:w="1240" w:type="dxa"/>
            <w:vAlign w:val="bottom"/>
            <w:gridSpan w:val="3"/>
          </w:tcPr>
          <w:p>
            <w:pPr>
              <w:jc w:val="right"/>
              <w:ind w:right="930"/>
              <w:spacing w:after="0"/>
              <w:rPr>
                <w:sz w:val="20"/>
                <w:szCs w:val="20"/>
                <w:color w:val="auto"/>
              </w:rPr>
            </w:pPr>
            <w:r>
              <w:rPr>
                <w:rFonts w:ascii="Times New Roman" w:cs="Times New Roman" w:eastAsia="Times New Roman" w:hAnsi="Times New Roman"/>
                <w:sz w:val="12"/>
                <w:szCs w:val="12"/>
                <w:color w:val="auto"/>
                <w:w w:val="96"/>
              </w:rPr>
              <w:t>F-35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5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11 – Pensions and Other Postretirement Benefits (continued)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3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Actuarial items consist of the following:</w:t>
            </w: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40"/>
        </w:trPr>
        <w:tc>
          <w:tcPr>
            <w:tcW w:w="3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6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1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4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Unrecognized net actuarial loss (gain)</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(2,031)</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743</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837</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1,706</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(2,031)</w:t>
            </w:r>
          </w:p>
        </w:tc>
        <w:tc>
          <w:tcPr>
            <w:tcW w:w="100" w:type="dxa"/>
            <w:vAlign w:val="bottom"/>
          </w:tcPr>
          <w:p>
            <w:pPr>
              <w:spacing w:after="0"/>
              <w:rPr>
                <w:sz w:val="13"/>
                <w:szCs w:val="13"/>
                <w:color w:val="auto"/>
              </w:rPr>
            </w:pPr>
          </w:p>
        </w:tc>
        <w:tc>
          <w:tcPr>
            <w:tcW w:w="2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743</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837</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1,706</w:t>
            </w:r>
          </w:p>
        </w:tc>
        <w:tc>
          <w:tcPr>
            <w:tcW w:w="0" w:type="dxa"/>
            <w:vAlign w:val="bottom"/>
          </w:tcPr>
          <w:p>
            <w:pPr>
              <w:spacing w:after="0"/>
              <w:rPr>
                <w:sz w:val="1"/>
                <w:szCs w:val="1"/>
                <w:color w:val="auto"/>
              </w:rPr>
            </w:pPr>
          </w:p>
        </w:tc>
      </w:tr>
      <w:tr>
        <w:trPr>
          <w:trHeight w:val="20"/>
        </w:trPr>
        <w:tc>
          <w:tcPr>
            <w:tcW w:w="46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The following table sets forth the components of net periodic benefit cost:</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66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280" w:type="dxa"/>
            <w:vAlign w:val="bottom"/>
          </w:tcPr>
          <w:p>
            <w:pPr>
              <w:spacing w:after="0"/>
              <w:rPr>
                <w:sz w:val="12"/>
                <w:szCs w:val="12"/>
                <w:color w:val="auto"/>
              </w:rPr>
            </w:pPr>
          </w:p>
        </w:tc>
        <w:tc>
          <w:tcPr>
            <w:tcW w:w="840" w:type="dxa"/>
            <w:vAlign w:val="bottom"/>
            <w:gridSpan w:val="2"/>
          </w:tcPr>
          <w:p>
            <w:pPr>
              <w:jc w:val="center"/>
              <w:ind w:left="236"/>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2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54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0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840" w:type="dxa"/>
            <w:vAlign w:val="bottom"/>
            <w:tcBorders>
              <w:bottom w:val="single" w:sz="8" w:color="auto"/>
            </w:tcBorders>
            <w:gridSpan w:val="2"/>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c>
          <w:tcPr>
            <w:tcW w:w="340" w:type="dxa"/>
            <w:vAlign w:val="bottom"/>
            <w:gridSpan w:val="2"/>
          </w:tcPr>
          <w:p>
            <w:pPr>
              <w:spacing w:after="0"/>
              <w:rPr>
                <w:sz w:val="12"/>
                <w:szCs w:val="12"/>
                <w:color w:val="auto"/>
              </w:rPr>
            </w:pPr>
          </w:p>
        </w:tc>
        <w:tc>
          <w:tcPr>
            <w:tcW w:w="104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1100" w:type="dxa"/>
            <w:vAlign w:val="bottom"/>
            <w:gridSpan w:val="2"/>
          </w:tcPr>
          <w:p>
            <w:pPr>
              <w:spacing w:after="0"/>
              <w:rPr>
                <w:sz w:val="12"/>
                <w:szCs w:val="12"/>
                <w:color w:val="auto"/>
              </w:rPr>
            </w:pPr>
          </w:p>
        </w:tc>
        <w:tc>
          <w:tcPr>
            <w:tcW w:w="300" w:type="dxa"/>
            <w:vAlign w:val="bottom"/>
            <w:gridSpan w:val="2"/>
          </w:tcPr>
          <w:p>
            <w:pPr>
              <w:spacing w:after="0"/>
              <w:rPr>
                <w:sz w:val="12"/>
                <w:szCs w:val="12"/>
                <w:color w:val="auto"/>
              </w:rPr>
            </w:pPr>
          </w:p>
        </w:tc>
        <w:tc>
          <w:tcPr>
            <w:tcW w:w="104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10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cost</w:t>
            </w:r>
          </w:p>
        </w:tc>
        <w:tc>
          <w:tcPr>
            <w:tcW w:w="74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237</w:t>
            </w:r>
          </w:p>
        </w:tc>
        <w:tc>
          <w:tcPr>
            <w:tcW w:w="3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278</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Interest cost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55</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actuarial (gains) losses</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85</w:t>
            </w: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Curtailment and settlement losses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0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periodic benefit cost (benefit)</w:t>
            </w:r>
          </w:p>
        </w:tc>
        <w:tc>
          <w:tcPr>
            <w:tcW w:w="74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559</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estimated actuarial items for the other postretirement benefit plans that will be amortized from accumulated other comprehensive loss into net periodic benefit cost during 2022 are not material.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benefit obligations at December 31 of the respective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5.50%</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3.86%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4.19%</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28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the net periodic benefit costs: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8"/>
        </w:trPr>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2"/>
        </w:trPr>
        <w:tc>
          <w:tcPr>
            <w:tcW w:w="59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0"/>
        </w:trPr>
        <w:tc>
          <w:tcPr>
            <w:tcW w:w="5940" w:type="dxa"/>
            <w:vAlign w:val="bottom"/>
          </w:tcPr>
          <w:p>
            <w:pPr>
              <w:spacing w:after="0"/>
              <w:rPr>
                <w:sz w:val="12"/>
                <w:szCs w:val="12"/>
                <w:color w:val="auto"/>
              </w:rPr>
            </w:pPr>
          </w:p>
        </w:tc>
        <w:tc>
          <w:tcPr>
            <w:tcW w:w="1520" w:type="dxa"/>
            <w:vAlign w:val="bottom"/>
            <w:gridSpan w:val="3"/>
          </w:tcPr>
          <w:p>
            <w:pPr>
              <w:jc w:val="center"/>
              <w:ind w:right="42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8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240" w:type="dxa"/>
            <w:vAlign w:val="bottom"/>
          </w:tcPr>
          <w:p>
            <w:pPr>
              <w:spacing w:after="0"/>
              <w:rPr>
                <w:sz w:val="12"/>
                <w:szCs w:val="12"/>
                <w:color w:val="auto"/>
              </w:rPr>
            </w:pPr>
          </w:p>
        </w:tc>
        <w:tc>
          <w:tcPr>
            <w:tcW w:w="1520" w:type="dxa"/>
            <w:vAlign w:val="bottom"/>
            <w:gridSpan w:val="3"/>
          </w:tcPr>
          <w:p>
            <w:pPr>
              <w:jc w:val="center"/>
              <w:ind w:right="380"/>
              <w:spacing w:after="0" w:line="140" w:lineRule="exact"/>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Non-U.S.</w:t>
            </w:r>
          </w:p>
        </w:tc>
        <w:tc>
          <w:tcPr>
            <w:tcW w:w="140" w:type="dxa"/>
            <w:vAlign w:val="bottom"/>
          </w:tcPr>
          <w:p>
            <w:pPr>
              <w:spacing w:after="0"/>
              <w:rPr>
                <w:sz w:val="12"/>
                <w:szCs w:val="12"/>
                <w:color w:val="auto"/>
              </w:rPr>
            </w:pPr>
          </w:p>
        </w:tc>
      </w:tr>
      <w:tr>
        <w:trPr>
          <w:trHeight w:val="182"/>
        </w:trPr>
        <w:tc>
          <w:tcPr>
            <w:tcW w:w="5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3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r>
      <w:tr>
        <w:trPr>
          <w:trHeight w:val="16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Discount rate</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2.50%</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0.80%</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r>
      <w:tr>
        <w:trPr>
          <w:trHeight w:val="190"/>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2.88%</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impact of a one-percentage-point change in assumed health care cost trend rates on the net periodic benefit cost and postretirement benefit obligation is not material.</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11 – Pensions and Other Postretirement Benefits (continued)</w:t>
            </w: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21"/>
        </w:trPr>
        <w:tc>
          <w:tcPr>
            <w:tcW w:w="4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Estimated future benefit payments are as follows:</w:t>
            </w:r>
          </w:p>
        </w:tc>
        <w:tc>
          <w:tcPr>
            <w:tcW w:w="4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40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U.S.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Non-U.S.</w:t>
            </w:r>
          </w:p>
        </w:tc>
      </w:tr>
      <w:tr>
        <w:trPr>
          <w:trHeight w:val="182"/>
        </w:trPr>
        <w:tc>
          <w:tcPr>
            <w:tcW w:w="40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46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497</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666</w:t>
            </w:r>
          </w:p>
        </w:tc>
      </w:tr>
      <w:tr>
        <w:trPr>
          <w:trHeight w:val="16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4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491</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246</w:t>
            </w: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46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475</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517</w:t>
            </w:r>
          </w:p>
        </w:tc>
      </w:tr>
      <w:tr>
        <w:trPr>
          <w:trHeight w:val="162"/>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4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480</w:t>
            </w: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185</w:t>
            </w:r>
          </w:p>
        </w:tc>
      </w:tr>
      <w:tr>
        <w:trPr>
          <w:trHeight w:val="16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46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427</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1,278</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2028-2032</w:t>
            </w:r>
          </w:p>
        </w:tc>
        <w:tc>
          <w:tcPr>
            <w:tcW w:w="4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1,671</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3,607</w:t>
            </w: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the plans are unfunded, the Company’s anticipated contributions for 2023 are equal to its estimated benefits payments.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Retirement Obligations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participates in various other defined contribution and government-mandated retirement plans based on local law or custom. The Company periodically makes required contributions for certain of these plans, whereas other plans are unfunded retirement bonus plans which will be paid at the employee's retirement date. At December 31, 2022 and 2021, the accompanying consolidated balance sheets include $10,560 and $14,576, respectively, within accrued pension and other postretirement costs related to these plans.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U.S. employees are eligible to participate in a 401(k) savings plan, which provides for Company matching contributions. The Company’s matching expense for the plans was $7,083, $6,557, and $6,363 for the years ended December 31, 2022, 2021, and 2020, respectively. No material amounts are included in the accompanying consolidated balance sheets at December 31, 2022 and 2021 related to unfunded 401(k) contributions.</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Certain key employees participate in a deferred compensation plan. During the years ended December 31, 2022, 2021, and 2020, these employees could defer a portion of their compensation until retirement, or elect shorter deferral periods. The Company maintains a liability within other noncurrent liabilities on its consolidated balance sheets related to these deferrals. The Company maintains a non-qualified trust, referred to as a “rabbi” trust, to fund payments under this plan. Rabbi trust assets are subject to creditor claims under certain conditions and are not the property of employees. Therefore, they are accounted for as other noncurrent assets. Assets held in trust related to the deferred compensation plan at December 31, 2022 and 2021 were approximately $28,535 and $31,453, respectively.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12 – Stock-Based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various stockholder-approved programs which allow for the grant of share-based compensation to officers, employees, and non-employee directors.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share-based compensation expense recognized:</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7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80" w:type="dxa"/>
            <w:vAlign w:val="bottom"/>
            <w:gridSpan w:val="6"/>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73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60"/>
        </w:trPr>
        <w:tc>
          <w:tcPr>
            <w:tcW w:w="7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78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6,323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6,396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5,061</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Phantom stock units</w:t>
            </w:r>
          </w:p>
        </w:tc>
        <w:tc>
          <w:tcPr>
            <w:tcW w:w="7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209</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w:t>
            </w:r>
          </w:p>
        </w:tc>
      </w:tr>
      <w:tr>
        <w:trPr>
          <w:trHeight w:val="20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780" w:type="dxa"/>
            <w:vAlign w:val="bottom"/>
            <w:tcBorders>
              <w:top w:val="single" w:sz="8" w:color="auto"/>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6,545</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compensation cost for RSUs that are expected to vest and records cumulative adjustments in the period that the expectation changes.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unrecognized compensation cost and the weighted average remaining amortization periods at December 31, 2022 </w:t>
      </w:r>
      <w:r>
        <w:rPr>
          <w:rFonts w:ascii="Times New Roman" w:cs="Times New Roman" w:eastAsia="Times New Roman" w:hAnsi="Times New Roman"/>
          <w:sz w:val="14"/>
          <w:szCs w:val="14"/>
          <w:i w:val="1"/>
          <w:iCs w:val="1"/>
          <w:color w:val="auto"/>
        </w:rPr>
        <w:t>(amortization periods in years)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62"/>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82"/>
        </w:trPr>
        <w:tc>
          <w:tcPr>
            <w:tcW w:w="8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Periods</w:t>
            </w:r>
          </w:p>
        </w:tc>
        <w:tc>
          <w:tcPr>
            <w:tcW w:w="120" w:type="dxa"/>
            <w:vAlign w:val="bottom"/>
          </w:tcPr>
          <w:p>
            <w:pPr>
              <w:spacing w:after="0"/>
              <w:rPr>
                <w:sz w:val="15"/>
                <w:szCs w:val="15"/>
                <w:color w:val="auto"/>
              </w:rPr>
            </w:pPr>
          </w:p>
        </w:tc>
      </w:tr>
      <w:tr>
        <w:trPr>
          <w:trHeight w:val="160"/>
        </w:trPr>
        <w:tc>
          <w:tcPr>
            <w:tcW w:w="8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spacing w:after="0"/>
              <w:rPr>
                <w:sz w:val="13"/>
                <w:szCs w:val="13"/>
                <w:color w:val="auto"/>
              </w:rPr>
            </w:pPr>
          </w:p>
        </w:tc>
      </w:tr>
      <w:tr>
        <w:trPr>
          <w:trHeight w:val="16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3,241</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0.7</w:t>
            </w:r>
          </w:p>
        </w:tc>
      </w:tr>
      <w:tr>
        <w:trPr>
          <w:trHeight w:val="162"/>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Phantom stock units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0.0</w:t>
            </w:r>
          </w:p>
        </w:tc>
      </w:tr>
      <w:tr>
        <w:trPr>
          <w:trHeight w:val="20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3,241</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The Company currently expects all performance-based RSUs to vest and all of the associated unrecognized compensation cost for performance-based RSUs presented in the table above to be recognized.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2007 Stock Incentive Program</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2007 Stock Incentive Program (the "2007 Program"), as amended and restated, was approved by Vishay's stockholders at Vishay's Annual Meeting of Stockholders on May 20, 2014. The 2007 Program permits the grant of up to 6,500,000 shares of restricted stock, unrestricted stock, RSUs, stock options, and phantom stock units, to officers, employees, and non-employee directors of the Company. Such instruments are available for grant until May 20, 2024.</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At December 31, 2022, the Company has reserved 1,637,000 shares of common stock for future grants of equity awards pursuant to the 2007 Program. If any outstanding awards are forfeited by the holder or cancelled by the Company, the underlying shares would be available for regrant to others.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12 – Stock-Based Compensation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RSU entitles the recipient to receive a share of common stock when the RSU vests.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RSU activity is presented below </w:t>
            </w:r>
            <w:r>
              <w:rPr>
                <w:rFonts w:ascii="Times New Roman" w:cs="Times New Roman" w:eastAsia="Times New Roman" w:hAnsi="Times New Roman"/>
                <w:sz w:val="14"/>
                <w:szCs w:val="14"/>
                <w:i w:val="1"/>
                <w:iCs w:val="1"/>
                <w:color w:val="auto"/>
              </w:rPr>
              <w:t>(number of RSUs in thousands)</w:t>
            </w: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8"/>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68"/>
              <w:spacing w:after="0" w:line="14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49"/>
              <w:spacing w:after="0" w:line="14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48"/>
              <w:spacing w:after="0" w:line="14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4"/>
                <w:szCs w:val="14"/>
                <w:color w:val="auto"/>
              </w:rPr>
            </w:pPr>
          </w:p>
        </w:tc>
        <w:tc>
          <w:tcPr>
            <w:tcW w:w="13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4"/>
                <w:szCs w:val="14"/>
                <w:color w:val="auto"/>
              </w:rPr>
            </w:pP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82"/>
        </w:trPr>
        <w:tc>
          <w:tcPr>
            <w:tcW w:w="3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RSUs</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r>
      <w:tr>
        <w:trPr>
          <w:trHeight w:val="322"/>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of year</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18.90</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17.93</w:t>
            </w:r>
          </w:p>
        </w:tc>
      </w:tr>
      <w:tr>
        <w:trPr>
          <w:trHeight w:val="162"/>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19.13</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22.07</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18.30</w:t>
            </w:r>
          </w:p>
        </w:tc>
      </w:tr>
      <w:tr>
        <w:trPr>
          <w:trHeight w:val="162"/>
        </w:trPr>
        <w:tc>
          <w:tcPr>
            <w:tcW w:w="4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(306)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20.04</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18.79</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15.70</w:t>
            </w:r>
          </w:p>
        </w:tc>
      </w:tr>
      <w:tr>
        <w:trPr>
          <w:trHeight w:val="162"/>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Cancelled or forfeited</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20.50</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19.06</w:t>
            </w:r>
          </w:p>
        </w:tc>
      </w:tr>
      <w:tr>
        <w:trPr>
          <w:trHeight w:val="200"/>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End of year</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19.73</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18.90</w:t>
            </w:r>
          </w:p>
        </w:tc>
      </w:tr>
      <w:tr>
        <w:trPr>
          <w:trHeight w:val="138"/>
        </w:trPr>
        <w:tc>
          <w:tcPr>
            <w:tcW w:w="4140" w:type="dxa"/>
            <w:vAlign w:val="bottom"/>
            <w:gridSpan w:val="3"/>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to vest</w:t>
            </w: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The number of RSUs vested includes shares that the Company withheld on behalf of employees to satisfy statutory tax withholding requirements.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 xml:space="preserve">The number of performance-based RSUs scheduled to vest increases ratably based on the achievement of defined performance criteria between the established target and maximum levels. RSUs with performance-based vesting criteria are expected to vest as follows </w:t>
      </w:r>
      <w:r>
        <w:rPr>
          <w:rFonts w:ascii="Times New Roman" w:cs="Times New Roman" w:eastAsia="Times New Roman" w:hAnsi="Times New Roman"/>
          <w:sz w:val="14"/>
          <w:szCs w:val="14"/>
          <w:i w:val="1"/>
          <w:iCs w:val="1"/>
          <w:color w:val="auto"/>
        </w:rPr>
        <w:t>(number of RSUs in thousands)</w:t>
      </w:r>
      <w:r>
        <w:rPr>
          <w:rFonts w:ascii="Times New Roman" w:cs="Times New Roman" w:eastAsia="Times New Roman" w:hAnsi="Times New Roman"/>
          <w:sz w:val="14"/>
          <w:szCs w:val="14"/>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Expected to</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 Expected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Vest</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 Vest</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7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 2023**</w:t>
            </w:r>
          </w:p>
        </w:tc>
        <w:tc>
          <w:tcPr>
            <w:tcW w:w="120" w:type="dxa"/>
            <w:vAlign w:val="bottom"/>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w w:val="85"/>
              </w:rPr>
              <w:t>152</w:t>
            </w:r>
          </w:p>
        </w:tc>
        <w:tc>
          <w:tcPr>
            <w:tcW w:w="24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w w:val="85"/>
              </w:rPr>
              <w:t>152</w:t>
            </w:r>
          </w:p>
        </w:tc>
        <w:tc>
          <w:tcPr>
            <w:tcW w:w="120" w:type="dxa"/>
            <w:vAlign w:val="bottom"/>
            <w:shd w:val="clear" w:color="auto" w:fill="CCEEFF"/>
          </w:tcPr>
          <w:p>
            <w:pPr>
              <w:spacing w:after="0"/>
              <w:rPr>
                <w:sz w:val="13"/>
                <w:szCs w:val="13"/>
                <w:color w:val="auto"/>
              </w:rPr>
            </w:pPr>
          </w:p>
        </w:tc>
      </w:tr>
      <w:tr>
        <w:trPr>
          <w:trHeight w:val="162"/>
        </w:trPr>
        <w:tc>
          <w:tcPr>
            <w:tcW w:w="7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 2024</w:t>
            </w:r>
          </w:p>
        </w:tc>
        <w:tc>
          <w:tcPr>
            <w:tcW w:w="1500" w:type="dxa"/>
            <w:vAlign w:val="bottom"/>
            <w:gridSpan w:val="3"/>
          </w:tcPr>
          <w:p>
            <w:pPr>
              <w:ind w:left="1060"/>
              <w:spacing w:after="0"/>
              <w:rPr>
                <w:sz w:val="20"/>
                <w:szCs w:val="20"/>
                <w:color w:val="auto"/>
              </w:rPr>
            </w:pPr>
            <w:r>
              <w:rPr>
                <w:rFonts w:ascii="Times New Roman" w:cs="Times New Roman" w:eastAsia="Times New Roman" w:hAnsi="Times New Roman"/>
                <w:sz w:val="14"/>
                <w:szCs w:val="14"/>
                <w:color w:val="auto"/>
              </w:rPr>
              <w:t>165</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165</w:t>
            </w:r>
          </w:p>
        </w:tc>
      </w:tr>
      <w:tr>
        <w:trPr>
          <w:trHeight w:val="162"/>
        </w:trPr>
        <w:tc>
          <w:tcPr>
            <w:tcW w:w="7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 2025</w:t>
            </w:r>
          </w:p>
        </w:tc>
        <w:tc>
          <w:tcPr>
            <w:tcW w:w="15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168</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168</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The performance vesting criteria for the performance-based RSUs with a vesting date of January 1, 2023 were achieved.</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the event of (i) any termination (other than for cause) after attaining retirement age (as defined in the respective executive's employment arrangement), the executive's outstanding RSUs shall immediately vest and the outstanding performance-based RSUs shall vest on their normal vesting date to the extent applicable performance criteria are realized; and (ii) a change of control of Vishay, all of such executive’s outstanding RSUs and performance-based RSUs shall immediately vest. In the event of voluntary termination by the executive prior to attaining retirement age or termination for cause, the executive’s outstanding RSUs and performance-based RSUs will be forfeited.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12 – Stock-Based Compensation (continued)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Phantom Stock Units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2007 Program authorizes the grant of phantom stock units to the extent provided for in the Company's employment agreements with certain executives. Each phantom stock unit entitles the recipient to receive a share of common stock at the individual's termination of employment or any other future date specified in the applicable employment agreement. Phantom stock units participate in dividend distribution on the same basis as the Company's common stock and Class B common stock. Dividend equivalents are issued in the form of additional units of phantom stock. The phantom stock units are fully vested at all times.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summarizes the Company’s phantom stock units activity </w:t>
      </w:r>
      <w:r>
        <w:rPr>
          <w:rFonts w:ascii="Times New Roman" w:cs="Times New Roman" w:eastAsia="Times New Roman" w:hAnsi="Times New Roman"/>
          <w:sz w:val="14"/>
          <w:szCs w:val="14"/>
          <w:i w:val="1"/>
          <w:iCs w:val="1"/>
          <w:color w:val="auto"/>
        </w:rPr>
        <w:t>(number of phantom stock units 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280" w:type="dxa"/>
            <w:vAlign w:val="bottom"/>
          </w:tcPr>
          <w:p>
            <w:pPr>
              <w:spacing w:after="0"/>
              <w:rPr>
                <w:sz w:val="12"/>
                <w:szCs w:val="12"/>
                <w:color w:val="auto"/>
              </w:rPr>
            </w:pPr>
          </w:p>
        </w:tc>
        <w:tc>
          <w:tcPr>
            <w:tcW w:w="920" w:type="dxa"/>
            <w:vAlign w:val="bottom"/>
          </w:tcPr>
          <w:p>
            <w:pPr>
              <w:jc w:val="center"/>
              <w:ind w:left="148"/>
              <w:spacing w:after="0" w:line="14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50"/>
              <w:spacing w:after="0" w:line="140"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240" w:type="dxa"/>
            <w:vAlign w:val="bottom"/>
          </w:tcPr>
          <w:p>
            <w:pPr>
              <w:spacing w:after="0"/>
              <w:rPr>
                <w:sz w:val="12"/>
                <w:szCs w:val="12"/>
                <w:color w:val="auto"/>
              </w:rPr>
            </w:pPr>
          </w:p>
        </w:tc>
        <w:tc>
          <w:tcPr>
            <w:tcW w:w="134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20" w:type="dxa"/>
            <w:vAlign w:val="bottom"/>
          </w:tcPr>
          <w:p>
            <w:pPr>
              <w:jc w:val="center"/>
              <w:ind w:right="28"/>
              <w:spacing w:after="0" w:line="140"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220" w:type="dxa"/>
            <w:vAlign w:val="bottom"/>
          </w:tcPr>
          <w:p>
            <w:pPr>
              <w:spacing w:after="0"/>
              <w:rPr>
                <w:sz w:val="12"/>
                <w:szCs w:val="12"/>
                <w:color w:val="auto"/>
              </w:rPr>
            </w:pPr>
          </w:p>
        </w:tc>
        <w:tc>
          <w:tcPr>
            <w:tcW w:w="1340" w:type="dxa"/>
            <w:vAlign w:val="bottom"/>
            <w:gridSpan w:val="2"/>
          </w:tcPr>
          <w:p>
            <w:pPr>
              <w:jc w:val="center"/>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20" w:type="dxa"/>
            <w:vAlign w:val="bottom"/>
          </w:tcPr>
          <w:p>
            <w:pPr>
              <w:jc w:val="center"/>
              <w:ind w:right="28"/>
              <w:spacing w:after="0" w:line="140"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Phantom</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0" w:type="dxa"/>
            <w:vAlign w:val="bottom"/>
          </w:tcPr>
          <w:p>
            <w:pPr>
              <w:spacing w:after="0"/>
              <w:rPr>
                <w:sz w:val="1"/>
                <w:szCs w:val="1"/>
                <w:color w:val="auto"/>
              </w:rPr>
            </w:pPr>
          </w:p>
        </w:tc>
      </w:tr>
      <w:tr>
        <w:trPr>
          <w:trHeight w:val="182"/>
        </w:trPr>
        <w:tc>
          <w:tcPr>
            <w:tcW w:w="3280" w:type="dxa"/>
            <w:vAlign w:val="bottom"/>
          </w:tcPr>
          <w:p>
            <w:pPr>
              <w:spacing w:after="0"/>
              <w:rPr>
                <w:sz w:val="15"/>
                <w:szCs w:val="15"/>
                <w:color w:val="auto"/>
              </w:rPr>
            </w:pPr>
          </w:p>
        </w:tc>
        <w:tc>
          <w:tcPr>
            <w:tcW w:w="92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Unit</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Unit</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212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Beginning of year</w:t>
            </w:r>
          </w:p>
        </w:tc>
        <w:tc>
          <w:tcPr>
            <w:tcW w:w="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Granted</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22.20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21.49</w:t>
            </w:r>
          </w:p>
        </w:tc>
        <w:tc>
          <w:tcPr>
            <w:tcW w:w="0" w:type="dxa"/>
            <w:vAlign w:val="bottom"/>
          </w:tcPr>
          <w:p>
            <w:pPr>
              <w:spacing w:after="0"/>
              <w:rPr>
                <w:sz w:val="1"/>
                <w:szCs w:val="1"/>
                <w:color w:val="auto"/>
              </w:rPr>
            </w:pPr>
          </w:p>
        </w:tc>
      </w:tr>
      <w:tr>
        <w:trPr>
          <w:trHeight w:val="162"/>
        </w:trPr>
        <w:tc>
          <w:tcPr>
            <w:tcW w:w="4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 equivalents issued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End of year</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226</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left="430"/>
              <w:spacing w:after="0"/>
              <w:rPr>
                <w:sz w:val="20"/>
                <w:szCs w:val="20"/>
                <w:color w:val="auto"/>
              </w:rPr>
            </w:pPr>
            <w:r>
              <w:rPr>
                <w:rFonts w:ascii="Times New Roman" w:cs="Times New Roman" w:eastAsia="Times New Roman" w:hAnsi="Times New Roman"/>
                <w:sz w:val="12"/>
                <w:szCs w:val="12"/>
                <w:color w:val="auto"/>
                <w:w w:val="96"/>
              </w:rPr>
              <w:t>F-40</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13 – Commitments and Contingencies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is subject to various federal, state, local, and foreign laws and regulations governing environmental matters, including the use, discharge, and disposal of hazardous materials. The Company’s manufacturing facilities are believed to be in substantial compliance with current laws and regulations. Complying with current laws and regulations has not had a material adverse effect on the Company’s financial condition.</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has engaged environmental consultants and attorneys to assist management in evaluating potential liabilities related to environmental matters. Management assesses the input from these consultants along with other information known to the Company in its effort to continually monitor these potential liabilities. Management assesses its environmental exposure on a site-by-site basis, including those sites where the Company has been named as a “potentially responsible party.” Such assessments include the Company’s share of remediation costs, information known to the Company concerning the size of the hazardous waste sites, their years of operation, and the number of past users and their financial viability.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As of December 31, 2022, the Company has accrued environmental liabilities of $11,446, of which $4,648 is included in other accrued liabilities on the accompanying consolidated balance sheet, and $6,798 is included in other noncurrent liabilities on the accompanying consolidated balance sheet.</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While the ultimate outcome of these matters cannot be determined, management does not believe that the final disposition of these matters will have a material adverse effect on the Company’s consolidated financial position, results of operations, or cash flows. The Company’s present and past facilities have been in operation for many years. These facilities have used substances and have generated and disposed of wastes which are or might be considered hazardous. Therefore, it is possible that additional environmental issues may arise in the future, which the Company cannot now predict.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is a party to various claims and lawsuits arising in the normal course of business. The Company is of the opinion that these litigations or claims will not have a material negative effect on its consolidated financial position, results of operations, or cash flows.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Semiconductor Foundry Agreements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Siliconix subsidiary maintains long-term foundry agreements with subcontractors to ensure access to external front-end capacity.</w:t>
      </w:r>
    </w:p>
    <w:p>
      <w:pPr>
        <w:spacing w:after="0" w:line="1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Since 2004, Siliconix has maintained long-term foundry arrangements for semiconductor manufacturing with Tower Semiconductor, pursuant to which Siliconix transferred certain technology to Tower Semiconductor and committed to purchase a minimum amount of semiconductor wafers. The Company has minimum purchase commitments pursuant to its current long-term arrangements with Tower Semiconductor and other foundry partners of $48,073 and $15,287 for the years 2023 through 2024, respectively. The minimum purchase commitments with Tower Semiconductor are based on a 18-month rolling forecast and, accordingly, the 2024 minimum purchase commitments will likely increase. The Company has the option to purchase wafers in addition to the minimum commitment and, accordingly, actual purchases may be different than the amounts disclosed above. The Company exceeded its minimum purchase commitments in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Quality Claims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a party to various product quality claims in the normal course of business. See Note 1 for further information on the Company's warranty obligations.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Employment Agreements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has employment agreements with certain of its senior executives. These employment agreements provide incremental compensation in the event of termination. The Company does not provide any severance or other benefits specifically upon a change in control.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14 – Current Vulnerability Due to Certain Concentrations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Concentrations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customer represented greater than 10% of consolidated net revenue in 2022 or 2021.</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material portion of the Company's revenues are derived from the worldwide industrial, automotive, telecommunications, and computing markets. These markets have historically experienced wide variations in demand for end products. If demand for these end products should decrease, the producers thereof could reduce their purchases of the Company's products, which could have an adverse effect on the Company's results of operations and financial position.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subsidiaries and product lines have customers which comprise greater than 10% of the subsidiary's or product line's net revenues. The loss of one of these customers could have a material effect on the results of operations of the subsidiary or product line and financial position of the subsidiary, which could result in an impairment charge which could be material to the Company's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Risk Concentrations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Financial instruments with potential credit risk consist principally of cash and cash equivalents, short-term investments, accounts receivable, and notes receivable. Concentrations of credit risk with respect to receivables are generally limited due to the Company’s large number of customers and their dispersion across many countries and industries. As of December 31, 2022, one customer comprised 10.2% of the Company's accounts receivable balance. No customer comprised greater than 10% of the Company’s accounts receivable balance as of December 31, 2021. The Company continually monitors the credit risks associated with its accounts receivable and adjusts the allowance for uncollectible accounts accordingly. The credit risk exposure associated with the accounts receivable is limited by the allowance and is not considered material to the financial statements.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maintains cash and cash equivalents and short-term investments with various major financial institutions. The Company is exposed to credit risk related to the potential inability to access liquidity in financial institutions where its cash and cash equivalents and short-term investments are concentrated. As of December 31, 2022, the following financial institutions held over 10% of the Company’s combined cash and cash equivalents and short-term investments balance: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JPMorgan*</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MUFG Bank Ltd.*</w:t>
            </w:r>
          </w:p>
        </w:tc>
        <w:tc>
          <w:tcPr>
            <w:tcW w:w="5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6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Santander*</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62"/>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UniCredit Bank*</w:t>
            </w:r>
          </w:p>
        </w:tc>
        <w:tc>
          <w:tcPr>
            <w:tcW w:w="5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6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Leumi*</w:t>
            </w:r>
          </w:p>
        </w:tc>
        <w:tc>
          <w:tcPr>
            <w:tcW w:w="5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r>
    </w:tbl>
    <w:p>
      <w:pPr>
        <w:spacing w:after="0"/>
        <w:rPr>
          <w:sz w:val="20"/>
          <w:szCs w:val="20"/>
          <w:color w:val="auto"/>
        </w:rPr>
      </w:pPr>
      <w:r>
        <w:rPr>
          <w:rFonts w:ascii="Times New Roman" w:cs="Times New Roman" w:eastAsia="Times New Roman" w:hAnsi="Times New Roman"/>
          <w:sz w:val="12"/>
          <w:szCs w:val="12"/>
          <w:color w:val="auto"/>
        </w:rPr>
        <w:t>*Participant in Credit Facility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Supplies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production and sale of the Company’s products is reliant on a complex global interconnected supply chain of vendors, manufacturing facilities, third-party foundries and subcontractors, shipping partners, distributors, and end market customers. Disruption in one part of the supply chain could cause disruption in all other parts of the supply chain. Global shipping impacts several parts of the supply chain and the disruption experienced in recent years has, at times, negatively impacted the Company’s ability to manufacture products and to deliver them to customers.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most materials incorporated into the Company's products are available from a number of sources, certain materials, including plastics and metals, are produced in only a limited number of regions around the world or are available from only a limited number of suppliers. Suppliers periodically extend lead times, face capacity constraints, limit supplies, increase prices, experience quality issues, or encounter cybersecurity or other issues that can interrupt or increase the cost of our supply. The unavailability or reduced availability of these materials could require the Company to temporarily cease or reduce production or incur additional costs.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Customer requirements and certain laws pertaining to the responsible sourcing of materials, including tantalum, tungsten, tin, gold, and cobalt, all of which are used in the Company’s products, are increasing and becoming more stringent. Responsible sourcing efforts may result in increased prices and decreased availability of these materials.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Many of the metals used in the manufacture of the Company’s products, including gold, copper, and palladium, are traded on active markets and can be subject to significant price volatility. To ensure adequate supply and to provide cost certainty, the Company’s policy is to enter into short-term commitments to purchase defined portions of annual consumption of the raw materials utilized if market prices decline below budget. If after entering into these commitments, the market prices for these raw materials decline, losses are recognized on these adverse purchase commitments.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14 – Current Vulnerability Due to Certain Concentrations (continued)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Company's production can be disrupted by the unavailability of resources, such as water, energy, and gases. The unavailability or reduced availability of these resources could require the Company to reduce production or incur additional costs.</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uses third-party foundries and subcontractors for certain of its manufacturing activities, primarily wafer fabrication and the assembly and testing of finished goods. Establishing third-party contract manufacturer relationships can be time consuming and costly, and the number of qualified providers is limited. The Company's agreements with these manufacturers typically require it to commit to purchase services based on forecasted product needs, which may be inaccurate, and, in some cases, require the recognition of losses on these adverse purchase commitments. The Company's agreements may limit its ability to increase production, particularly during periods of growing demand for our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 Concentration</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has operations outside the United States, and approximately 71% of revenues earned during 2022 were derived from sales to customers outside the United States. Additionally, as of December 31, 2022, $916,041 of the Company’s cash and cash equivalents and short-term investments were held by subsidiaries outside of the United States. Some of the Company’s products are produced and cash and cash equivalents and short-term investments are held in countries which are subject to risks of political, economic, and military instability. This instability could result in wars, riots, nationalization of industry, currency fluctuations, and labor unrest. These conditions could have an adverse impact on the Company’s ability to operate in these regions and, depending on the extent and severity of these conditions, could materially and adversely affect the Company’s overall financial condition, operating results, and ability to access its liquidity when needed.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4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2022 the Company’s cash and cash equivalents and short-term investments were concentrated in the following countries:</w:t>
            </w:r>
          </w:p>
        </w:tc>
        <w:tc>
          <w:tcPr>
            <w:tcW w:w="1760" w:type="dxa"/>
            <w:vAlign w:val="bottom"/>
          </w:tcPr>
          <w:p>
            <w:pPr>
              <w:spacing w:after="0"/>
              <w:rPr>
                <w:sz w:val="16"/>
                <w:szCs w:val="16"/>
                <w:color w:val="auto"/>
              </w:rPr>
            </w:pPr>
          </w:p>
        </w:tc>
      </w:tr>
      <w:tr>
        <w:trPr>
          <w:trHeight w:val="136"/>
        </w:trPr>
        <w:tc>
          <w:tcPr>
            <w:tcW w:w="95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162"/>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Germany</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r>
      <w:tr>
        <w:trPr>
          <w:trHeight w:val="162"/>
        </w:trPr>
        <w:tc>
          <w:tcPr>
            <w:tcW w:w="954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62"/>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Singapore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62"/>
        </w:trPr>
        <w:tc>
          <w:tcPr>
            <w:tcW w:w="9540" w:type="dxa"/>
            <w:vAlign w:val="bottom"/>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62"/>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62"/>
        </w:trPr>
        <w:tc>
          <w:tcPr>
            <w:tcW w:w="9540" w:type="dxa"/>
            <w:vAlign w:val="bottom"/>
          </w:tcPr>
          <w:p>
            <w:pPr>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162"/>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Asia</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62"/>
        </w:trPr>
        <w:tc>
          <w:tcPr>
            <w:tcW w:w="9540" w:type="dxa"/>
            <w:vAlign w:val="bottom"/>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2"/>
        </w:trPr>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of the Company's non-U.S. subsidiaries have cash and cash equivalents and short-term investments deposited in U.S. financial institutions.</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Vishay has been in operation in Israel for 52 years. The Company has never experienced any material interruption in its operations attributable to these factors, in spite of several Middle East crises, including wars.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7" w:name="page108"/>
    <w:bookmarkEnd w:id="107"/>
    <w:p>
      <w:pPr>
        <w:jc w:val="center"/>
        <w:ind w:right="-7"/>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u w:val="single" w:color="auto"/>
          <w:color w:val="auto"/>
        </w:rPr>
        <w:t>Note 15 – Segment and Geographic Data</w:t>
      </w:r>
    </w:p>
    <w:p>
      <w:pPr>
        <w:spacing w:after="0" w:line="14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4"/>
          <w:szCs w:val="14"/>
          <w:color w:val="auto"/>
        </w:rPr>
        <w:t>Vishay is a global manufacturer and supplier of electronic components. Vishay operates, and its chief operating decision maker makes strategic and operating decisions with regards to assessing performance and allocating resources based on, six reporting segments: MOSFETs, Diodes, Optoelectronic Components, Resistors, Inductors, and Capacitors. These segments represent groupings of product lines based on their functionality:</w:t>
      </w:r>
    </w:p>
    <w:p>
      <w:pPr>
        <w:spacing w:after="0" w:line="105" w:lineRule="exact"/>
        <w:rPr>
          <w:sz w:val="20"/>
          <w:szCs w:val="20"/>
          <w:color w:val="auto"/>
        </w:rPr>
      </w:pPr>
    </w:p>
    <w:p>
      <w:pPr>
        <w:ind w:left="748" w:hanging="748"/>
        <w:spacing w:after="0"/>
        <w:tabs>
          <w:tab w:leader="none" w:pos="74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Metal oxide semiconductor field effect transistors ("MOSFETs") function as solid state switches to control power.</w:t>
      </w:r>
    </w:p>
    <w:p>
      <w:pPr>
        <w:spacing w:after="0" w:line="17" w:lineRule="exact"/>
        <w:rPr>
          <w:rFonts w:ascii="Times New Roman" w:cs="Times New Roman" w:eastAsia="Times New Roman" w:hAnsi="Times New Roman"/>
          <w:sz w:val="14"/>
          <w:szCs w:val="14"/>
          <w:color w:val="auto"/>
        </w:rPr>
      </w:pPr>
    </w:p>
    <w:p>
      <w:pPr>
        <w:ind w:left="748" w:right="20" w:hanging="748"/>
        <w:spacing w:after="0" w:line="241" w:lineRule="auto"/>
        <w:tabs>
          <w:tab w:leader="none" w:pos="74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Diodes route, regulate, and block radio frequency, analog, and power signals; protect systems from surges or electrostatic discharge damage; or provide electromagnetic interference filtering.</w:t>
      </w:r>
    </w:p>
    <w:p>
      <w:pPr>
        <w:ind w:left="748" w:hanging="748"/>
        <w:spacing w:after="0"/>
        <w:tabs>
          <w:tab w:leader="none" w:pos="74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Optoelectronic components emit light, detect light, or do both.</w:t>
      </w:r>
    </w:p>
    <w:p>
      <w:pPr>
        <w:spacing w:after="0" w:line="1" w:lineRule="exact"/>
        <w:rPr>
          <w:rFonts w:ascii="Times New Roman" w:cs="Times New Roman" w:eastAsia="Times New Roman" w:hAnsi="Times New Roman"/>
          <w:sz w:val="14"/>
          <w:szCs w:val="14"/>
          <w:color w:val="auto"/>
        </w:rPr>
      </w:pPr>
    </w:p>
    <w:p>
      <w:pPr>
        <w:ind w:left="748" w:hanging="748"/>
        <w:spacing w:after="0"/>
        <w:tabs>
          <w:tab w:leader="none" w:pos="74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Resistors are basic components used in all forms of electronic circuitry to adjust and regulate levels of voltage and current.</w:t>
      </w:r>
    </w:p>
    <w:p>
      <w:pPr>
        <w:spacing w:after="0" w:line="1" w:lineRule="exact"/>
        <w:rPr>
          <w:rFonts w:ascii="Times New Roman" w:cs="Times New Roman" w:eastAsia="Times New Roman" w:hAnsi="Times New Roman"/>
          <w:sz w:val="14"/>
          <w:szCs w:val="14"/>
          <w:color w:val="auto"/>
        </w:rPr>
      </w:pPr>
    </w:p>
    <w:p>
      <w:pPr>
        <w:ind w:left="748" w:hanging="748"/>
        <w:spacing w:after="0"/>
        <w:tabs>
          <w:tab w:leader="none" w:pos="74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Inductors use an internal magnetic field to change alternating current phase and resist alternating current.</w:t>
      </w:r>
    </w:p>
    <w:p>
      <w:pPr>
        <w:spacing w:after="0" w:line="1" w:lineRule="exact"/>
        <w:rPr>
          <w:rFonts w:ascii="Times New Roman" w:cs="Times New Roman" w:eastAsia="Times New Roman" w:hAnsi="Times New Roman"/>
          <w:sz w:val="14"/>
          <w:szCs w:val="14"/>
          <w:color w:val="auto"/>
        </w:rPr>
      </w:pPr>
    </w:p>
    <w:p>
      <w:pPr>
        <w:ind w:left="748" w:hanging="748"/>
        <w:spacing w:after="0"/>
        <w:tabs>
          <w:tab w:leader="none" w:pos="74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Capacitors store energy and discharge it when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-717550</wp:posOffset>
            </wp:positionV>
            <wp:extent cx="717804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717804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17804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6">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09"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Vishay's reporting segments generate substantially all of their revenue from product sales to the industrial, automotive, telecommunications, computing, consumer products, power supplies, military and aerospace, and medical end markets. An immaterial portion of revenues are from royalties.</w:t>
      </w:r>
    </w:p>
    <w:p>
      <w:pPr>
        <w:spacing w:after="0" w:line="90" w:lineRule="exact"/>
        <w:rPr>
          <w:sz w:val="20"/>
          <w:szCs w:val="20"/>
          <w:color w:val="auto"/>
        </w:rPr>
      </w:pPr>
    </w:p>
    <w:p>
      <w:pPr>
        <w:jc w:val="both"/>
        <w:ind w:left="8"/>
        <w:spacing w:after="0" w:line="248" w:lineRule="auto"/>
        <w:rPr>
          <w:sz w:val="20"/>
          <w:szCs w:val="20"/>
          <w:color w:val="auto"/>
        </w:rPr>
      </w:pPr>
      <w:r>
        <w:rPr>
          <w:rFonts w:ascii="Times New Roman" w:cs="Times New Roman" w:eastAsia="Times New Roman" w:hAnsi="Times New Roman"/>
          <w:sz w:val="14"/>
          <w:szCs w:val="14"/>
          <w:color w:val="auto"/>
        </w:rPr>
        <w:t>The Company’s Chief Operating Decision Maker uses operating income, exclusive of certain items ("segment operating income") to make decisions, allocate resources, and assess performance, and the Company thus considers segment operating income to be its measure of segment profit or loss. Only dedicated, direct selling, general, and administrative expenses of the segments are included in the calculation of segment operating income. The Company's calculation of segment operating income excludes selling, general, and administrative costs of its global operations, sales and marketing, information systems, finance, and administration groups, as well as restructuring and severance costs, the direct impact of the COVID-19 pandemic, and other items affecting comparability. Management believes that evaluating segment performance excluding such items is meaningful because it provides insight with respect to intrinsic operating results of the Company. These items represent reconciling items between segment operating income and consolidated operating income. Business segment assets are the owned or allocated assets used by each business.</w:t>
      </w:r>
    </w:p>
    <w:p>
      <w:pPr>
        <w:spacing w:after="0" w:line="200" w:lineRule="exact"/>
        <w:rPr>
          <w:sz w:val="20"/>
          <w:szCs w:val="20"/>
          <w:color w:val="auto"/>
        </w:rPr>
      </w:pPr>
    </w:p>
    <w:p>
      <w:pPr>
        <w:spacing w:after="0" w:line="3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Note 15 – Segment and Geographic Data (continued)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35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tables set forth business segment information:</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Optoelectronic</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Corporate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MOSFETs</w:t>
            </w:r>
          </w:p>
        </w:tc>
        <w:tc>
          <w:tcPr>
            <w:tcW w:w="16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Diodes</w:t>
            </w:r>
          </w:p>
        </w:tc>
        <w:tc>
          <w:tcPr>
            <w:tcW w:w="8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Resistors</w:t>
            </w:r>
          </w:p>
        </w:tc>
        <w:tc>
          <w:tcPr>
            <w:tcW w:w="120" w:type="dxa"/>
            <w:vAlign w:val="bottom"/>
          </w:tcPr>
          <w:p>
            <w:pPr>
              <w:spacing w:after="0"/>
              <w:rPr>
                <w:sz w:val="15"/>
                <w:szCs w:val="15"/>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Inductors</w:t>
            </w:r>
          </w:p>
        </w:tc>
        <w:tc>
          <w:tcPr>
            <w:tcW w:w="160" w:type="dxa"/>
            <w:vAlign w:val="bottom"/>
          </w:tcPr>
          <w:p>
            <w:pPr>
              <w:spacing w:after="0"/>
              <w:rPr>
                <w:sz w:val="15"/>
                <w:szCs w:val="15"/>
                <w:color w:val="auto"/>
              </w:rPr>
            </w:pPr>
          </w:p>
        </w:tc>
        <w:tc>
          <w:tcPr>
            <w:tcW w:w="9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Capacitors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0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December 31, 2022:</w:t>
            </w: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762,260</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765,220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296,384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832,806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331,086</w:t>
            </w:r>
          </w:p>
        </w:tc>
        <w:tc>
          <w:tcPr>
            <w:tcW w:w="5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509,645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3,497,401</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228,692</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176,422</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85,456</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235,259</w:t>
            </w:r>
          </w:p>
        </w:tc>
        <w:tc>
          <w:tcPr>
            <w:tcW w:w="12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93,453</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104,810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(6,661)</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917,431</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30,551</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40,014</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14,065</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34,903</w:t>
            </w: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14,927</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14,286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7,118</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155,864</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90,297</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69,126</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27,776</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76,702</w:t>
            </w:r>
          </w:p>
        </w:tc>
        <w:tc>
          <w:tcPr>
            <w:tcW w:w="12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35,102</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15,214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11,091</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325,308</w:t>
            </w: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spacing w:after="0"/>
              <w:rPr>
                <w:sz w:val="14"/>
                <w:szCs w:val="14"/>
                <w:color w:val="auto"/>
              </w:rPr>
            </w:pPr>
          </w:p>
        </w:tc>
        <w:tc>
          <w:tcPr>
            <w:tcW w:w="56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14"/>
                <w:szCs w:val="14"/>
                <w:color w:val="auto"/>
              </w:rPr>
            </w:pPr>
          </w:p>
        </w:tc>
        <w:tc>
          <w:tcPr>
            <w:tcW w:w="2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 as of December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672,048</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814,017</w:t>
            </w: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385,388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861,870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322,893</w:t>
            </w:r>
          </w:p>
        </w:tc>
        <w:tc>
          <w:tcPr>
            <w:tcW w:w="5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496,924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312,513</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3,865,653</w:t>
            </w: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Year ended December 31, 2021:</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667,998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709,416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302,714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752,554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335,638</w:t>
            </w:r>
          </w:p>
        </w:tc>
        <w:tc>
          <w:tcPr>
            <w:tcW w:w="5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472,167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3,240,487</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148,652</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145,814</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82,378</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190,953</w:t>
            </w:r>
          </w:p>
        </w:tc>
        <w:tc>
          <w:tcPr>
            <w:tcW w:w="12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97,482</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85,342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750,621</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30,257</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40,406</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14,585</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34,344</w:t>
            </w: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14,448</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17,129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8,078</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159,247</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44,227</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45,772</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25,068</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57,729</w:t>
            </w:r>
          </w:p>
        </w:tc>
        <w:tc>
          <w:tcPr>
            <w:tcW w:w="12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24,377</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13,099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8,100</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218,372</w:t>
            </w: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spacing w:after="0"/>
              <w:rPr>
                <w:sz w:val="14"/>
                <w:szCs w:val="14"/>
                <w:color w:val="auto"/>
              </w:rPr>
            </w:pPr>
          </w:p>
        </w:tc>
        <w:tc>
          <w:tcPr>
            <w:tcW w:w="56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14"/>
                <w:szCs w:val="14"/>
                <w:color w:val="auto"/>
              </w:rPr>
            </w:pPr>
          </w:p>
        </w:tc>
        <w:tc>
          <w:tcPr>
            <w:tcW w:w="2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 as of December 31,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503,937</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815,751</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377,815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783,390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355,353</w:t>
            </w:r>
          </w:p>
        </w:tc>
        <w:tc>
          <w:tcPr>
            <w:tcW w:w="5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496,129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210,882</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3,543,257</w:t>
            </w: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Year ended December 31, 2020:</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revenues</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501,380</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502,548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236,616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606,183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293,629</w:t>
            </w:r>
          </w:p>
        </w:tc>
        <w:tc>
          <w:tcPr>
            <w:tcW w:w="5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361,542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2,501,898</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76,548</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69,663</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50,369</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130,700</w:t>
            </w:r>
          </w:p>
        </w:tc>
        <w:tc>
          <w:tcPr>
            <w:tcW w:w="12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82,472</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50,753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(4,563)</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455,942</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30,835</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39,380</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16,003</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32,531</w:t>
            </w:r>
          </w:p>
        </w:tc>
        <w:tc>
          <w:tcPr>
            <w:tcW w:w="1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13,821</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17,349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8,198</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158,117</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00" w:type="dxa"/>
            <w:vAlign w:val="bottom"/>
          </w:tcPr>
          <w:p>
            <w:pPr>
              <w:spacing w:after="0"/>
              <w:rPr>
                <w:sz w:val="14"/>
                <w:szCs w:val="14"/>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18,621</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31,960</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12,873</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21,298</w:t>
            </w:r>
          </w:p>
        </w:tc>
        <w:tc>
          <w:tcPr>
            <w:tcW w:w="12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20,730</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11,198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6,919</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123,599</w:t>
            </w:r>
          </w:p>
        </w:tc>
        <w:tc>
          <w:tcPr>
            <w:tcW w:w="0" w:type="dxa"/>
            <w:vAlign w:val="bottom"/>
          </w:tcPr>
          <w:p>
            <w:pPr>
              <w:spacing w:after="0"/>
              <w:rPr>
                <w:sz w:val="1"/>
                <w:szCs w:val="1"/>
                <w:color w:val="auto"/>
              </w:rPr>
            </w:pPr>
          </w:p>
        </w:tc>
      </w:tr>
      <w:tr>
        <w:trPr>
          <w:trHeight w:val="162"/>
        </w:trPr>
        <w:tc>
          <w:tcPr>
            <w:tcW w:w="1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spacing w:after="0"/>
              <w:rPr>
                <w:sz w:val="14"/>
                <w:szCs w:val="14"/>
                <w:color w:val="auto"/>
              </w:rPr>
            </w:pPr>
          </w:p>
        </w:tc>
        <w:tc>
          <w:tcPr>
            <w:tcW w:w="56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200" w:type="dxa"/>
            <w:vAlign w:val="bottom"/>
            <w:gridSpan w:val="2"/>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14"/>
                <w:szCs w:val="14"/>
                <w:color w:val="auto"/>
              </w:rPr>
            </w:pPr>
          </w:p>
        </w:tc>
        <w:tc>
          <w:tcPr>
            <w:tcW w:w="2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3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color w:val="auto"/>
              </w:rPr>
              <w:t>Total Assets as of December 31, 2020: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3"/>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447,867</w:t>
            </w:r>
          </w:p>
        </w:tc>
        <w:tc>
          <w:tcPr>
            <w:tcW w:w="160" w:type="dxa"/>
            <w:vAlign w:val="bottom"/>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40"/>
              <w:spacing w:after="0" w:line="144" w:lineRule="exact"/>
              <w:rPr>
                <w:sz w:val="20"/>
                <w:szCs w:val="20"/>
                <w:color w:val="auto"/>
              </w:rPr>
            </w:pPr>
            <w:r>
              <w:rPr>
                <w:rFonts w:ascii="Times New Roman" w:cs="Times New Roman" w:eastAsia="Times New Roman" w:hAnsi="Times New Roman"/>
                <w:sz w:val="14"/>
                <w:szCs w:val="14"/>
                <w:color w:val="auto"/>
              </w:rPr>
              <w:t>704,606</w:t>
            </w:r>
          </w:p>
        </w:tc>
        <w:tc>
          <w:tcPr>
            <w:tcW w:w="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341,517</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693,251</w:t>
            </w:r>
          </w:p>
        </w:tc>
        <w:tc>
          <w:tcPr>
            <w:tcW w:w="1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tcPr>
          <w:p>
            <w:pPr>
              <w:jc w:val="right"/>
              <w:ind w:right="60"/>
              <w:spacing w:after="0" w:line="144" w:lineRule="exact"/>
              <w:rPr>
                <w:sz w:val="20"/>
                <w:szCs w:val="20"/>
                <w:color w:val="auto"/>
              </w:rPr>
            </w:pPr>
            <w:r>
              <w:rPr>
                <w:rFonts w:ascii="Times New Roman" w:cs="Times New Roman" w:eastAsia="Times New Roman" w:hAnsi="Times New Roman"/>
                <w:sz w:val="14"/>
                <w:szCs w:val="14"/>
                <w:color w:val="auto"/>
              </w:rPr>
              <w:t>330,092</w:t>
            </w:r>
          </w:p>
        </w:tc>
        <w:tc>
          <w:tcPr>
            <w:tcW w:w="560" w:type="dxa"/>
            <w:vAlign w:val="bottom"/>
            <w:gridSpan w:val="2"/>
          </w:tcPr>
          <w:p>
            <w:pPr>
              <w:jc w:val="right"/>
              <w:ind w:right="248"/>
              <w:spacing w:after="0" w:line="144"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3"/>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438,906</w:t>
            </w:r>
          </w:p>
        </w:tc>
        <w:tc>
          <w:tcPr>
            <w:tcW w:w="20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5"/>
          </w:tcPr>
          <w:p>
            <w:pPr>
              <w:jc w:val="right"/>
              <w:ind w:right="220"/>
              <w:spacing w:after="0" w:line="144" w:lineRule="exact"/>
              <w:rPr>
                <w:sz w:val="20"/>
                <w:szCs w:val="20"/>
                <w:color w:val="auto"/>
              </w:rPr>
            </w:pPr>
            <w:r>
              <w:rPr>
                <w:rFonts w:ascii="Times New Roman" w:cs="Times New Roman" w:eastAsia="Times New Roman" w:hAnsi="Times New Roman"/>
                <w:sz w:val="14"/>
                <w:szCs w:val="14"/>
                <w:color w:val="auto"/>
              </w:rPr>
              <w:t>198,234</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20"/>
              <w:spacing w:after="0" w:line="144" w:lineRule="exact"/>
              <w:rPr>
                <w:sz w:val="20"/>
                <w:szCs w:val="20"/>
                <w:color w:val="auto"/>
              </w:rPr>
            </w:pPr>
            <w:r>
              <w:rPr>
                <w:rFonts w:ascii="Times New Roman" w:cs="Times New Roman" w:eastAsia="Times New Roman" w:hAnsi="Times New Roman"/>
                <w:sz w:val="14"/>
                <w:szCs w:val="14"/>
                <w:color w:val="auto"/>
              </w:rPr>
              <w:t>3,154,473</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11"/>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917,431</w:t>
            </w:r>
          </w:p>
        </w:tc>
        <w:tc>
          <w:tcPr>
            <w:tcW w:w="5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750,621</w:t>
            </w:r>
          </w:p>
        </w:tc>
        <w:tc>
          <w:tcPr>
            <w:tcW w:w="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455,942</w:t>
            </w: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Restructuring and Severance Costs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162"/>
        </w:trPr>
        <w:tc>
          <w:tcPr>
            <w:tcW w:w="58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Impact of COVID-19 Pandemic on Selling, General, and Administrative Expenses</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(546)</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1,451</w:t>
            </w:r>
          </w:p>
        </w:tc>
        <w:tc>
          <w:tcPr>
            <w:tcW w:w="0" w:type="dxa"/>
            <w:vAlign w:val="bottom"/>
          </w:tcPr>
          <w:p>
            <w:pPr>
              <w:spacing w:after="0"/>
              <w:rPr>
                <w:sz w:val="1"/>
                <w:szCs w:val="1"/>
                <w:color w:val="auto"/>
              </w:rPr>
            </w:pPr>
          </w:p>
        </w:tc>
      </w:tr>
      <w:tr>
        <w:trPr>
          <w:trHeight w:val="162"/>
        </w:trPr>
        <w:tc>
          <w:tcPr>
            <w:tcW w:w="35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Unallocated Selling, General, and Administrative Expenses</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(301,399)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(282,819)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(246,940)</w:t>
            </w:r>
          </w:p>
        </w:tc>
        <w:tc>
          <w:tcPr>
            <w:tcW w:w="0" w:type="dxa"/>
            <w:vAlign w:val="bottom"/>
          </w:tcPr>
          <w:p>
            <w:pPr>
              <w:spacing w:after="0"/>
              <w:rPr>
                <w:sz w:val="1"/>
                <w:szCs w:val="1"/>
                <w:color w:val="auto"/>
              </w:rPr>
            </w:pPr>
          </w:p>
        </w:tc>
      </w:tr>
      <w:tr>
        <w:trPr>
          <w:trHeight w:val="16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Operating Income (Loss)</w:t>
            </w: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615,486</w:t>
            </w:r>
          </w:p>
        </w:tc>
        <w:tc>
          <w:tcPr>
            <w:tcW w:w="24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467,802</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209,710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Unallocated Other Income (Expense)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(21,981)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(33,192)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(51,382)</w:t>
            </w:r>
          </w:p>
        </w:tc>
        <w:tc>
          <w:tcPr>
            <w:tcW w:w="0" w:type="dxa"/>
            <w:vAlign w:val="bottom"/>
          </w:tcPr>
          <w:p>
            <w:pPr>
              <w:spacing w:after="0"/>
              <w:rPr>
                <w:sz w:val="1"/>
                <w:szCs w:val="1"/>
                <w:color w:val="auto"/>
              </w:rPr>
            </w:pPr>
          </w:p>
        </w:tc>
      </w:tr>
      <w:tr>
        <w:trPr>
          <w:trHeight w:val="200"/>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Income Before Taxes</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593,505</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434,610</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158,328</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broad line of products that it sells to OEMs, EMS companies, and independent distributors. The distribution of sales by customer type is shown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32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6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Distributors</w:t>
            </w:r>
          </w:p>
        </w:tc>
        <w:tc>
          <w:tcPr>
            <w:tcW w:w="4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2,019,842</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1,902,499</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1,328,953</w:t>
            </w:r>
          </w:p>
        </w:tc>
        <w:tc>
          <w:tcPr>
            <w:tcW w:w="120" w:type="dxa"/>
            <w:vAlign w:val="bottom"/>
            <w:shd w:val="clear" w:color="auto" w:fill="CCEEFF"/>
          </w:tcPr>
          <w:p>
            <w:pPr>
              <w:spacing w:after="0"/>
              <w:rPr>
                <w:sz w:val="13"/>
                <w:szCs w:val="13"/>
                <w:color w:val="auto"/>
              </w:rPr>
            </w:pPr>
          </w:p>
        </w:tc>
      </w:tr>
      <w:tr>
        <w:trPr>
          <w:trHeight w:val="162"/>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OEMs</w:t>
            </w:r>
          </w:p>
        </w:tc>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1,229,114</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1,138,569</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1,003,090</w:t>
            </w:r>
          </w:p>
        </w:tc>
      </w:tr>
      <w:tr>
        <w:trPr>
          <w:trHeight w:val="16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EMS companies</w:t>
            </w:r>
          </w:p>
        </w:tc>
        <w:tc>
          <w:tcPr>
            <w:tcW w:w="4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248,445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199,419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169,855</w:t>
            </w:r>
          </w:p>
        </w:tc>
      </w:tr>
      <w:tr>
        <w:trPr>
          <w:trHeight w:val="20"/>
        </w:trPr>
        <w:tc>
          <w:tcPr>
            <w:tcW w:w="3240" w:type="dxa"/>
            <w:vAlign w:val="bottom"/>
            <w:shd w:val="clear" w:color="auto" w:fill="CCEEFF"/>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32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3,497,401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3,240,487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2,501,898</w:t>
            </w:r>
          </w:p>
        </w:tc>
      </w:tr>
      <w:tr>
        <w:trPr>
          <w:trHeight w:val="20"/>
        </w:trPr>
        <w:tc>
          <w:tcPr>
            <w:tcW w:w="3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6"/>
        </w:trPr>
        <w:tc>
          <w:tcPr>
            <w:tcW w:w="3240" w:type="dxa"/>
            <w:vAlign w:val="bottom"/>
          </w:tcPr>
          <w:p>
            <w:pPr>
              <w:spacing w:after="0"/>
              <w:rPr>
                <w:sz w:val="21"/>
                <w:szCs w:val="21"/>
                <w:color w:val="auto"/>
              </w:rPr>
            </w:pPr>
          </w:p>
        </w:tc>
        <w:tc>
          <w:tcPr>
            <w:tcW w:w="4360" w:type="dxa"/>
            <w:vAlign w:val="bottom"/>
            <w:gridSpan w:val="2"/>
          </w:tcPr>
          <w:p>
            <w:pPr>
              <w:jc w:val="right"/>
              <w:ind w:right="1768"/>
              <w:spacing w:after="0"/>
              <w:rPr>
                <w:sz w:val="20"/>
                <w:szCs w:val="20"/>
                <w:color w:val="auto"/>
              </w:rPr>
            </w:pPr>
            <w:r>
              <w:rPr>
                <w:rFonts w:ascii="Times New Roman" w:cs="Times New Roman" w:eastAsia="Times New Roman" w:hAnsi="Times New Roman"/>
                <w:sz w:val="12"/>
                <w:szCs w:val="12"/>
                <w:color w:val="auto"/>
              </w:rPr>
              <w:t>F-45</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
        </w:trPr>
        <w:tc>
          <w:tcPr>
            <w:tcW w:w="324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15 – Segment and Geographic Data (continued)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32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9"/>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revenues were attributable to customers in the following regions: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8"/>
        </w:trPr>
        <w:tc>
          <w:tcPr>
            <w:tcW w:w="32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32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42"/>
        </w:trPr>
        <w:tc>
          <w:tcPr>
            <w:tcW w:w="32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Asia</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1,347,893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1,392,267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1,028,073</w:t>
            </w:r>
          </w:p>
        </w:tc>
      </w:tr>
      <w:tr>
        <w:trPr>
          <w:trHeight w:val="162"/>
        </w:trPr>
        <w:tc>
          <w:tcPr>
            <w:tcW w:w="7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Europe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1,146,898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1,072,025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854,847</w:t>
            </w:r>
          </w:p>
        </w:tc>
      </w:tr>
      <w:tr>
        <w:trPr>
          <w:trHeight w:val="16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Americas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1,002,610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776,195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618,978</w:t>
            </w:r>
          </w:p>
        </w:tc>
      </w:tr>
      <w:tr>
        <w:trPr>
          <w:trHeight w:val="20"/>
        </w:trPr>
        <w:tc>
          <w:tcPr>
            <w:tcW w:w="322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32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3,497,401</w:t>
            </w:r>
          </w:p>
        </w:tc>
        <w:tc>
          <w:tcPr>
            <w:tcW w:w="240" w:type="dxa"/>
            <w:vAlign w:val="bottom"/>
          </w:tcPr>
          <w:p>
            <w:pPr>
              <w:spacing w:after="0"/>
              <w:rPr>
                <w:sz w:val="13"/>
                <w:szCs w:val="13"/>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3,240,487</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2,501,898</w:t>
            </w:r>
          </w:p>
        </w:tc>
      </w:tr>
      <w:tr>
        <w:trPr>
          <w:trHeight w:val="20"/>
        </w:trPr>
        <w:tc>
          <w:tcPr>
            <w:tcW w:w="32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generates substantially all of its revenue from product sales to end customers in the industrial, automotive, telecommunications, computing, consumer products, power supplies, military and aerospace, and medical end markets. Sales by end market are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1,377,043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1,269,150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864,032</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Automotive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1,067,499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994,039</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796,853</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Computing</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225,746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245,463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204,166</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Military and Aerospace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215,078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170,484</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162,484</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Products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182,884</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165,384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118,896</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Power Supplies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175,456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165,190</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116,966</w:t>
            </w: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Medical</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133,808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130,126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129,500</w:t>
            </w: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Telecommunications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119,887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100,651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109,001</w:t>
            </w:r>
          </w:p>
        </w:tc>
      </w:tr>
      <w:tr>
        <w:trPr>
          <w:trHeight w:val="200"/>
        </w:trPr>
        <w:tc>
          <w:tcPr>
            <w:tcW w:w="7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3,497,401</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3,240,487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2,501,898</w:t>
            </w:r>
          </w:p>
        </w:tc>
        <w:tc>
          <w:tcPr>
            <w:tcW w:w="120" w:type="dxa"/>
            <w:vAlign w:val="bottom"/>
            <w:tcBorders>
              <w:bottom w:val="single" w:sz="8" w:color="CCEEFF"/>
            </w:tcBorders>
            <w:shd w:val="clear" w:color="auto" w:fill="CCEEFF"/>
          </w:tcPr>
          <w:p>
            <w:pPr>
              <w:spacing w:after="0"/>
              <w:rPr>
                <w:sz w:val="17"/>
                <w:szCs w:val="17"/>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net revenues based on revenues generated by subsidiaries located within the identified geographic area: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6"/>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400" w:type="dxa"/>
            <w:vAlign w:val="bottom"/>
            <w:gridSpan w:val="2"/>
          </w:tcPr>
          <w:p>
            <w:pPr>
              <w:spacing w:after="0"/>
              <w:rPr>
                <w:sz w:val="13"/>
                <w:szCs w:val="13"/>
                <w:color w:val="auto"/>
              </w:rPr>
            </w:pPr>
          </w:p>
        </w:tc>
        <w:tc>
          <w:tcPr>
            <w:tcW w:w="11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974,503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750,862</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592,460</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1,005,796</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976,907</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772,194</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142,454</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134,773</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103,475</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25,844</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16,609</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Asia</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1,348,804</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1,357,583</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1,017,160</w:t>
            </w:r>
          </w:p>
        </w:tc>
        <w:tc>
          <w:tcPr>
            <w:tcW w:w="0" w:type="dxa"/>
            <w:vAlign w:val="bottom"/>
          </w:tcPr>
          <w:p>
            <w:pPr>
              <w:spacing w:after="0"/>
              <w:rPr>
                <w:sz w:val="1"/>
                <w:szCs w:val="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3,497,401</w:t>
            </w: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3,240,487</w:t>
            </w:r>
          </w:p>
        </w:tc>
        <w:tc>
          <w:tcPr>
            <w:tcW w:w="220" w:type="dxa"/>
            <w:vAlign w:val="bottom"/>
          </w:tcPr>
          <w:p>
            <w:pPr>
              <w:spacing w:after="0"/>
              <w:rPr>
                <w:sz w:val="13"/>
                <w:szCs w:val="13"/>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2,501,898</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property and equipment based on physical location:</w:t>
            </w:r>
          </w:p>
        </w:tc>
        <w:tc>
          <w:tcPr>
            <w:tcW w:w="2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20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144,112</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115,036</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229,449</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203,414</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Europe</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118,672</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110,859</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87,174</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76,057</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People's Republic of China</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250,669</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218,721</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Republic of China (Taiwan)</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192,456</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168,165</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Asia</w:t>
            </w:r>
          </w:p>
        </w:tc>
        <w:tc>
          <w:tcPr>
            <w:tcW w:w="2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98,332</w:t>
            </w: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81,741</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9,595</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5,486</w:t>
            </w:r>
          </w:p>
        </w:tc>
        <w:tc>
          <w:tcPr>
            <w:tcW w:w="0" w:type="dxa"/>
            <w:vAlign w:val="bottom"/>
          </w:tcPr>
          <w:p>
            <w:pPr>
              <w:spacing w:after="0"/>
              <w:rPr>
                <w:sz w:val="1"/>
                <w:szCs w:val="1"/>
                <w:color w:val="auto"/>
              </w:rPr>
            </w:pPr>
          </w:p>
        </w:tc>
      </w:tr>
      <w:tr>
        <w:trPr>
          <w:trHeight w:val="200"/>
        </w:trPr>
        <w:tc>
          <w:tcPr>
            <w:tcW w:w="520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1,130,459</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979,479</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2400" w:type="dxa"/>
            <w:vAlign w:val="bottom"/>
            <w:gridSpan w:val="2"/>
          </w:tcPr>
          <w:p>
            <w:pPr>
              <w:jc w:val="right"/>
              <w:ind w:right="1768"/>
              <w:spacing w:after="0"/>
              <w:rPr>
                <w:sz w:val="20"/>
                <w:szCs w:val="20"/>
                <w:color w:val="auto"/>
              </w:rPr>
            </w:pPr>
            <w:r>
              <w:rPr>
                <w:rFonts w:ascii="Times New Roman" w:cs="Times New Roman" w:eastAsia="Times New Roman" w:hAnsi="Times New Roman"/>
                <w:sz w:val="12"/>
                <w:szCs w:val="12"/>
                <w:color w:val="auto"/>
              </w:rPr>
              <w:t>F-46</w:t>
            </w: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52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1" w:right="29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16 – Earnings Per Share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restricted stock units (see Note 12), convertible debt instruments (see Note 6), and other potentially dilutive securities.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table sets forth the computation of basic and diluted earnings per share attributable to Vishay stockholders </w:t>
      </w:r>
      <w:r>
        <w:rPr>
          <w:rFonts w:ascii="Times New Roman" w:cs="Times New Roman" w:eastAsia="Times New Roman" w:hAnsi="Times New Roman"/>
          <w:sz w:val="14"/>
          <w:szCs w:val="14"/>
          <w:i w:val="1"/>
          <w:iCs w:val="1"/>
          <w:color w:val="auto"/>
        </w:rPr>
        <w:t>(shares 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304"/>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earnings attributable to Vishay stockholders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428,810</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297,970</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122,923</w:t>
            </w: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Denominator for basic earnings per share: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 average shares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143,176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144,796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144,641</w:t>
            </w:r>
          </w:p>
        </w:tc>
      </w:tr>
      <w:tr>
        <w:trPr>
          <w:trHeight w:val="162"/>
        </w:trPr>
        <w:tc>
          <w:tcPr>
            <w:tcW w:w="7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Outstanding phantom stock units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209</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195</w:t>
            </w:r>
          </w:p>
        </w:tc>
      </w:tr>
      <w:tr>
        <w:trPr>
          <w:trHeight w:val="160"/>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Adjusted weighted average shares - basic</w:t>
            </w: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143,399</w:t>
            </w:r>
          </w:p>
        </w:tc>
        <w:tc>
          <w:tcPr>
            <w:tcW w:w="24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145,005</w:t>
            </w: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144,836</w:t>
            </w:r>
          </w:p>
        </w:tc>
        <w:tc>
          <w:tcPr>
            <w:tcW w:w="120" w:type="dxa"/>
            <w:vAlign w:val="bottom"/>
            <w:shd w:val="clear" w:color="auto" w:fill="CCEEFF"/>
          </w:tcPr>
          <w:p>
            <w:pPr>
              <w:spacing w:after="0"/>
              <w:rPr>
                <w:sz w:val="13"/>
                <w:szCs w:val="13"/>
                <w:color w:val="auto"/>
              </w:rPr>
            </w:pPr>
          </w:p>
        </w:tc>
      </w:tr>
      <w:tr>
        <w:trPr>
          <w:trHeight w:val="144"/>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stock units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488</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362</w:t>
            </w:r>
          </w:p>
        </w:tc>
      </w:tr>
      <w:tr>
        <w:trPr>
          <w:trHeight w:val="16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Convertible debt instruments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Dilutive potential common shares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490</w:t>
            </w: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392</w:t>
            </w:r>
          </w:p>
        </w:tc>
      </w:tr>
      <w:tr>
        <w:trPr>
          <w:trHeight w:val="142"/>
        </w:trPr>
        <w:tc>
          <w:tcPr>
            <w:tcW w:w="7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Denominator for diluted earnings per share: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2"/>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Adjusted weighted average shares - diluted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143,915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145,495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145,228</w:t>
            </w:r>
          </w:p>
        </w:tc>
      </w:tr>
      <w:tr>
        <w:trPr>
          <w:trHeight w:val="120"/>
        </w:trPr>
        <w:tc>
          <w:tcPr>
            <w:tcW w:w="73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7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62"/>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Basic earnings per share attributable to Vishay stockholders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2.99</w:t>
            </w:r>
          </w:p>
        </w:tc>
        <w:tc>
          <w:tcPr>
            <w:tcW w:w="2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0.85</w:t>
            </w:r>
          </w:p>
        </w:tc>
      </w:tr>
      <w:tr>
        <w:trPr>
          <w:trHeight w:val="144"/>
        </w:trPr>
        <w:tc>
          <w:tcPr>
            <w:tcW w:w="7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spacing w:after="0"/>
              <w:rPr>
                <w:sz w:val="12"/>
                <w:szCs w:val="12"/>
                <w:color w:val="auto"/>
              </w:rPr>
            </w:pPr>
          </w:p>
        </w:tc>
      </w:tr>
      <w:tr>
        <w:trPr>
          <w:trHeight w:val="19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share attributable to Vishay stockholders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2.98</w:t>
            </w:r>
          </w:p>
        </w:tc>
        <w:tc>
          <w:tcPr>
            <w:tcW w:w="2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2.05</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0.85</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Diluted earnings per share for the years presented do not reflect the following weighted average potential common shares, as the effect would be antidilutive </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gridSpan w:val="5"/>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7340" w:type="dxa"/>
            <w:vAlign w:val="bottom"/>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304"/>
        </w:trPr>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debt instruments: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8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Convertible Senior Debentures, due 2041</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r>
      <w:tr>
        <w:trPr>
          <w:trHeight w:val="162"/>
        </w:trPr>
        <w:tc>
          <w:tcPr>
            <w:tcW w:w="8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Convertible Senior Notes, due 2025</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17,062</w:t>
            </w:r>
          </w:p>
        </w:tc>
      </w:tr>
      <w:tr>
        <w:trPr>
          <w:trHeight w:val="162"/>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other</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279</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341</w:t>
            </w:r>
          </w:p>
        </w:tc>
      </w:tr>
    </w:tbl>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the average market price of Vishay common stock is less than the effective conversion price of the convertible senior notes due 2025, no shares are included in the diluted earnings per share computation for the convertible senior notes due 2025. Upon Vishay exercising its existing right to legally amend the indenture governing the convertible senior notes due 2025, Vishay will satisfy its conversion obligations by paying $1 cash per $1 principal amount of converted notes and settle any additional amounts due in common stock. Accordingly, the notes are not anti-dilutive when the average market price of Vishay common stock is less than the effective conversion price of the convertible senior notes due 2025.</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17 – Additional Cash Flow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effects of businesses acquired, consist of the following</w:t>
      </w:r>
      <w:r>
        <w:rPr>
          <w:rFonts w:ascii="Times New Roman" w:cs="Times New Roman" w:eastAsia="Times New Roman" w:hAnsi="Times New Roman"/>
          <w:sz w:val="14"/>
          <w:szCs w:val="14"/>
          <w:i w:val="1"/>
          <w:iCs w:val="1"/>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0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r>
      <w:tr>
        <w:trPr>
          <w:trHeight w:val="160"/>
        </w:trPr>
        <w:tc>
          <w:tcPr>
            <w:tcW w:w="4040" w:type="dxa"/>
            <w:vAlign w:val="bottom"/>
          </w:tcPr>
          <w:p>
            <w:pPr>
              <w:spacing w:after="0"/>
              <w:rPr>
                <w:sz w:val="13"/>
                <w:szCs w:val="13"/>
                <w:color w:val="auto"/>
              </w:rPr>
            </w:pPr>
          </w:p>
        </w:tc>
        <w:tc>
          <w:tcPr>
            <w:tcW w:w="3560" w:type="dxa"/>
            <w:vAlign w:val="bottom"/>
            <w:gridSpan w:val="2"/>
          </w:tcPr>
          <w:p>
            <w:pPr>
              <w:spacing w:after="0"/>
              <w:rPr>
                <w:sz w:val="13"/>
                <w:szCs w:val="13"/>
                <w:color w:val="auto"/>
              </w:rPr>
            </w:pPr>
          </w:p>
        </w:tc>
        <w:tc>
          <w:tcPr>
            <w:tcW w:w="11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35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(26,696)</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(67,707)</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4,662</w:t>
            </w:r>
          </w:p>
        </w:tc>
      </w:tr>
      <w:tr>
        <w:trPr>
          <w:trHeight w:val="162"/>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(119,595)</w:t>
            </w:r>
          </w:p>
        </w:tc>
        <w:tc>
          <w:tcPr>
            <w:tcW w:w="2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(121,492)</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(24,204)</w:t>
            </w:r>
          </w:p>
        </w:tc>
      </w:tr>
      <w:tr>
        <w:trPr>
          <w:trHeight w:val="1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(11,380)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(35,377)</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12,692</w:t>
            </w:r>
          </w:p>
        </w:tc>
      </w:tr>
      <w:tr>
        <w:trPr>
          <w:trHeight w:val="162"/>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(61,665)</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61,481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18,485</w:t>
            </w:r>
          </w:p>
        </w:tc>
      </w:tr>
      <w:tr>
        <w:trPr>
          <w:trHeight w:val="1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77,223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79,683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6,157</w:t>
            </w:r>
          </w:p>
        </w:tc>
      </w:tr>
      <w:tr>
        <w:trPr>
          <w:trHeight w:val="20"/>
        </w:trPr>
        <w:tc>
          <w:tcPr>
            <w:tcW w:w="404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operating assets and liabilities</w:t>
            </w:r>
          </w:p>
        </w:tc>
        <w:tc>
          <w:tcPr>
            <w:tcW w:w="3300" w:type="dxa"/>
            <w:vAlign w:val="bottom"/>
          </w:tcPr>
          <w:p>
            <w:pPr>
              <w:spacing w:after="0"/>
              <w:rPr>
                <w:sz w:val="13"/>
                <w:szCs w:val="1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(142,113)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(83,412)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17,792</w:t>
            </w:r>
          </w:p>
        </w:tc>
      </w:tr>
      <w:tr>
        <w:trPr>
          <w:trHeight w:val="20"/>
        </w:trPr>
        <w:tc>
          <w:tcPr>
            <w:tcW w:w="40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0"/>
        </w:trPr>
        <w:tc>
          <w:tcPr>
            <w:tcW w:w="4040" w:type="dxa"/>
            <w:vAlign w:val="bottom"/>
          </w:tcPr>
          <w:p>
            <w:pPr>
              <w:spacing w:after="0"/>
              <w:rPr>
                <w:sz w:val="24"/>
                <w:szCs w:val="24"/>
                <w:color w:val="auto"/>
              </w:rPr>
            </w:pPr>
          </w:p>
        </w:tc>
        <w:tc>
          <w:tcPr>
            <w:tcW w:w="3560" w:type="dxa"/>
            <w:vAlign w:val="bottom"/>
            <w:gridSpan w:val="2"/>
          </w:tcPr>
          <w:p>
            <w:pPr>
              <w:jc w:val="right"/>
              <w:ind w:right="1768"/>
              <w:spacing w:after="0"/>
              <w:rPr>
                <w:sz w:val="20"/>
                <w:szCs w:val="20"/>
                <w:color w:val="auto"/>
              </w:rPr>
            </w:pPr>
            <w:r>
              <w:rPr>
                <w:rFonts w:ascii="Times New Roman" w:cs="Times New Roman" w:eastAsia="Times New Roman" w:hAnsi="Times New Roman"/>
                <w:sz w:val="12"/>
                <w:szCs w:val="12"/>
                <w:color w:val="auto"/>
              </w:rPr>
              <w:t>F-48</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404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1" w:right="29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18 – Fair Value Measurements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financial assets and liabilities carried at fair value measured on a recurring basis: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0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77"/>
        </w:trPr>
        <w:tc>
          <w:tcPr>
            <w:tcW w:w="6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11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Assets:</w:t>
            </w:r>
          </w:p>
        </w:tc>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7"/>
        </w:trPr>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 held in rabbi trusts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50,173</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27,168</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23,005</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Available for sale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3,677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3,677</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Precious metals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1,252</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Non - U.S. Defined Benefit Pension Plan Assets:</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0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5,876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5,876</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Fixed income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18,406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18,406</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41,338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41,338</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120,722</w:t>
            </w:r>
          </w:p>
        </w:tc>
        <w:tc>
          <w:tcPr>
            <w:tcW w:w="24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97,717</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23,005</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4"/>
        </w:trPr>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35"/>
        </w:trPr>
        <w:tc>
          <w:tcPr>
            <w:tcW w:w="600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color w:val="auto"/>
              </w:rPr>
              <w:t>Liability:</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7"/>
        </w:trPr>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MaxPower acquisition contingent consideration</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6,870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6,870</w:t>
            </w:r>
          </w:p>
        </w:tc>
      </w:tr>
      <w:tr>
        <w:trPr>
          <w:trHeight w:val="144"/>
        </w:trPr>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1160" w:type="dxa"/>
            <w:vAlign w:val="bottom"/>
            <w:tcBorders>
              <w:bottom w:val="single" w:sz="8" w:color="auto"/>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48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35"/>
        </w:trPr>
        <w:tc>
          <w:tcPr>
            <w:tcW w:w="6000" w:type="dxa"/>
            <w:vAlign w:val="bottom"/>
            <w:gridSpan w:val="4"/>
          </w:tcPr>
          <w:p>
            <w:pPr>
              <w:spacing w:after="0" w:line="135" w:lineRule="exact"/>
              <w:rPr>
                <w:sz w:val="20"/>
                <w:szCs w:val="20"/>
                <w:color w:val="auto"/>
              </w:rPr>
            </w:pPr>
            <w:r>
              <w:rPr>
                <w:rFonts w:ascii="Times New Roman" w:cs="Times New Roman" w:eastAsia="Times New Roman" w:hAnsi="Times New Roman"/>
                <w:sz w:val="14"/>
                <w:szCs w:val="14"/>
                <w:color w:val="auto"/>
              </w:rPr>
              <w:t>Assets:</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7"/>
        </w:trPr>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 held in rabbi trusts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59,687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32,713</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26,974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Available for sale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4,455</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Non - U.S. Defined Benefit Pension Plan Assets:</w:t>
            </w: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60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Equity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10,627</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Fixed income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19,690</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0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Cash</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45,603</w:t>
            </w: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8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140,062</w:t>
            </w: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113,088</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26,974</w:t>
            </w: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r>
    </w:tbl>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maintains non-qualified trusts, referred to as “rabbi” trusts, to fund payments under deferred compensation and non-qualified pension plans. Rabbi trust assets consist primarily of marketable securities, classified as available-for-sale, and company-owned life insurance assets. The marketable securities held in the rabbi trusts are valued using quoted market prices on the last business day of the year. The company-owned life insurance assets are valued in consultation with the Company’s insurance brokers using the value of underlying assets of the insurance contracts. The fair value measurement of the marketable securities held in the rabbi trust is considered a Level 1 measurement and the measurement of the company-owned life insurance assets is considered a Level 2 measurement within the fair value hierarchy.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maintains defined benefit retirement plans in certain of its non-U.S. subsidiaries. The assets of the plans are measured at fair value.</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Equity securities held by the non-U.S. defined benefit retirement plans consist of equity securities that are valued based on quoted market prices on the last business day of the year. The fair value measurement of the equity securities is considered a Level 1 measurement within the fair value hierarchy.</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Fixed income securities held by the non-U.S. defined benefit retirement plans consist of government bonds in the Philippines and India and corporate notes that are valued based on quoted market prices on the last business day of the year. The fair value measurement of the fixed income securities is considered a Level 1 measurement within the fair value hierarchy.</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4"/>
          <w:szCs w:val="14"/>
          <w:color w:val="auto"/>
        </w:rPr>
        <w:t>Cash held by the non-U.S. defined benefit retirement plans consists of demand deposits on account in various financial institutions to fund current benefit payments. The carrying amount of the cash approximates its fair value.</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 holds investments in debt securities that are intended to fund a portion of its pension and other postretirement benefit obligations outside of the U.S. The investments are valued based on quoted market prices on the last business day of the year. The fair value measurement of the investments is considered a Level 1 measurement within the fair value hierarchy.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18 – Fair Value Measurements (continued)</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From time to time, the Company purchases precious metals bullion in excess of its immediate manufacturing needs to mitigate the risk of supply shortages or volatile price fluctuations. The metals are valued based on quoted market prices on the last business day of the period. The fair value measurement of the metals are considered a Level 1 measurement within the fair value hierarchy.</w:t>
      </w:r>
    </w:p>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Company may be required to make certain contingent payments to non-employee equity holders of MaxPower pursuant to the acquisition agreement, which would be payable upon the achievement of certain technology milestones, upon favorable resolution of certain technology licensing matters with a third party, and upon the disposition of MaxPower's investment in an equity affiliate. The fair value of these contingent consideration payments is determined by estimating the net present value of the expected cash flows based on the probability of expected payments. The fair value measurement of the contingent consideration is considered a Level 3 measurement within the fair value hierarchy.</w:t>
      </w:r>
    </w:p>
    <w:p>
      <w:pPr>
        <w:spacing w:after="0" w:line="1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The fair value of the long-term debt, excluding the deferred financing costs, at December 31, 2022 and 2021 is approximately $491,100 and $485,500, respectively, compared to its carrying value, excluding the derivative liability and capitalized deferred financing costs, of $507,344 and $465,344, respectively. The Company estimates the fair value of its long-term debt using a combination of quoted market prices for similar financing arrangements and expected future payments discounted at risk-adjusted rates, which are considered level 2 inputs.</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At 2022 and 2021, the Company’s short-term investments were comprised of time deposits with financial institutions that have maturities that exceed 90 days from the date of acquisition; however they all mature within one year from the respective balance sheet dates. The Company's short-term investments are accounted for as held-to-maturity debt instruments, at amortized cost, which approximates their fair value. The investments are funded with excess cash not expected to be needed for operations prior to maturity; therefore, the Company believes it has the intent and ability to hold the short-term investments until maturity. At each reporting date, the Company performs an evaluation to determine if any unrealized losses are other-than-temporary. No other-than-temporary impairments have been recognized on these securities, and there are no unrecognized holding gains or losses for these securities during the periods presented. There have been no transfers to or from the held-to-maturity classification. All decreases in the account balance are due to returns of principal at the securities’ maturity dates. Interest on the securities is recognized as interest income when earned.</w:t>
      </w:r>
    </w:p>
    <w:p>
      <w:pPr>
        <w:spacing w:after="0" w:line="2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At December 31, 2022 and 2021, the Company’s cash and cash equivalents were comprised of demand deposits, time deposits with maturities of three months or less when purchased, and money market funds. The Company estimates the fair value of its cash, cash equivalents, and short-term investments using level 2 inputs. Based on the current interest rates for similar investments with comparable credit risk and time to maturity, the fair value of the Company's cash, cash equivalents, and held-to-maturity short-term investments approximate the carrying amounts reported in the accompanying consolidated balance sheets.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Company’s financial instruments also include accounts receivable and accounts payable. The carrying amounts for these financial instruments reported in the accompanying consolidated balance sheets approximate their fair values.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amounts)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 19 – Related Party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Vishay Precision Group, Inc.</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July 6, 2010, Vishay completed the spin-off of its measurements and foil resistors businesses into an independent, publicly-traded company, Vishay Precision Group, Inc. Vishay’s common stockholders received 1 share of VPG common stock for every 14 shares of Vishay common stock they held on the record date, June 25, 2010, and Vishay’s Class B common stockholders received 1 share of VPG Class B common stock for every 14 shares of Vishay Class B common stock they held on the record 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the spin-off, VPG is an independent company and Vishay retains no ownership interest.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Relationship with VPG after Spin-off</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Following the spin-off, VPG and Vishay operate separately, each as independent public companies. Vishay has no ownership interest in VPG. However, Ruta Zandman solely or on a shared basis with Marc Zandman and Ziv Shoshani, all of whom are members of Vishay's Board of Directors, control a large portion of the voting power of both Vishay and VPG. Marc Zandman, Vishay’s Executive Chairman of the Board and an executive officer of Vishay, serves as the Chairman of VPG. Ziv Shoshani, CEO of VPG, serves as a director of Vishay. Additionally, Timothy V. Talbert, a member of Vishay’s Board of Directors is also a member of the Board of Directors of VPG.</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connection with the completion of the spin-off, Vishay and its subsidiaries entered into several agreements with VPG and its subsidiaries that govern the relationship of the parties following the spin-off. Among the agreements entered into with VPG and its subsidiaries were a transition services agreement, several lease agreements, and supply agreements. None of the agreements have had nor are expected to have a material impact on Vishay’s financial position, results of operations, or liquidity. Some of these agreements have expired and have not been renewed.</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Vishay also entered into a trademark license agreement with VPG pursuant to which Vishay granted VPG the license to use certain trademarks, service marks, logos, trade names, entity names, and domain names which include the term “Vishay.” The license granted VPG the limited, exclusive, royalty-free right and license to use certain marks and names incorporating the term “Vishay” in connection with the design, development, manufacture, marketing, provision and performance of certain VPG products that do not compete with any products within Vishay’s product range as constituted immediately following the separation and certain services provided in connection with the products. The license cannot be terminated except as a result of willful misconduct or liquidation bankruptcy of VPG.</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F-51</w:t>
      </w:r>
    </w:p>
    <w:p>
      <w:pPr>
        <w:sectPr>
          <w:pgSz w:w="11900" w:h="16838" w:orient="portrait"/>
          <w:cols w:equalWidth="0" w:num="1">
            <w:col w:w="11300"/>
          </w:cols>
          <w:pgMar w:left="300" w:top="121" w:right="29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4"/>
          <w:szCs w:val="14"/>
          <w:b w:val="1"/>
          <w:bCs w:val="1"/>
          <w:color w:val="auto"/>
        </w:rPr>
        <w:t>Exhibit 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Note: Names of Subsidiaries are indented under name of Parent. Subsidiaries are wholly owned unless otherwise noted. (Directors' or other shares required by statute in foreign jurisdictions and totaling less than 1% of equity are omitted.)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Americas, Inc.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6"/>
                <w:szCs w:val="16"/>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Americas do Brasil, LTDA</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Brazil</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Insurance, DAC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Ireland</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France Holdings SAS</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France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MCB Industrie S.A.S.</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France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Dale Electronics,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Electronica Dale de Mexico S.A. de C.V.</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Mexico</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HiRel Systems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HiRel Systems International, LLC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Sprague, Inc.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98"/>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Sprague Electric of Canada Limited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Canada</w:t>
            </w:r>
          </w:p>
        </w:tc>
        <w:tc>
          <w:tcPr>
            <w:tcW w:w="2080" w:type="dxa"/>
            <w:vAlign w:val="bottom"/>
            <w:shd w:val="clear" w:color="auto" w:fill="CCEEFF"/>
          </w:tcPr>
          <w:p>
            <w:pPr>
              <w:spacing w:after="0"/>
              <w:rPr>
                <w:sz w:val="17"/>
                <w:szCs w:val="17"/>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Siliconix incorporated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Siliconix, LLC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Siliconix Semiconductor,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Vishay Siliconix Electronic Co.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Vishay Siliconix Ireland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Ireland</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Shanghai Simconix Electronic Company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China</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Siliconix Technology C.V.</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(a)</w:t>
            </w: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Semiconductor Italiana S.p.A.</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Italy</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Siliconix Singapore Pte.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Singapore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Vishay Semiconductor India Pvt.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India</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Siliconix Singapore Pte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Singapore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MaxPower Semiconductor, Inc.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MaxPower Semiconductor U.K.,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United Kingdom</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GSI, Inc.</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GSI Holdings,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General Semiconductor, L.P.</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Cayman Islands</w:t>
            </w:r>
          </w:p>
        </w:tc>
        <w:tc>
          <w:tcPr>
            <w:tcW w:w="20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(b)</w:t>
            </w: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General Semiconductor, LLC</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Vishay General Semiconductor of Taiwan,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Vishay Capella Microsystems (Taiwan) Limited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Vishay Asia GS Investments Pte.,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Singapore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Vishay BCcomponents Holdings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Delaware</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BCcomponents B.V.</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Capacitors Belgium NV</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Belgium</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Resistors Belgium BV</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Belgium</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Vishay Components India Pvt.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India</w:t>
            </w:r>
          </w:p>
        </w:tc>
        <w:tc>
          <w:tcPr>
            <w:tcW w:w="208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(c)</w:t>
            </w:r>
          </w:p>
        </w:tc>
      </w:tr>
      <w:tr>
        <w:trPr>
          <w:trHeight w:val="162"/>
        </w:trPr>
        <w:tc>
          <w:tcPr>
            <w:tcW w:w="4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Vishay BCcomponents Hong Kong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Hong Kong</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Vishay Hong Kong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Hong Kong</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Intertechnology Asia Pte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Singapore</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Japan Co.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Japan</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Vishay Korea Co. Ltd.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Korea</w:t>
            </w:r>
          </w:p>
        </w:tc>
        <w:tc>
          <w:tcPr>
            <w:tcW w:w="2080" w:type="dxa"/>
            <w:vAlign w:val="bottom"/>
            <w:shd w:val="clear" w:color="auto" w:fill="CCEEFF"/>
          </w:tcPr>
          <w:p>
            <w:pPr>
              <w:spacing w:after="0"/>
              <w:rPr>
                <w:sz w:val="14"/>
                <w:szCs w:val="14"/>
                <w:color w:val="auto"/>
              </w:rPr>
            </w:pPr>
          </w:p>
        </w:tc>
      </w:tr>
      <w:tr>
        <w:trPr>
          <w:trHeight w:val="162"/>
        </w:trPr>
        <w:tc>
          <w:tcPr>
            <w:tcW w:w="47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(Taiwan) Ltd.</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The Republic of China (Taiwan)</w:t>
            </w:r>
          </w:p>
        </w:tc>
        <w:tc>
          <w:tcPr>
            <w:tcW w:w="2080" w:type="dxa"/>
            <w:vAlign w:val="bottom"/>
          </w:tcPr>
          <w:p>
            <w:pPr>
              <w:spacing w:after="0"/>
              <w:rPr>
                <w:sz w:val="14"/>
                <w:szCs w:val="14"/>
                <w:color w:val="auto"/>
              </w:rPr>
            </w:pPr>
          </w:p>
        </w:tc>
      </w:tr>
      <w:tr>
        <w:trPr>
          <w:trHeight w:val="162"/>
        </w:trPr>
        <w:tc>
          <w:tcPr>
            <w:tcW w:w="4740" w:type="dxa"/>
            <w:vAlign w:val="bottom"/>
            <w:shd w:val="clear" w:color="auto" w:fill="CCEEFF"/>
          </w:tcPr>
          <w:p>
            <w:pPr>
              <w:jc w:val="right"/>
              <w:ind w:right="2988"/>
              <w:spacing w:after="0"/>
              <w:rPr>
                <w:sz w:val="20"/>
                <w:szCs w:val="20"/>
                <w:color w:val="auto"/>
              </w:rPr>
            </w:pPr>
            <w:r>
              <w:rPr>
                <w:rFonts w:ascii="Times New Roman" w:cs="Times New Roman" w:eastAsia="Times New Roman" w:hAnsi="Times New Roman"/>
                <w:sz w:val="14"/>
                <w:szCs w:val="14"/>
                <w:color w:val="auto"/>
              </w:rPr>
              <w:t>Vishay Malaysia Sdn. Bhd.</w:t>
            </w:r>
          </w:p>
        </w:tc>
        <w:tc>
          <w:tcPr>
            <w:tcW w:w="44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4"/>
                <w:szCs w:val="14"/>
                <w:color w:val="auto"/>
              </w:rPr>
              <w:t>Malaysia</w:t>
            </w:r>
          </w:p>
        </w:tc>
        <w:tc>
          <w:tcPr>
            <w:tcW w:w="2080" w:type="dxa"/>
            <w:vAlign w:val="bottom"/>
            <w:shd w:val="clear" w:color="auto" w:fill="CCEEFF"/>
          </w:tcPr>
          <w:p>
            <w:pPr>
              <w:spacing w:after="0"/>
              <w:rPr>
                <w:sz w:val="14"/>
                <w:szCs w:val="14"/>
                <w:color w:val="auto"/>
              </w:rPr>
            </w:pPr>
          </w:p>
        </w:tc>
      </w:tr>
      <w:tr>
        <w:trPr>
          <w:trHeight w:val="188"/>
        </w:trPr>
        <w:tc>
          <w:tcPr>
            <w:tcW w:w="4740" w:type="dxa"/>
            <w:vAlign w:val="bottom"/>
          </w:tcPr>
          <w:p>
            <w:pPr>
              <w:jc w:val="right"/>
              <w:ind w:right="3008"/>
              <w:spacing w:after="0"/>
              <w:rPr>
                <w:sz w:val="20"/>
                <w:szCs w:val="20"/>
                <w:color w:val="auto"/>
              </w:rPr>
            </w:pPr>
            <w:r>
              <w:rPr>
                <w:rFonts w:ascii="Times New Roman" w:cs="Times New Roman" w:eastAsia="Times New Roman" w:hAnsi="Times New Roman"/>
                <w:sz w:val="14"/>
                <w:szCs w:val="14"/>
                <w:color w:val="auto"/>
              </w:rPr>
              <w:t>Vishay Dutch Holdings B.V.</w:t>
            </w:r>
          </w:p>
        </w:tc>
        <w:tc>
          <w:tcPr>
            <w:tcW w:w="448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Netherlands</w:t>
            </w:r>
          </w:p>
        </w:tc>
        <w:tc>
          <w:tcPr>
            <w:tcW w:w="2080" w:type="dxa"/>
            <w:vAlign w:val="bottom"/>
          </w:tcPr>
          <w:p>
            <w:pPr>
              <w:spacing w:after="0"/>
              <w:rPr>
                <w:sz w:val="16"/>
                <w:szCs w:val="16"/>
                <w:color w:val="auto"/>
              </w:rPr>
            </w:pPr>
          </w:p>
        </w:tc>
      </w:tr>
      <w:tr>
        <w:trPr>
          <w:trHeight w:val="397"/>
        </w:trPr>
        <w:tc>
          <w:tcPr>
            <w:tcW w:w="47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0" w:right="299" w:bottom="1440" w:gutter="0" w:footer="0" w:header="0"/>
        </w:sectPr>
      </w:pPr>
    </w:p>
    <w:bookmarkStart w:id="116" w:name="page117"/>
    <w:bookmarkEnd w:id="1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Subsidiaries of the Registrant (continued)</w:t>
            </w:r>
          </w:p>
        </w:tc>
        <w:tc>
          <w:tcPr>
            <w:tcW w:w="3920" w:type="dxa"/>
            <w:vAlign w:val="bottom"/>
          </w:tcPr>
          <w:p>
            <w:pPr>
              <w:spacing w:after="0"/>
              <w:rPr>
                <w:sz w:val="16"/>
                <w:szCs w:val="16"/>
                <w:color w:val="auto"/>
              </w:rPr>
            </w:pPr>
          </w:p>
        </w:tc>
        <w:tc>
          <w:tcPr>
            <w:tcW w:w="2520" w:type="dxa"/>
            <w:vAlign w:val="bottom"/>
          </w:tcPr>
          <w:p>
            <w:pPr>
              <w:spacing w:after="0"/>
              <w:rPr>
                <w:sz w:val="16"/>
                <w:szCs w:val="16"/>
                <w:color w:val="auto"/>
              </w:rPr>
            </w:pPr>
          </w:p>
        </w:tc>
      </w:tr>
      <w:tr>
        <w:trPr>
          <w:trHeight w:val="154"/>
        </w:trPr>
        <w:tc>
          <w:tcPr>
            <w:tcW w:w="48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16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Vishay Israel Limited</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Israel</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Z.T.R. Electronics Ltd.</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Israel</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ECOMAL Israel Ltd.</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Israel</w:t>
            </w:r>
          </w:p>
        </w:tc>
        <w:tc>
          <w:tcPr>
            <w:tcW w:w="25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(d)</w:t>
            </w:r>
          </w:p>
        </w:tc>
      </w:tr>
      <w:tr>
        <w:trPr>
          <w:trHeight w:val="162"/>
        </w:trPr>
        <w:tc>
          <w:tcPr>
            <w:tcW w:w="48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Vishay Polytech Co. Ltd.</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Japan</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Vishay La Laguna S. DE R.L. DE C.V.</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Mexico</w:t>
            </w:r>
          </w:p>
        </w:tc>
        <w:tc>
          <w:tcPr>
            <w:tcW w:w="25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(e)</w:t>
            </w:r>
          </w:p>
        </w:tc>
      </w:tr>
      <w:tr>
        <w:trPr>
          <w:trHeight w:val="162"/>
        </w:trPr>
        <w:tc>
          <w:tcPr>
            <w:tcW w:w="4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Vishay Europe GmbH</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(f)</w:t>
            </w: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Europe Sales GmbH</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BCcomponents Austria GmbH</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Austria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Vishay Semiconductor Ges.mbH</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Austria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Electronic GmbH</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Siliconix Itzehoe GmbH</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Electronica Portugal Lda.</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Portugal</w:t>
            </w:r>
          </w:p>
        </w:tc>
        <w:tc>
          <w:tcPr>
            <w:tcW w:w="252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(g)</w:t>
            </w: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Europe GmbH</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Sweden AB</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Sweden</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Schweiz A.G.</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Switzerland</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Austria GmbH</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Austria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Components, S.A.</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Spain</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Iberia S.A.U.</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Spain</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Nederland BV</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Netherlands</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Belgium BV</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Belgium</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Ceska republika S.r.O.</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Czech Republic</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Denmark A/S</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Denmark</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ECOMAL Finland OY</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Finland</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France S.A.S.</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France</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DEL - La Distribution Electronique</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France</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UK Ltd.</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United Kingdom</w:t>
            </w:r>
          </w:p>
        </w:tc>
        <w:tc>
          <w:tcPr>
            <w:tcW w:w="2520" w:type="dxa"/>
            <w:vAlign w:val="bottom"/>
          </w:tcPr>
          <w:p>
            <w:pPr>
              <w:spacing w:after="0"/>
              <w:rPr>
                <w:sz w:val="14"/>
                <w:szCs w:val="14"/>
                <w:color w:val="auto"/>
              </w:rPr>
            </w:pPr>
          </w:p>
        </w:tc>
      </w:tr>
      <w:tr>
        <w:trPr>
          <w:trHeight w:val="18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Vishay Ltd.</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United Kingdom</w:t>
            </w:r>
          </w:p>
        </w:tc>
        <w:tc>
          <w:tcPr>
            <w:tcW w:w="2520" w:type="dxa"/>
            <w:vAlign w:val="bottom"/>
            <w:shd w:val="clear" w:color="auto" w:fill="CCEEFF"/>
          </w:tcPr>
          <w:p>
            <w:pPr>
              <w:spacing w:after="0"/>
              <w:rPr>
                <w:sz w:val="15"/>
                <w:szCs w:val="15"/>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ECOMAL Italy s.r.l.</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Italy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ECOMAL Elektronske Komponente d.o.o.</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Slovenia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Electronic SPOL SRO</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Czech Republic</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Ecomal Poland Sp. Z.o.o.</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Poland</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Ecomal Hungary Kft.</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Hungary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S.A.</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France</w:t>
            </w:r>
          </w:p>
        </w:tc>
        <w:tc>
          <w:tcPr>
            <w:tcW w:w="25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(h)</w:t>
            </w:r>
          </w:p>
        </w:tc>
      </w:tr>
      <w:tr>
        <w:trPr>
          <w:trHeight w:val="162"/>
        </w:trPr>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Ultronix, Inc.</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Delaware</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Semiconductor GmbH</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Vishay (Phils.) Inc.</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Philippines</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Siliconix Philippines, Inc.</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Philippines</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Vishay Asia Semiconductor Investments Pte. Ltd.</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Singapore</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Vishay Singapore Pte. Ltd.</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Singapore</w:t>
            </w:r>
          </w:p>
        </w:tc>
        <w:tc>
          <w:tcPr>
            <w:tcW w:w="25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(i)</w:t>
            </w:r>
          </w:p>
        </w:tc>
      </w:tr>
      <w:tr>
        <w:trPr>
          <w:trHeight w:val="162"/>
        </w:trPr>
        <w:tc>
          <w:tcPr>
            <w:tcW w:w="4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Vishay Semiconductor Shanghai Co., Ltd.</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Vishay General Semiconductor (China) Co., Ltd.</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Vishay Micro-Electronics (Xi'an) Co., Ltd.</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Vishay China Co. Ltd.</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shd w:val="clear" w:color="auto" w:fill="CCEEFF"/>
          </w:tcPr>
          <w:p>
            <w:pPr>
              <w:spacing w:after="0"/>
              <w:rPr>
                <w:sz w:val="14"/>
                <w:szCs w:val="14"/>
                <w:color w:val="auto"/>
              </w:rPr>
            </w:pPr>
          </w:p>
        </w:tc>
      </w:tr>
      <w:tr>
        <w:trPr>
          <w:trHeight w:val="162"/>
        </w:trPr>
        <w:tc>
          <w:tcPr>
            <w:tcW w:w="48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Vishay HiRel Systems Zhuhai Electronics Co Ltd</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Vishay Components (Huizhou) Co. Ltd.</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China</w:t>
            </w:r>
          </w:p>
        </w:tc>
        <w:tc>
          <w:tcPr>
            <w:tcW w:w="25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rPr>
              <w:t>(j)</w:t>
            </w:r>
          </w:p>
        </w:tc>
      </w:tr>
      <w:tr>
        <w:trPr>
          <w:trHeight w:val="162"/>
        </w:trPr>
        <w:tc>
          <w:tcPr>
            <w:tcW w:w="4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Vishay Hungary Elektronikai KFT</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Hungary</w:t>
            </w:r>
          </w:p>
        </w:tc>
        <w:tc>
          <w:tcPr>
            <w:tcW w:w="2520" w:type="dxa"/>
            <w:vAlign w:val="bottom"/>
          </w:tcPr>
          <w:p>
            <w:pPr>
              <w:spacing w:after="0"/>
              <w:rPr>
                <w:sz w:val="14"/>
                <w:szCs w:val="14"/>
                <w:color w:val="auto"/>
              </w:rPr>
            </w:pPr>
          </w:p>
        </w:tc>
      </w:tr>
      <w:tr>
        <w:trPr>
          <w:trHeight w:val="162"/>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Vishay Semiconductor Malaysia Sdn Bhd</w:t>
            </w:r>
          </w:p>
        </w:tc>
        <w:tc>
          <w:tcPr>
            <w:tcW w:w="39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Malaysia</w:t>
            </w:r>
          </w:p>
        </w:tc>
        <w:tc>
          <w:tcPr>
            <w:tcW w:w="2520" w:type="dxa"/>
            <w:vAlign w:val="bottom"/>
            <w:shd w:val="clear" w:color="auto" w:fill="CCEEFF"/>
          </w:tcPr>
          <w:p>
            <w:pPr>
              <w:spacing w:after="0"/>
              <w:rPr>
                <w:sz w:val="14"/>
                <w:szCs w:val="14"/>
                <w:color w:val="auto"/>
              </w:rPr>
            </w:pPr>
          </w:p>
        </w:tc>
      </w:tr>
      <w:tr>
        <w:trPr>
          <w:trHeight w:val="188"/>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Vishay BCcomponents Beyschlag GmbH</w:t>
            </w:r>
          </w:p>
        </w:tc>
        <w:tc>
          <w:tcPr>
            <w:tcW w:w="392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Germany</w:t>
            </w:r>
          </w:p>
        </w:tc>
        <w:tc>
          <w:tcPr>
            <w:tcW w:w="2520" w:type="dxa"/>
            <w:vAlign w:val="bottom"/>
          </w:tcPr>
          <w:p>
            <w:pPr>
              <w:spacing w:after="0"/>
              <w:rPr>
                <w:sz w:val="16"/>
                <w:szCs w:val="16"/>
                <w:color w:val="auto"/>
              </w:rPr>
            </w:pPr>
          </w:p>
        </w:tc>
      </w:tr>
      <w:tr>
        <w:trPr>
          <w:trHeight w:val="397"/>
        </w:trPr>
        <w:tc>
          <w:tcPr>
            <w:tcW w:w="4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0" w:right="299" w:bottom="1440"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ind w:left="8"/>
        <w:spacing w:after="0"/>
        <w:rPr>
          <w:sz w:val="20"/>
          <w:szCs w:val="20"/>
          <w:color w:val="auto"/>
        </w:rPr>
      </w:pPr>
      <w:r>
        <w:rPr>
          <w:rFonts w:ascii="Times New Roman" w:cs="Times New Roman" w:eastAsia="Times New Roman" w:hAnsi="Times New Roman"/>
          <w:sz w:val="14"/>
          <w:szCs w:val="14"/>
          <w:b w:val="1"/>
          <w:bCs w:val="1"/>
          <w:color w:val="auto"/>
        </w:rPr>
        <w:t>Subsidiaries of the Registrant (continued)</w:t>
      </w:r>
    </w:p>
    <w:p>
      <w:pPr>
        <w:spacing w:after="0" w:line="165" w:lineRule="exact"/>
        <w:rPr>
          <w:sz w:val="20"/>
          <w:szCs w:val="20"/>
          <w:color w:val="auto"/>
        </w:rPr>
      </w:pPr>
    </w:p>
    <w:p>
      <w:pPr>
        <w:ind w:left="568" w:right="20" w:hanging="568"/>
        <w:spacing w:after="0" w:line="253" w:lineRule="auto"/>
        <w:tabs>
          <w:tab w:leader="none" w:pos="1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Siliconix Technology C.V. is 100%; 89% is owned by its wholly owned subsidiary Siliconix Incorporated, 10% is owned by its indirectly wholly owned subsidiary Siliconix Semiconductor, LLC, and 1% is owned by its indirect wholly owned subsidiary Vishay Siliconix LLC.</w:t>
      </w:r>
    </w:p>
    <w:p>
      <w:pPr>
        <w:ind w:left="568" w:right="20" w:hanging="568"/>
        <w:spacing w:after="0" w:line="241" w:lineRule="auto"/>
        <w:tabs>
          <w:tab w:leader="none" w:pos="20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General Semiconductor, L.P. is 100%; 1% is owned by its indirectly wholly owned subsidiary Vishay GSI Holdings, LLC, and 99% is owned by its wholly owned subsidiary Vishay GSI, Inc.</w:t>
      </w:r>
    </w:p>
    <w:p>
      <w:pPr>
        <w:ind w:left="568" w:right="20" w:hanging="568"/>
        <w:spacing w:after="0" w:line="241" w:lineRule="auto"/>
        <w:tabs>
          <w:tab w:leader="none" w:pos="1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Components India Pvt. Ltd. is 100%; 69% is owned directly and 31% is owned by its indirectly wholly owned subsidiary Vishay BCcomponents B.V.</w:t>
      </w:r>
    </w:p>
    <w:p>
      <w:pPr>
        <w:ind w:left="208" w:hanging="208"/>
        <w:spacing w:after="0"/>
        <w:tabs>
          <w:tab w:leader="none" w:pos="20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Ecomal Israel Ltd. is 66.7%.</w:t>
      </w:r>
    </w:p>
    <w:p>
      <w:pPr>
        <w:spacing w:after="0" w:line="1" w:lineRule="exact"/>
        <w:rPr>
          <w:rFonts w:ascii="Times New Roman" w:cs="Times New Roman" w:eastAsia="Times New Roman" w:hAnsi="Times New Roman"/>
          <w:sz w:val="14"/>
          <w:szCs w:val="14"/>
          <w:color w:val="auto"/>
        </w:rPr>
      </w:pPr>
    </w:p>
    <w:p>
      <w:pPr>
        <w:ind w:left="568" w:hanging="568"/>
        <w:spacing w:after="0" w:line="241" w:lineRule="auto"/>
        <w:tabs>
          <w:tab w:leader="none" w:pos="1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La Laguna S. DE R.L. DE C.V. is 100%; 99% is owned by its wholly owned subsidiary Vishay Israel Limited and 1% is owned by its indirectly wholly owned subsidiary Z.T.R. Electronics Ltd.</w:t>
      </w:r>
    </w:p>
    <w:p>
      <w:pPr>
        <w:ind w:left="568" w:right="20" w:hanging="568"/>
        <w:spacing w:after="0" w:line="241" w:lineRule="auto"/>
        <w:tabs>
          <w:tab w:leader="none" w:pos="18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Europe GmbH is 100%; over 99.9% is owned directly or indirectly by its wholly owned subsidiary Vishay Israel Limited and its affiliates; and less than 0.1% is owned directly.</w:t>
      </w:r>
    </w:p>
    <w:p>
      <w:pPr>
        <w:ind w:left="568" w:hanging="568"/>
        <w:spacing w:after="0" w:line="241" w:lineRule="auto"/>
        <w:tabs>
          <w:tab w:leader="none" w:pos="20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Electronica Portugal Lda. is 100%; 70% is owned by its indirectly wholly owned subsidiary Vishay Europe GmbH and 30% is owned by its indirectly wholly owned subsidiary Vishay Electronic GmbH.</w:t>
      </w:r>
    </w:p>
    <w:p>
      <w:pPr>
        <w:ind w:left="208" w:hanging="208"/>
        <w:spacing w:after="0"/>
        <w:tabs>
          <w:tab w:leader="none" w:pos="20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S.A. is 99.9%.</w:t>
      </w:r>
    </w:p>
    <w:p>
      <w:pPr>
        <w:spacing w:after="0" w:line="1" w:lineRule="exact"/>
        <w:rPr>
          <w:rFonts w:ascii="Times New Roman" w:cs="Times New Roman" w:eastAsia="Times New Roman" w:hAnsi="Times New Roman"/>
          <w:sz w:val="14"/>
          <w:szCs w:val="14"/>
          <w:color w:val="auto"/>
        </w:rPr>
      </w:pPr>
    </w:p>
    <w:p>
      <w:pPr>
        <w:ind w:left="568" w:hanging="568"/>
        <w:spacing w:after="0" w:line="241" w:lineRule="auto"/>
        <w:tabs>
          <w:tab w:leader="none" w:pos="17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Singapore Pte. Ltd. is 100%, 48% is owned by its indirectly wholly owned subsidiary Vishay Asia Semiconductor Investments Pte. Ltd., 26% is owned by its indirectly wholly owned subsidiary Vishay Asia Semiconductor GS Investments Pte. Ltd., and 26% is owned by its indirectly wholly owned subsidiary Siliconix Technology C.V.</w:t>
      </w:r>
    </w:p>
    <w:p>
      <w:pPr>
        <w:spacing w:after="0" w:line="1" w:lineRule="exact"/>
        <w:rPr>
          <w:rFonts w:ascii="Times New Roman" w:cs="Times New Roman" w:eastAsia="Times New Roman" w:hAnsi="Times New Roman"/>
          <w:sz w:val="14"/>
          <w:szCs w:val="14"/>
          <w:color w:val="auto"/>
        </w:rPr>
      </w:pPr>
    </w:p>
    <w:p>
      <w:pPr>
        <w:ind w:left="568" w:hanging="568"/>
        <w:spacing w:after="0" w:line="258" w:lineRule="auto"/>
        <w:tabs>
          <w:tab w:leader="none" w:pos="17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-Registrant's indirect ownership percentage in Vishay Components (Huizhou) Co. Ltd. is 100%; 36% is owned by its indirectly wholly owned subsidiary Vishay Hong Kong Ltd. and 64% is owned by its indirectly wholly owned subsidiary Vishay China Co. Ltd.</w:t>
      </w:r>
    </w:p>
    <w:p>
      <w:pPr>
        <w:sectPr>
          <w:pgSz w:w="11900" w:h="16838" w:orient="portrait"/>
          <w:cols w:equalWidth="0" w:num="1">
            <w:col w:w="11308"/>
          </w:cols>
          <w:pgMar w:left="292" w:top="120" w:right="2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63"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333-144466) pertaining to the 2007 Stock Incentive Program of Vishay Intertechnology, Inc.,</w:t>
      </w:r>
    </w:p>
    <w:p>
      <w:pPr>
        <w:spacing w:after="0" w:line="1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333-178895) pertaining to the Deferred Compensation Plan of Vishay Intertechnology, Inc., and</w:t>
      </w:r>
    </w:p>
    <w:p>
      <w:pPr>
        <w:spacing w:after="0" w:line="16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333-196143) pertaining to the 2007 Stock Incentive Program of Vishay Intertechnology, Inc.;</w:t>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of our reports dated February 22, 2023, with respect to the consolidated financial statements of Vishay Intertechnology, Inc. and the effectiveness of internal control over financial reporting of Vishay Intertechnology, Inc. included in this Annual Report (Form 10-K) of Vishay Intertechnology, Inc. for the year ended December 31, 2022.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Ernst &amp; Young LLP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22, 2023</w:t>
      </w:r>
    </w:p>
    <w:p>
      <w:pPr>
        <w:sectPr>
          <w:pgSz w:w="11900" w:h="16838" w:orient="portrait"/>
          <w:cols w:equalWidth="0" w:num="1">
            <w:col w:w="11300"/>
          </w:cols>
          <w:pgMar w:left="300" w:top="120" w:right="2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Joel Smejkal, certify that:</w:t>
      </w:r>
    </w:p>
    <w:p>
      <w:pPr>
        <w:spacing w:after="0" w:line="147" w:lineRule="exact"/>
        <w:rPr>
          <w:sz w:val="20"/>
          <w:szCs w:val="20"/>
          <w:color w:val="auto"/>
        </w:rPr>
      </w:pPr>
    </w:p>
    <w:p>
      <w:pPr>
        <w:ind w:left="460" w:hanging="234"/>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Vishay Intertechnology, Inc.;</w:t>
      </w:r>
    </w:p>
    <w:p>
      <w:pPr>
        <w:spacing w:after="0" w:line="163"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63"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7"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4"/>
          <w:szCs w:val="14"/>
          <w:color w:val="auto"/>
        </w:rPr>
      </w:pPr>
    </w:p>
    <w:p>
      <w:pPr>
        <w:ind w:left="1060" w:hanging="204"/>
        <w:spacing w:after="0"/>
        <w:tabs>
          <w:tab w:leader="none" w:pos="10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22,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Joel Smejkal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Joel Smejkal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300"/>
          </w:cols>
          <w:pgMar w:left="300" w:top="120" w:right="29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Lori Lipcaman, certify that:</w:t>
      </w:r>
    </w:p>
    <w:p>
      <w:pPr>
        <w:spacing w:after="0" w:line="147" w:lineRule="exact"/>
        <w:rPr>
          <w:sz w:val="20"/>
          <w:szCs w:val="20"/>
          <w:color w:val="auto"/>
        </w:rPr>
      </w:pPr>
    </w:p>
    <w:p>
      <w:pPr>
        <w:ind w:left="460" w:hanging="234"/>
        <w:spacing w:after="0"/>
        <w:tabs>
          <w:tab w:leader="none" w:pos="4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Vishay Intertechnology, Inc.;</w:t>
      </w:r>
    </w:p>
    <w:p>
      <w:pPr>
        <w:spacing w:after="0" w:line="163"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4"/>
          <w:szCs w:val="14"/>
          <w:color w:val="auto"/>
        </w:rPr>
      </w:pPr>
    </w:p>
    <w:p>
      <w:pPr>
        <w:ind w:left="460" w:right="20" w:hanging="234"/>
        <w:spacing w:after="0" w:line="282" w:lineRule="auto"/>
        <w:tabs>
          <w:tab w:leader="none" w:pos="4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63"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5"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4"/>
          <w:szCs w:val="14"/>
          <w:color w:val="auto"/>
        </w:rPr>
      </w:pPr>
    </w:p>
    <w:p>
      <w:pPr>
        <w:jc w:val="both"/>
        <w:ind w:left="860" w:hanging="4"/>
        <w:spacing w:after="0" w:line="269" w:lineRule="auto"/>
        <w:tabs>
          <w:tab w:leader="none" w:pos="1079"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7" w:lineRule="exact"/>
        <w:rPr>
          <w:rFonts w:ascii="Times New Roman" w:cs="Times New Roman" w:eastAsia="Times New Roman" w:hAnsi="Times New Roman"/>
          <w:sz w:val="14"/>
          <w:szCs w:val="14"/>
          <w:color w:val="auto"/>
        </w:rPr>
      </w:pPr>
    </w:p>
    <w:p>
      <w:pPr>
        <w:ind w:left="460" w:hanging="234"/>
        <w:spacing w:after="0" w:line="282" w:lineRule="auto"/>
        <w:tabs>
          <w:tab w:leader="none" w:pos="4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4"/>
          <w:szCs w:val="14"/>
          <w:color w:val="auto"/>
        </w:rPr>
      </w:pPr>
    </w:p>
    <w:p>
      <w:pPr>
        <w:ind w:left="860" w:right="20" w:hanging="4"/>
        <w:spacing w:after="0" w:line="282" w:lineRule="auto"/>
        <w:tabs>
          <w:tab w:leader="none" w:pos="106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4"/>
          <w:szCs w:val="14"/>
          <w:color w:val="auto"/>
        </w:rPr>
      </w:pPr>
    </w:p>
    <w:p>
      <w:pPr>
        <w:ind w:left="1060" w:hanging="204"/>
        <w:spacing w:after="0"/>
        <w:tabs>
          <w:tab w:leader="none" w:pos="10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22,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Lori Lipcaman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Lori Lipcaman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300"/>
          </w:cols>
          <w:pgMar w:left="300" w:top="120" w:right="2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47" w:lineRule="exact"/>
        <w:rPr>
          <w:sz w:val="20"/>
          <w:szCs w:val="20"/>
          <w:color w:val="auto"/>
        </w:rPr>
      </w:pPr>
    </w:p>
    <w:p>
      <w:pPr>
        <w:jc w:val="both"/>
        <w:ind w:left="8" w:right="20"/>
        <w:spacing w:after="0" w:line="261" w:lineRule="auto"/>
        <w:rPr>
          <w:sz w:val="20"/>
          <w:szCs w:val="20"/>
          <w:color w:val="auto"/>
        </w:rPr>
      </w:pPr>
      <w:r>
        <w:rPr>
          <w:rFonts w:ascii="Times New Roman" w:cs="Times New Roman" w:eastAsia="Times New Roman" w:hAnsi="Times New Roman"/>
          <w:sz w:val="14"/>
          <w:szCs w:val="14"/>
          <w:color w:val="auto"/>
        </w:rPr>
        <w:t>In connection with the Annual Report of Vishay Intertechnology, Inc. (the "Company") on Form 10-K for the year ended December 31, 2022 as filed with the Securities and Exchange Commission on the date hereof (the "Report"), I, Joel Smejkal, Chief Executive Officer of the Company, certify, pursuant to 18 U.S.C. section 1350, as adopted pursuant to section 906 of the Sarbanes-Oxley Act of 2002, that:</w:t>
      </w:r>
    </w:p>
    <w:p>
      <w:pPr>
        <w:spacing w:after="0" w:line="123" w:lineRule="exact"/>
        <w:rPr>
          <w:sz w:val="20"/>
          <w:szCs w:val="20"/>
          <w:color w:val="auto"/>
        </w:rPr>
      </w:pPr>
    </w:p>
    <w:p>
      <w:pPr>
        <w:ind w:left="368" w:hanging="368"/>
        <w:spacing w:after="0"/>
        <w:tabs>
          <w:tab w:leader="none" w:pos="36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63" w:lineRule="exact"/>
        <w:rPr>
          <w:rFonts w:ascii="Times New Roman" w:cs="Times New Roman" w:eastAsia="Times New Roman" w:hAnsi="Times New Roman"/>
          <w:sz w:val="14"/>
          <w:szCs w:val="14"/>
          <w:color w:val="auto"/>
        </w:rPr>
      </w:pPr>
    </w:p>
    <w:p>
      <w:pPr>
        <w:ind w:left="368" w:hanging="368"/>
        <w:spacing w:after="0"/>
        <w:tabs>
          <w:tab w:leader="none" w:pos="368"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u w:val="single" w:color="auto"/>
          <w:color w:val="auto"/>
        </w:rPr>
        <w:t>/s/ Joel Smejkal</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Joel Smejkal</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February 22, 2023</w:t>
      </w:r>
    </w:p>
    <w:p>
      <w:pPr>
        <w:sectPr>
          <w:pgSz w:w="11900" w:h="16838" w:orient="portrait"/>
          <w:cols w:equalWidth="0" w:num="1">
            <w:col w:w="11308"/>
          </w:cols>
          <w:pgMar w:left="292" w:top="120" w:right="2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47" w:lineRule="exact"/>
        <w:rPr>
          <w:sz w:val="20"/>
          <w:szCs w:val="20"/>
          <w:color w:val="auto"/>
        </w:rPr>
      </w:pPr>
    </w:p>
    <w:p>
      <w:pPr>
        <w:jc w:val="both"/>
        <w:ind w:left="8" w:right="20"/>
        <w:spacing w:after="0" w:line="261" w:lineRule="auto"/>
        <w:rPr>
          <w:sz w:val="20"/>
          <w:szCs w:val="20"/>
          <w:color w:val="auto"/>
        </w:rPr>
      </w:pPr>
      <w:r>
        <w:rPr>
          <w:rFonts w:ascii="Times New Roman" w:cs="Times New Roman" w:eastAsia="Times New Roman" w:hAnsi="Times New Roman"/>
          <w:sz w:val="14"/>
          <w:szCs w:val="14"/>
          <w:color w:val="auto"/>
        </w:rPr>
        <w:t>In connection with the Annual Report of Vishay Intertechnology, Inc. (the "Company") on Form 10-K for the year ended December 31, 2022 as filed with the Securities and Exchange Commission on the date hereof (the "Report"), I, Lori Lipcaman, Chief Financial Officer of the Company, certify, pursuant to 18 U.S.C. section 1350, as adopted pursuant to section 906 of the Sarbanes-Oxley Act of 2002, that:</w:t>
      </w:r>
    </w:p>
    <w:p>
      <w:pPr>
        <w:spacing w:after="0" w:line="123" w:lineRule="exact"/>
        <w:rPr>
          <w:sz w:val="20"/>
          <w:szCs w:val="20"/>
          <w:color w:val="auto"/>
        </w:rPr>
      </w:pPr>
    </w:p>
    <w:p>
      <w:pPr>
        <w:ind w:left="368" w:hanging="368"/>
        <w:spacing w:after="0"/>
        <w:tabs>
          <w:tab w:leader="none" w:pos="36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63" w:lineRule="exact"/>
        <w:rPr>
          <w:rFonts w:ascii="Times New Roman" w:cs="Times New Roman" w:eastAsia="Times New Roman" w:hAnsi="Times New Roman"/>
          <w:sz w:val="14"/>
          <w:szCs w:val="14"/>
          <w:color w:val="auto"/>
        </w:rPr>
      </w:pPr>
    </w:p>
    <w:p>
      <w:pPr>
        <w:ind w:left="368" w:hanging="368"/>
        <w:spacing w:after="0"/>
        <w:tabs>
          <w:tab w:leader="none" w:pos="36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u w:val="single" w:color="auto"/>
          <w:color w:val="auto"/>
        </w:rPr>
        <w:t>/s/ Lori Lipcaman</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Lori Lipcaman</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February 22, 2023</w:t>
      </w:r>
    </w:p>
    <w:p>
      <w:pPr>
        <w:sectPr>
          <w:pgSz w:w="11900" w:h="16838" w:orient="portrait"/>
          <w:cols w:equalWidth="0" w:num="1">
            <w:col w:w="11308"/>
          </w:cols>
          <w:pgMar w:left="292" w:top="120" w:right="2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4"/>
          <w:szCs w:val="14"/>
          <w:b w:val="1"/>
          <w:bCs w:val="1"/>
          <w:color w:val="auto"/>
        </w:rPr>
        <w:t>Exhibit 10.3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VISHAY INTERTECHNOLOGY, INC. 2007 STOCK INCENTIVE PROGRAM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(AS AMENDED AND RESTATED)</w:t>
      </w:r>
    </w:p>
    <w:p>
      <w:pPr>
        <w:spacing w:after="0" w:line="147" w:lineRule="exact"/>
        <w:rPr>
          <w:sz w:val="20"/>
          <w:szCs w:val="20"/>
          <w:color w:val="auto"/>
        </w:rPr>
      </w:pPr>
    </w:p>
    <w:p>
      <w:pPr>
        <w:jc w:val="both"/>
        <w:ind w:firstLine="460"/>
        <w:spacing w:after="0" w:line="249" w:lineRule="auto"/>
        <w:tabs>
          <w:tab w:leader="none" w:pos="1044"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Purpose</w:t>
      </w:r>
      <w:r>
        <w:rPr>
          <w:rFonts w:ascii="Times New Roman" w:cs="Times New Roman" w:eastAsia="Times New Roman" w:hAnsi="Times New Roman"/>
          <w:sz w:val="14"/>
          <w:szCs w:val="14"/>
          <w:color w:val="auto"/>
        </w:rPr>
        <w:t>. The Vishay Intertechnology, Inc. 2007 Stock Incentive Program provides for the grant of stock options, restricted stock, restricted stock units, unrestricted stock, stock appreciation rights and phantom stock units to executive officers, key employees and directors of Vishay Intertechnology, Inc. and its subsidiaries. The purpose of the Program is to enhance the long-term performance of the Company and to provide the selected individuals with an incentive to improve the growth and profitability of the Company by acquiring a proprietary interest in the success of the Company. The Program as amended and restated reflects the merger of the Vishay Intertechnology, Inc. Senior Executive Phantom Stock Plan with and into the Program, and includes Awards of Phantom Stock Units. The effectiveness of the amendment and restatement of the Program, including the merger of the Vishay Intertechnology, Inc. Senior Executive Phantom Stock Plan with and into the Program is conditioned on and subject to the approval of the Company's stockholders at the Company's Annual Meeting of Stockholders to be held in 2014.</w:t>
      </w:r>
    </w:p>
    <w:p>
      <w:pPr>
        <w:spacing w:after="0" w:line="131" w:lineRule="exact"/>
        <w:rPr>
          <w:rFonts w:ascii="Times New Roman" w:cs="Times New Roman" w:eastAsia="Times New Roman" w:hAnsi="Times New Roman"/>
          <w:sz w:val="14"/>
          <w:szCs w:val="14"/>
          <w:color w:val="auto"/>
        </w:rPr>
      </w:pPr>
    </w:p>
    <w:p>
      <w:pPr>
        <w:ind w:right="20" w:firstLine="465"/>
        <w:spacing w:after="0" w:line="282" w:lineRule="auto"/>
        <w:tabs>
          <w:tab w:leader="none" w:pos="936"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Whenever used in the Program, the masculine pronoun shall be deemed to include the feminine, the singular to include the plural, unless the context clearly indicates otherwise, and the following capitalized words and phrases shall have the meaning set forth below unless the context plainly requires a different meaning:</w:t>
      </w:r>
    </w:p>
    <w:p>
      <w:pPr>
        <w:spacing w:after="0" w:line="278" w:lineRule="exact"/>
        <w:rPr>
          <w:rFonts w:ascii="Times New Roman" w:cs="Times New Roman" w:eastAsia="Times New Roman" w:hAnsi="Times New Roman"/>
          <w:sz w:val="14"/>
          <w:szCs w:val="14"/>
          <w:color w:val="auto"/>
        </w:rPr>
      </w:pPr>
    </w:p>
    <w:p>
      <w:pPr>
        <w:ind w:firstLine="34"/>
        <w:spacing w:after="0" w:line="282" w:lineRule="auto"/>
        <w:tabs>
          <w:tab w:leader="none" w:pos="49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means the written agreement between the Company and a Participant, or other documentation, evidencing an Award. A Participant's acceptance of an Award shall be deemed to reflect the Participant's agreement that the Award shall be subject to all of the terms and conditions of this Program and the applicable Agreement.</w:t>
      </w:r>
    </w:p>
    <w:p>
      <w:pPr>
        <w:spacing w:after="0" w:line="107" w:lineRule="exact"/>
        <w:rPr>
          <w:rFonts w:ascii="Times New Roman" w:cs="Times New Roman" w:eastAsia="Times New Roman" w:hAnsi="Times New Roman"/>
          <w:sz w:val="14"/>
          <w:szCs w:val="14"/>
          <w:color w:val="auto"/>
        </w:rPr>
      </w:pPr>
    </w:p>
    <w:p>
      <w:pPr>
        <w:ind w:left="480" w:hanging="446"/>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Award</w:t>
      </w:r>
      <w:r>
        <w:rPr>
          <w:rFonts w:ascii="Times New Roman" w:cs="Times New Roman" w:eastAsia="Times New Roman" w:hAnsi="Times New Roman"/>
          <w:sz w:val="14"/>
          <w:szCs w:val="14"/>
          <w:color w:val="auto"/>
        </w:rPr>
        <w:t>" means an Option, Restricted Stock, Unrestricted Stock, Restricted Stock Unit, Stock Appreciation Right or Phantom Stock Unit Award.</w:t>
      </w:r>
    </w:p>
    <w:p>
      <w:pPr>
        <w:spacing w:after="0" w:line="163" w:lineRule="exact"/>
        <w:rPr>
          <w:rFonts w:ascii="Times New Roman" w:cs="Times New Roman" w:eastAsia="Times New Roman" w:hAnsi="Times New Roman"/>
          <w:sz w:val="14"/>
          <w:szCs w:val="14"/>
          <w:color w:val="auto"/>
        </w:rPr>
      </w:pPr>
    </w:p>
    <w:p>
      <w:pPr>
        <w:ind w:left="480" w:hanging="446"/>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means the Board of Directors of the Company.</w:t>
      </w:r>
    </w:p>
    <w:p>
      <w:pPr>
        <w:spacing w:after="0" w:line="163" w:lineRule="exact"/>
        <w:rPr>
          <w:rFonts w:ascii="Times New Roman" w:cs="Times New Roman" w:eastAsia="Times New Roman" w:hAnsi="Times New Roman"/>
          <w:sz w:val="14"/>
          <w:szCs w:val="14"/>
          <w:color w:val="auto"/>
        </w:rPr>
      </w:pPr>
    </w:p>
    <w:p>
      <w:pPr>
        <w:ind w:left="480" w:hanging="446"/>
        <w:spacing w:after="0"/>
        <w:tabs>
          <w:tab w:leader="none" w:pos="4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means any of the following:</w:t>
      </w:r>
    </w:p>
    <w:p>
      <w:pPr>
        <w:spacing w:after="0" w:line="163" w:lineRule="exact"/>
        <w:rPr>
          <w:sz w:val="20"/>
          <w:szCs w:val="20"/>
          <w:color w:val="auto"/>
        </w:rPr>
      </w:pPr>
    </w:p>
    <w:p>
      <w:pPr>
        <w:ind w:left="260" w:hanging="202"/>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Participant's conviction of a felony or any other crime involving moral turpitude (whether or not involving the Company or its Subsidiaries);</w:t>
      </w:r>
    </w:p>
    <w:p>
      <w:pPr>
        <w:spacing w:after="0" w:line="163" w:lineRule="exact"/>
        <w:rPr>
          <w:rFonts w:ascii="Times New Roman" w:cs="Times New Roman" w:eastAsia="Times New Roman" w:hAnsi="Times New Roman"/>
          <w:sz w:val="14"/>
          <w:szCs w:val="14"/>
          <w:color w:val="auto"/>
        </w:rPr>
      </w:pPr>
    </w:p>
    <w:p>
      <w:pPr>
        <w:ind w:left="300" w:hanging="242"/>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failure to act by a Participant involving dishonesty, fraud, misrepresentation, theft or embezzlement of assets from Vishay or its Subsidiaries; or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26" w:name="page127"/>
    <w:bookmarkEnd w:id="126"/>
    <w:p>
      <w:pPr>
        <w:jc w:val="both"/>
        <w:ind w:firstLine="247"/>
        <w:spacing w:after="0" w:line="261" w:lineRule="auto"/>
        <w:tabs>
          <w:tab w:leader="none" w:pos="1003" w:val="left"/>
        </w:tabs>
        <w:numPr>
          <w:ilvl w:val="4"/>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Participant's (A) willful and repeated failure to substantially perform his duties under any applicable employment agreement, or the repeated refusal to follow the reasonable directions of the Board or any officer of the Company (other than as a result of Disability) or (B) willful and repeated failure to substantially comply with any policy of the Company or its Subsidiaries applicable to the Participant; in either case following the Participant's failure to cure within twenty (20) days after the Participant's receipt of written notice from the Company.</w:t>
      </w:r>
    </w:p>
    <w:p>
      <w:pPr>
        <w:spacing w:after="0" w:line="194" w:lineRule="exact"/>
        <w:rPr>
          <w:rFonts w:ascii="Times New Roman" w:cs="Times New Roman" w:eastAsia="Times New Roman" w:hAnsi="Times New Roman"/>
          <w:sz w:val="14"/>
          <w:szCs w:val="14"/>
          <w:color w:val="auto"/>
        </w:rPr>
      </w:pPr>
    </w:p>
    <w:p>
      <w:pPr>
        <w:ind w:left="480" w:hanging="446"/>
        <w:spacing w:after="0"/>
        <w:tabs>
          <w:tab w:leader="none" w:pos="48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Class B Common Stock</w:t>
      </w:r>
      <w:r>
        <w:rPr>
          <w:rFonts w:ascii="Times New Roman" w:cs="Times New Roman" w:eastAsia="Times New Roman" w:hAnsi="Times New Roman"/>
          <w:sz w:val="14"/>
          <w:szCs w:val="14"/>
          <w:color w:val="auto"/>
        </w:rPr>
        <w:t>" means the Class B common stock, $0.10 par value per share, of the Company.</w:t>
      </w:r>
    </w:p>
    <w:p>
      <w:pPr>
        <w:spacing w:after="0" w:line="235" w:lineRule="exact"/>
        <w:rPr>
          <w:rFonts w:ascii="Times New Roman" w:cs="Times New Roman" w:eastAsia="Times New Roman" w:hAnsi="Times New Roman"/>
          <w:sz w:val="14"/>
          <w:szCs w:val="14"/>
          <w:color w:val="auto"/>
        </w:rPr>
      </w:pPr>
    </w:p>
    <w:p>
      <w:pPr>
        <w:ind w:left="500" w:hanging="466"/>
        <w:spacing w:after="0"/>
        <w:tabs>
          <w:tab w:leader="none" w:pos="50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w:t>
      </w:r>
    </w:p>
    <w:p>
      <w:pPr>
        <w:spacing w:after="0" w:line="235" w:lineRule="exact"/>
        <w:rPr>
          <w:rFonts w:ascii="Times New Roman" w:cs="Times New Roman" w:eastAsia="Times New Roman" w:hAnsi="Times New Roman"/>
          <w:sz w:val="14"/>
          <w:szCs w:val="14"/>
          <w:color w:val="auto"/>
        </w:rPr>
      </w:pPr>
    </w:p>
    <w:p>
      <w:pPr>
        <w:ind w:left="480" w:hanging="446"/>
        <w:spacing w:after="0"/>
        <w:tabs>
          <w:tab w:leader="none" w:pos="48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means the Compensation Committee of the Board, or the Board, if acting in place of the Compensation Committee.</w:t>
      </w:r>
    </w:p>
    <w:p>
      <w:pPr>
        <w:spacing w:after="0" w:line="235" w:lineRule="exact"/>
        <w:rPr>
          <w:rFonts w:ascii="Times New Roman" w:cs="Times New Roman" w:eastAsia="Times New Roman" w:hAnsi="Times New Roman"/>
          <w:sz w:val="14"/>
          <w:szCs w:val="14"/>
          <w:color w:val="auto"/>
        </w:rPr>
      </w:pPr>
    </w:p>
    <w:p>
      <w:pPr>
        <w:ind w:left="480" w:hanging="446"/>
        <w:spacing w:after="0"/>
        <w:tabs>
          <w:tab w:leader="none" w:pos="48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means the common stock, par value $0.10 per share of the Company, other than Class B Common Stock.</w:t>
      </w:r>
    </w:p>
    <w:p>
      <w:pPr>
        <w:spacing w:after="0" w:line="235" w:lineRule="exact"/>
        <w:rPr>
          <w:rFonts w:ascii="Times New Roman" w:cs="Times New Roman" w:eastAsia="Times New Roman" w:hAnsi="Times New Roman"/>
          <w:sz w:val="14"/>
          <w:szCs w:val="14"/>
          <w:color w:val="auto"/>
        </w:rPr>
      </w:pPr>
    </w:p>
    <w:p>
      <w:pPr>
        <w:ind w:left="500" w:hanging="466"/>
        <w:spacing w:after="0"/>
        <w:tabs>
          <w:tab w:leader="none" w:pos="50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Vishay Intertechnology, Inc. a Delaware corporation, or any successor organization.</w:t>
      </w:r>
    </w:p>
    <w:p>
      <w:pPr>
        <w:spacing w:after="0" w:line="235" w:lineRule="exact"/>
        <w:rPr>
          <w:rFonts w:ascii="Times New Roman" w:cs="Times New Roman" w:eastAsia="Times New Roman" w:hAnsi="Times New Roman"/>
          <w:sz w:val="14"/>
          <w:szCs w:val="14"/>
          <w:color w:val="auto"/>
        </w:rPr>
      </w:pPr>
    </w:p>
    <w:p>
      <w:pPr>
        <w:ind w:left="500" w:hanging="466"/>
        <w:spacing w:after="0"/>
        <w:tabs>
          <w:tab w:leader="none" w:pos="50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Consent</w:t>
      </w:r>
      <w:r>
        <w:rPr>
          <w:rFonts w:ascii="Times New Roman" w:cs="Times New Roman" w:eastAsia="Times New Roman" w:hAnsi="Times New Roman"/>
          <w:sz w:val="14"/>
          <w:szCs w:val="14"/>
          <w:color w:val="auto"/>
        </w:rPr>
        <w:t>" has the meaning prescribed in Section 14.</w:t>
      </w:r>
    </w:p>
    <w:p>
      <w:pPr>
        <w:spacing w:after="0" w:line="235" w:lineRule="exact"/>
        <w:rPr>
          <w:rFonts w:ascii="Times New Roman" w:cs="Times New Roman" w:eastAsia="Times New Roman" w:hAnsi="Times New Roman"/>
          <w:sz w:val="14"/>
          <w:szCs w:val="14"/>
          <w:color w:val="auto"/>
        </w:rPr>
      </w:pPr>
    </w:p>
    <w:p>
      <w:pPr>
        <w:jc w:val="both"/>
        <w:ind w:firstLine="169"/>
        <w:spacing w:after="0" w:line="261" w:lineRule="auto"/>
        <w:tabs>
          <w:tab w:leader="none" w:pos="714" w:val="left"/>
        </w:tabs>
        <w:numPr>
          <w:ilvl w:val="3"/>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Continuing Director</w:t>
      </w:r>
      <w:r>
        <w:rPr>
          <w:rFonts w:ascii="Times New Roman" w:cs="Times New Roman" w:eastAsia="Times New Roman" w:hAnsi="Times New Roman"/>
          <w:sz w:val="14"/>
          <w:szCs w:val="14"/>
          <w:color w:val="auto"/>
        </w:rPr>
        <w:t>" means a director who either (i) was a member of the Board on April 1, 2008 or (ii) becomes a member of the Board after April 1, 2008 and whose election, appointment or nomination for election by the stockholders of the Company is duly approved by a majority of the Continuing Directors on the Board at the time of such approval, either by a specific vote or by approval of the proxy statement issued by the Company on behalf of the Board in which such individual is named as nominee for director.</w:t>
      </w:r>
    </w:p>
    <w:p>
      <w:pPr>
        <w:spacing w:after="0" w:line="194" w:lineRule="exact"/>
        <w:rPr>
          <w:rFonts w:ascii="Times New Roman" w:cs="Times New Roman" w:eastAsia="Times New Roman" w:hAnsi="Times New Roman"/>
          <w:sz w:val="14"/>
          <w:szCs w:val="14"/>
          <w:color w:val="auto"/>
        </w:rPr>
      </w:pPr>
    </w:p>
    <w:p>
      <w:pPr>
        <w:jc w:val="both"/>
        <w:ind w:firstLine="43"/>
        <w:spacing w:after="0" w:line="255" w:lineRule="auto"/>
        <w:tabs>
          <w:tab w:leader="none" w:pos="52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means a physical or mental condition which, in the judgment of the Committee, permanently prevents a Participant from performing his usual duties for the Company or such other position or job which the Company makes available to him and for which the Participant is qualified by reason of his education, training and experience. In making its determination the Committee may, but is not required to, rely on advice of a physician competent in the area to which such Disability relates. The Committee may make the determination in its sole discretion and any decision of the Committee shall be binding on all parties.</w:t>
      </w:r>
    </w:p>
    <w:p>
      <w:pPr>
        <w:spacing w:after="0" w:line="197" w:lineRule="exact"/>
        <w:rPr>
          <w:rFonts w:ascii="Times New Roman" w:cs="Times New Roman" w:eastAsia="Times New Roman" w:hAnsi="Times New Roman"/>
          <w:sz w:val="14"/>
          <w:szCs w:val="14"/>
          <w:color w:val="auto"/>
        </w:rPr>
      </w:pPr>
    </w:p>
    <w:p>
      <w:pPr>
        <w:ind w:left="500" w:hanging="466"/>
        <w:spacing w:after="0"/>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means the date of the Company's Annual Meeting of Stockholders to be held in 2014.</w:t>
      </w:r>
    </w:p>
    <w:p>
      <w:pPr>
        <w:spacing w:after="0" w:line="235" w:lineRule="exact"/>
        <w:rPr>
          <w:rFonts w:ascii="Times New Roman" w:cs="Times New Roman" w:eastAsia="Times New Roman" w:hAnsi="Times New Roman"/>
          <w:sz w:val="14"/>
          <w:szCs w:val="14"/>
          <w:color w:val="auto"/>
        </w:rPr>
      </w:pPr>
    </w:p>
    <w:p>
      <w:pPr>
        <w:ind w:firstLine="70"/>
        <w:spacing w:after="0" w:line="282" w:lineRule="auto"/>
        <w:tabs>
          <w:tab w:leader="none" w:pos="552" w:val="left"/>
        </w:tabs>
        <w:numPr>
          <w:ilvl w:val="2"/>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Employee</w:t>
      </w:r>
      <w:r>
        <w:rPr>
          <w:rFonts w:ascii="Times New Roman" w:cs="Times New Roman" w:eastAsia="Times New Roman" w:hAnsi="Times New Roman"/>
          <w:sz w:val="14"/>
          <w:szCs w:val="14"/>
          <w:color w:val="auto"/>
        </w:rPr>
        <w:t>" means a full-time, nonunion, salaried, common law employee of the Company or any Subsidiary. The term "Employee" shall not include an individual who is not classified by the Committee as an employee, even if such individual is retroactively recharacterized as an employee by the Company, a Subsidiary or a third party.</w:t>
      </w:r>
    </w:p>
    <w:p>
      <w:pPr>
        <w:spacing w:after="0" w:line="180" w:lineRule="exact"/>
        <w:rPr>
          <w:sz w:val="20"/>
          <w:szCs w:val="20"/>
          <w:color w:val="auto"/>
        </w:rPr>
      </w:pPr>
    </w:p>
    <w:p>
      <w:pPr>
        <w:ind w:left="480" w:hanging="446"/>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means the price per share at which Common Stock may be purchased upon exercise of an Option.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81" w:right="299" w:bottom="1440" w:gutter="0" w:footer="0" w:header="0"/>
        </w:sectPr>
      </w:pPr>
    </w:p>
    <w:bookmarkStart w:id="127" w:name="page128"/>
    <w:bookmarkEnd w:id="127"/>
    <w:p>
      <w:pPr>
        <w:ind w:left="480" w:hanging="446"/>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Expiration Date</w:t>
      </w:r>
      <w:r>
        <w:rPr>
          <w:rFonts w:ascii="Times New Roman" w:cs="Times New Roman" w:eastAsia="Times New Roman" w:hAnsi="Times New Roman"/>
          <w:sz w:val="14"/>
          <w:szCs w:val="14"/>
          <w:color w:val="auto"/>
        </w:rPr>
        <w:t>" means the last date upon which an Option can be exercised, as described in Section 6(b).</w:t>
      </w:r>
    </w:p>
    <w:p>
      <w:pPr>
        <w:spacing w:after="0" w:line="235" w:lineRule="exact"/>
        <w:rPr>
          <w:rFonts w:ascii="Times New Roman" w:cs="Times New Roman" w:eastAsia="Times New Roman" w:hAnsi="Times New Roman"/>
          <w:sz w:val="14"/>
          <w:szCs w:val="14"/>
          <w:color w:val="auto"/>
        </w:rPr>
      </w:pPr>
    </w:p>
    <w:p>
      <w:pPr>
        <w:ind w:left="480" w:hanging="446"/>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means:</w:t>
      </w:r>
    </w:p>
    <w:p>
      <w:pPr>
        <w:spacing w:after="0" w:line="235" w:lineRule="exact"/>
        <w:rPr>
          <w:rFonts w:ascii="Times New Roman" w:cs="Times New Roman" w:eastAsia="Times New Roman" w:hAnsi="Times New Roman"/>
          <w:sz w:val="14"/>
          <w:szCs w:val="14"/>
          <w:color w:val="auto"/>
        </w:rPr>
      </w:pPr>
    </w:p>
    <w:p>
      <w:pPr>
        <w:ind w:firstLine="103"/>
        <w:spacing w:after="0" w:line="282" w:lineRule="auto"/>
        <w:tabs>
          <w:tab w:leader="none" w:pos="704" w:val="left"/>
        </w:tabs>
        <w:numPr>
          <w:ilvl w:val="2"/>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79" w:lineRule="exact"/>
        <w:rPr>
          <w:rFonts w:ascii="Times New Roman" w:cs="Times New Roman" w:eastAsia="Times New Roman" w:hAnsi="Times New Roman"/>
          <w:sz w:val="14"/>
          <w:szCs w:val="14"/>
          <w:color w:val="auto"/>
        </w:rPr>
      </w:pPr>
    </w:p>
    <w:p>
      <w:pPr>
        <w:ind w:right="120" w:firstLine="58"/>
        <w:spacing w:after="0" w:line="282" w:lineRule="auto"/>
        <w:tabs>
          <w:tab w:leader="none" w:pos="638" w:val="left"/>
        </w:tabs>
        <w:numPr>
          <w:ilvl w:val="2"/>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79" w:lineRule="exact"/>
        <w:rPr>
          <w:rFonts w:ascii="Times New Roman" w:cs="Times New Roman" w:eastAsia="Times New Roman" w:hAnsi="Times New Roman"/>
          <w:sz w:val="14"/>
          <w:szCs w:val="14"/>
          <w:color w:val="auto"/>
        </w:rPr>
      </w:pPr>
    </w:p>
    <w:p>
      <w:pPr>
        <w:ind w:left="640" w:hanging="582"/>
        <w:spacing w:after="0"/>
        <w:tabs>
          <w:tab w:leader="none" w:pos="640" w:val="left"/>
        </w:tabs>
        <w:numPr>
          <w:ilvl w:val="3"/>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Shares are not so listed nor trades of Shares so reported, Fair Market Value shall be determined by the Committee in good faith.</w:t>
      </w:r>
    </w:p>
    <w:p>
      <w:pPr>
        <w:spacing w:after="0" w:line="235" w:lineRule="exact"/>
        <w:rPr>
          <w:rFonts w:ascii="Times New Roman" w:cs="Times New Roman" w:eastAsia="Times New Roman" w:hAnsi="Times New Roman"/>
          <w:sz w:val="14"/>
          <w:szCs w:val="14"/>
          <w:color w:val="auto"/>
        </w:rPr>
      </w:pPr>
    </w:p>
    <w:p>
      <w:pPr>
        <w:ind w:firstLine="52"/>
        <w:spacing w:after="0" w:line="282" w:lineRule="auto"/>
        <w:tabs>
          <w:tab w:leader="none" w:pos="537" w:val="left"/>
        </w:tabs>
        <w:numPr>
          <w:ilvl w:val="3"/>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Immaculate Cashless Exercise</w:t>
      </w:r>
      <w:r>
        <w:rPr>
          <w:rFonts w:ascii="Times New Roman" w:cs="Times New Roman" w:eastAsia="Times New Roman" w:hAnsi="Times New Roman"/>
          <w:sz w:val="14"/>
          <w:szCs w:val="14"/>
          <w:color w:val="auto"/>
        </w:rPr>
        <w:t>" means an arrangement for the exercise of Options under which the Participant receives Shares having an aggregate Fair Market Value equal to the excess of the Fair Market Value of the Common Stock subject to Option exercise over the aggregate Option exercise price for such Options.</w:t>
      </w:r>
    </w:p>
    <w:p>
      <w:pPr>
        <w:spacing w:after="0" w:line="179" w:lineRule="exact"/>
        <w:rPr>
          <w:rFonts w:ascii="Times New Roman" w:cs="Times New Roman" w:eastAsia="Times New Roman" w:hAnsi="Times New Roman"/>
          <w:sz w:val="14"/>
          <w:szCs w:val="14"/>
          <w:color w:val="auto"/>
        </w:rPr>
      </w:pPr>
    </w:p>
    <w:p>
      <w:pPr>
        <w:ind w:left="500" w:hanging="466"/>
        <w:spacing w:after="0"/>
        <w:tabs>
          <w:tab w:leader="none" w:pos="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Involuntary Termination</w:t>
      </w:r>
      <w:r>
        <w:rPr>
          <w:rFonts w:ascii="Times New Roman" w:cs="Times New Roman" w:eastAsia="Times New Roman" w:hAnsi="Times New Roman"/>
          <w:sz w:val="14"/>
          <w:szCs w:val="14"/>
          <w:color w:val="auto"/>
        </w:rPr>
        <w:t>" means a Termination of Employment but does not include a Termination of Employment for Cause or a Voluntary Resignation.</w:t>
      </w:r>
    </w:p>
    <w:p>
      <w:pPr>
        <w:spacing w:after="0" w:line="235" w:lineRule="exact"/>
        <w:rPr>
          <w:rFonts w:ascii="Times New Roman" w:cs="Times New Roman" w:eastAsia="Times New Roman" w:hAnsi="Times New Roman"/>
          <w:sz w:val="14"/>
          <w:szCs w:val="14"/>
          <w:color w:val="auto"/>
        </w:rPr>
      </w:pPr>
    </w:p>
    <w:p>
      <w:pPr>
        <w:ind w:left="520" w:hanging="486"/>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Option</w:t>
      </w:r>
      <w:r>
        <w:rPr>
          <w:rFonts w:ascii="Times New Roman" w:cs="Times New Roman" w:eastAsia="Times New Roman" w:hAnsi="Times New Roman"/>
          <w:sz w:val="14"/>
          <w:szCs w:val="14"/>
          <w:color w:val="auto"/>
        </w:rPr>
        <w:t>" means a right to purchase Shares granted pursuant to Section 6 of this Program, which shall not be treated as an incentive stock option under section 422 of the Code.</w:t>
      </w:r>
    </w:p>
    <w:p>
      <w:pPr>
        <w:spacing w:after="0" w:line="235" w:lineRule="exact"/>
        <w:rPr>
          <w:rFonts w:ascii="Times New Roman" w:cs="Times New Roman" w:eastAsia="Times New Roman" w:hAnsi="Times New Roman"/>
          <w:sz w:val="14"/>
          <w:szCs w:val="14"/>
          <w:color w:val="auto"/>
        </w:rPr>
      </w:pPr>
    </w:p>
    <w:p>
      <w:pPr>
        <w:ind w:firstLine="52"/>
        <w:spacing w:after="0" w:line="282" w:lineRule="auto"/>
        <w:tabs>
          <w:tab w:leader="none" w:pos="570" w:val="left"/>
        </w:tabs>
        <w:numPr>
          <w:ilvl w:val="3"/>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means an individual to whom an Award is granted pursuant to the Program, provided that with respect to Section 12, the term "Participant" shall mean any Employee of the Company who has entered into an employment agreement with the Company that provides for the grant of Phantom Stock Units pursuant to the Program.</w:t>
      </w:r>
    </w:p>
    <w:p>
      <w:pPr>
        <w:spacing w:after="0" w:line="179" w:lineRule="exact"/>
        <w:rPr>
          <w:rFonts w:ascii="Times New Roman" w:cs="Times New Roman" w:eastAsia="Times New Roman" w:hAnsi="Times New Roman"/>
          <w:sz w:val="14"/>
          <w:szCs w:val="14"/>
          <w:color w:val="auto"/>
        </w:rPr>
      </w:pPr>
    </w:p>
    <w:p>
      <w:pPr>
        <w:jc w:val="both"/>
        <w:ind w:firstLine="88"/>
        <w:spacing w:after="0" w:line="251" w:lineRule="auto"/>
        <w:tabs>
          <w:tab w:leader="none" w:pos="624" w:val="left"/>
        </w:tabs>
        <w:numPr>
          <w:ilvl w:val="4"/>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Holder</w:t>
      </w:r>
      <w:r>
        <w:rPr>
          <w:rFonts w:ascii="Times New Roman" w:cs="Times New Roman" w:eastAsia="Times New Roman" w:hAnsi="Times New Roman"/>
          <w:sz w:val="14"/>
          <w:szCs w:val="14"/>
          <w:color w:val="auto"/>
        </w:rPr>
        <w:t>" means each of the Estate of Dr. Felix Zandman, Dr. Felix Zandman's surviving spouse, his children or lineal descendants, the Estate of Mrs. Luella B. Slaner or her children or lineal descendants, any trust established for the benefit of such persons, or any "person" (as such term is used in Section 13(d) or Section 14(d) of the Exchange Act), directly or indirectly, controlling, controlled by or under common control with any such person referenced in this Section 2(v) or any trust established for the benefit of such persons or any charitable trust or non-profit entry established by a Permitted Holder, or any group in which such Permitted Holders hold more than a majority of the voting power of the Common Stock and Class B Common Stock deemed to be beneficially owned by such group.</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9" w:right="299" w:bottom="1440" w:gutter="0" w:footer="0" w:header="0"/>
        </w:sectPr>
      </w:pPr>
    </w:p>
    <w:bookmarkStart w:id="128" w:name="page129"/>
    <w:bookmarkEnd w:id="128"/>
    <w:p>
      <w:pPr>
        <w:ind w:left="520" w:hanging="486"/>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Phantom Stock Unit</w:t>
      </w:r>
      <w:r>
        <w:rPr>
          <w:rFonts w:ascii="Times New Roman" w:cs="Times New Roman" w:eastAsia="Times New Roman" w:hAnsi="Times New Roman"/>
          <w:sz w:val="14"/>
          <w:szCs w:val="14"/>
          <w:color w:val="auto"/>
        </w:rPr>
        <w:t>" shall mean a right to receive a Share on a future date referenced in a Participant's employment agreement between the Company or a Subsidiary and the Participant.</w:t>
      </w:r>
    </w:p>
    <w:p>
      <w:pPr>
        <w:spacing w:after="0" w:line="235" w:lineRule="exact"/>
        <w:rPr>
          <w:rFonts w:ascii="Times New Roman" w:cs="Times New Roman" w:eastAsia="Times New Roman" w:hAnsi="Times New Roman"/>
          <w:sz w:val="14"/>
          <w:szCs w:val="14"/>
          <w:color w:val="auto"/>
        </w:rPr>
      </w:pPr>
    </w:p>
    <w:p>
      <w:pPr>
        <w:ind w:left="520" w:hanging="486"/>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Phantom Stock Plan</w:t>
      </w:r>
      <w:r>
        <w:rPr>
          <w:rFonts w:ascii="Times New Roman" w:cs="Times New Roman" w:eastAsia="Times New Roman" w:hAnsi="Times New Roman"/>
          <w:sz w:val="14"/>
          <w:szCs w:val="14"/>
          <w:color w:val="auto"/>
        </w:rPr>
        <w:t>" means the Vishay Intertechnology, Inc. Senior Executive Phantom Stock Plan which was merged with and into the Program, as amended and restated.</w:t>
      </w:r>
    </w:p>
    <w:p>
      <w:pPr>
        <w:spacing w:after="0" w:line="235" w:lineRule="exact"/>
        <w:rPr>
          <w:rFonts w:ascii="Times New Roman" w:cs="Times New Roman" w:eastAsia="Times New Roman" w:hAnsi="Times New Roman"/>
          <w:sz w:val="14"/>
          <w:szCs w:val="14"/>
          <w:color w:val="auto"/>
        </w:rPr>
      </w:pPr>
    </w:p>
    <w:p>
      <w:pPr>
        <w:ind w:left="520" w:hanging="486"/>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Program</w:t>
      </w:r>
      <w:r>
        <w:rPr>
          <w:rFonts w:ascii="Times New Roman" w:cs="Times New Roman" w:eastAsia="Times New Roman" w:hAnsi="Times New Roman"/>
          <w:sz w:val="14"/>
          <w:szCs w:val="14"/>
          <w:color w:val="auto"/>
        </w:rPr>
        <w:t>" means the Vishay Intertechnology, Inc. 2007 Stock Incentive Program, as amended and restated, and as may be amended from time to time.</w:t>
      </w:r>
    </w:p>
    <w:p>
      <w:pPr>
        <w:spacing w:after="0" w:line="235" w:lineRule="exact"/>
        <w:rPr>
          <w:rFonts w:ascii="Times New Roman" w:cs="Times New Roman" w:eastAsia="Times New Roman" w:hAnsi="Times New Roman"/>
          <w:sz w:val="14"/>
          <w:szCs w:val="14"/>
          <w:color w:val="auto"/>
        </w:rPr>
      </w:pPr>
    </w:p>
    <w:p>
      <w:pPr>
        <w:ind w:left="520" w:hanging="486"/>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Program Action</w:t>
      </w:r>
      <w:r>
        <w:rPr>
          <w:rFonts w:ascii="Times New Roman" w:cs="Times New Roman" w:eastAsia="Times New Roman" w:hAnsi="Times New Roman"/>
          <w:sz w:val="14"/>
          <w:szCs w:val="14"/>
          <w:color w:val="auto"/>
        </w:rPr>
        <w:t>" has the meaning prescribed in Section 14.</w:t>
      </w:r>
    </w:p>
    <w:p>
      <w:pPr>
        <w:spacing w:after="0" w:line="235" w:lineRule="exact"/>
        <w:rPr>
          <w:sz w:val="20"/>
          <w:szCs w:val="20"/>
          <w:color w:val="auto"/>
        </w:rPr>
      </w:pPr>
    </w:p>
    <w:p>
      <w:pPr>
        <w:ind w:left="500" w:hanging="466"/>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Stock</w:t>
      </w:r>
      <w:r>
        <w:rPr>
          <w:rFonts w:ascii="Times New Roman" w:cs="Times New Roman" w:eastAsia="Times New Roman" w:hAnsi="Times New Roman"/>
          <w:sz w:val="14"/>
          <w:szCs w:val="14"/>
          <w:color w:val="auto"/>
        </w:rPr>
        <w:t>" means restricted Shares that are forfeitable on the date of grant and that may not be transferred until vested.</w:t>
      </w:r>
    </w:p>
    <w:p>
      <w:pPr>
        <w:spacing w:after="0" w:line="235" w:lineRule="exact"/>
        <w:rPr>
          <w:rFonts w:ascii="Times New Roman" w:cs="Times New Roman" w:eastAsia="Times New Roman" w:hAnsi="Times New Roman"/>
          <w:sz w:val="14"/>
          <w:szCs w:val="14"/>
          <w:color w:val="auto"/>
        </w:rPr>
      </w:pPr>
    </w:p>
    <w:p>
      <w:pPr>
        <w:ind w:left="520" w:hanging="486"/>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Stock Unit</w:t>
      </w:r>
      <w:r>
        <w:rPr>
          <w:rFonts w:ascii="Times New Roman" w:cs="Times New Roman" w:eastAsia="Times New Roman" w:hAnsi="Times New Roman"/>
          <w:sz w:val="14"/>
          <w:szCs w:val="14"/>
          <w:color w:val="auto"/>
        </w:rPr>
        <w:t>" means the right to receive a Share on a date determined by the Committee and set forth in the applicable Agreement.</w:t>
      </w:r>
    </w:p>
    <w:p>
      <w:pPr>
        <w:spacing w:after="0" w:line="235" w:lineRule="exact"/>
        <w:rPr>
          <w:sz w:val="20"/>
          <w:szCs w:val="20"/>
          <w:color w:val="auto"/>
        </w:rPr>
      </w:pPr>
    </w:p>
    <w:p>
      <w:pPr>
        <w:ind w:firstLine="106"/>
        <w:spacing w:after="0" w:line="282" w:lineRule="auto"/>
        <w:tabs>
          <w:tab w:leader="none" w:pos="626" w:val="left"/>
        </w:tabs>
        <w:numPr>
          <w:ilvl w:val="2"/>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Retirement</w:t>
      </w:r>
      <w:r>
        <w:rPr>
          <w:rFonts w:ascii="Times New Roman" w:cs="Times New Roman" w:eastAsia="Times New Roman" w:hAnsi="Times New Roman"/>
          <w:sz w:val="14"/>
          <w:szCs w:val="14"/>
          <w:color w:val="auto"/>
        </w:rPr>
        <w:t>" means a Termination of Employment from the Company or a Subsidiary, with the consent of the Company, on or after the "normal retirement age" defined under any tax qualified retirement plan maintained by the Company.</w:t>
      </w:r>
    </w:p>
    <w:p>
      <w:pPr>
        <w:spacing w:after="0" w:line="179" w:lineRule="exact"/>
        <w:rPr>
          <w:rFonts w:ascii="Times New Roman" w:cs="Times New Roman" w:eastAsia="Times New Roman" w:hAnsi="Times New Roman"/>
          <w:sz w:val="14"/>
          <w:szCs w:val="14"/>
          <w:color w:val="auto"/>
        </w:rPr>
      </w:pPr>
    </w:p>
    <w:p>
      <w:pPr>
        <w:ind w:left="480" w:hanging="446"/>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SAR Spread</w:t>
      </w:r>
      <w:r>
        <w:rPr>
          <w:rFonts w:ascii="Times New Roman" w:cs="Times New Roman" w:eastAsia="Times New Roman" w:hAnsi="Times New Roman"/>
          <w:sz w:val="14"/>
          <w:szCs w:val="14"/>
          <w:color w:val="auto"/>
        </w:rPr>
        <w:t>" has the meaning prescribed in Section 2(ff).</w:t>
      </w:r>
    </w:p>
    <w:p>
      <w:pPr>
        <w:spacing w:after="0" w:line="235" w:lineRule="exact"/>
        <w:rPr>
          <w:rFonts w:ascii="Times New Roman" w:cs="Times New Roman" w:eastAsia="Times New Roman" w:hAnsi="Times New Roman"/>
          <w:sz w:val="14"/>
          <w:szCs w:val="14"/>
          <w:color w:val="auto"/>
        </w:rPr>
      </w:pPr>
    </w:p>
    <w:p>
      <w:pPr>
        <w:ind w:left="500" w:hanging="466"/>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Share</w:t>
      </w:r>
      <w:r>
        <w:rPr>
          <w:rFonts w:ascii="Times New Roman" w:cs="Times New Roman" w:eastAsia="Times New Roman" w:hAnsi="Times New Roman"/>
          <w:sz w:val="14"/>
          <w:szCs w:val="14"/>
          <w:color w:val="auto"/>
        </w:rPr>
        <w:t>" means a share of Common Stock.</w:t>
      </w:r>
    </w:p>
    <w:p>
      <w:pPr>
        <w:spacing w:after="0" w:line="235" w:lineRule="exact"/>
        <w:rPr>
          <w:rFonts w:ascii="Times New Roman" w:cs="Times New Roman" w:eastAsia="Times New Roman" w:hAnsi="Times New Roman"/>
          <w:sz w:val="14"/>
          <w:szCs w:val="14"/>
          <w:color w:val="auto"/>
        </w:rPr>
      </w:pPr>
    </w:p>
    <w:p>
      <w:pPr>
        <w:ind w:firstLine="70"/>
        <w:spacing w:after="0" w:line="282" w:lineRule="auto"/>
        <w:tabs>
          <w:tab w:leader="none" w:pos="573"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 Appreciation Right</w:t>
      </w:r>
      <w:r>
        <w:rPr>
          <w:rFonts w:ascii="Times New Roman" w:cs="Times New Roman" w:eastAsia="Times New Roman" w:hAnsi="Times New Roman"/>
          <w:sz w:val="14"/>
          <w:szCs w:val="14"/>
          <w:color w:val="auto"/>
        </w:rPr>
        <w:t>" means the right to receive in cash or Shares the excess, if any, of the Fair Market Value of a Share on the exercise date over the Fair Market Value of a Share on the grant date (the SAR Spread), and otherwise shall have the same terms and conditions as an Option granted hereunder.</w:t>
      </w:r>
    </w:p>
    <w:p>
      <w:pPr>
        <w:spacing w:after="0" w:line="179" w:lineRule="exact"/>
        <w:rPr>
          <w:rFonts w:ascii="Times New Roman" w:cs="Times New Roman" w:eastAsia="Times New Roman" w:hAnsi="Times New Roman"/>
          <w:sz w:val="14"/>
          <w:szCs w:val="14"/>
          <w:color w:val="auto"/>
        </w:rPr>
      </w:pPr>
    </w:p>
    <w:p>
      <w:pPr>
        <w:jc w:val="both"/>
        <w:ind w:firstLine="79"/>
        <w:spacing w:after="0" w:line="261" w:lineRule="auto"/>
        <w:tabs>
          <w:tab w:leader="none" w:pos="597"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any trade or business, including, without limitation, a corporation (other than the Company), partnership or limited liability company in an unbroken chain of trades or businesses beginning with the Company if, at the time of the granting of the Award, each of the trades or businesses other than the last trade or business in the unbroken chain owns ownership interests equal to 50% or more of the total combined voting power of all ownership interests in one of the other trades or businesses in the chain.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81" w:right="299" w:bottom="1440" w:gutter="0" w:footer="0" w:header="0"/>
        </w:sectPr>
      </w:pPr>
    </w:p>
    <w:bookmarkStart w:id="129" w:name="page130"/>
    <w:bookmarkEnd w:id="129"/>
    <w:p>
      <w:pPr>
        <w:ind w:left="520" w:hanging="486"/>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Termination of Employment</w:t>
      </w:r>
      <w:r>
        <w:rPr>
          <w:rFonts w:ascii="Times New Roman" w:cs="Times New Roman" w:eastAsia="Times New Roman" w:hAnsi="Times New Roman"/>
          <w:sz w:val="14"/>
          <w:szCs w:val="14"/>
          <w:color w:val="auto"/>
        </w:rPr>
        <w:t>."</w:t>
      </w:r>
    </w:p>
    <w:p>
      <w:pPr>
        <w:spacing w:after="0" w:line="235" w:lineRule="exact"/>
        <w:rPr>
          <w:sz w:val="20"/>
          <w:szCs w:val="20"/>
          <w:color w:val="auto"/>
        </w:rPr>
      </w:pPr>
    </w:p>
    <w:p>
      <w:pPr>
        <w:jc w:val="both"/>
        <w:ind w:firstLine="85"/>
        <w:spacing w:after="0" w:line="249" w:lineRule="auto"/>
        <w:tabs>
          <w:tab w:leader="none" w:pos="679"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 General</w:t>
      </w:r>
      <w:r>
        <w:rPr>
          <w:rFonts w:ascii="Times New Roman" w:cs="Times New Roman" w:eastAsia="Times New Roman" w:hAnsi="Times New Roman"/>
          <w:sz w:val="14"/>
          <w:szCs w:val="14"/>
          <w:color w:val="auto"/>
        </w:rPr>
        <w:t>. "Termination of Employment" means the termination of the employee-employer relationship between an Employee and the Company or a Subsidiary, or the termination of service as a member of the Board, regardless of the fact that severance or similar payments are made to the Participant, for any reason, including, but not limited to, a Voluntary Resignation, Involuntary Termination, termination for Cause, death, Disability or Retirement. The Committee shall, in its absolute discretion, determine the effect of all matters and questions relating to a Termination of Employment, including, but not by way of limitation, the question of whether a leave of absence constitutes a Termination of Employment, or whether a Termination of Employment is for Cause. If a Participant is both an Employee and a member of the Board or if a Participant ceases to be an Employee or Board member and immediately commences service in the other capacity, then a Termination of Employment shall occur when the Participant is neither an Employee nor a member of the Board.</w:t>
      </w:r>
    </w:p>
    <w:p>
      <w:pPr>
        <w:spacing w:after="0" w:line="204" w:lineRule="exact"/>
        <w:rPr>
          <w:sz w:val="20"/>
          <w:szCs w:val="20"/>
          <w:color w:val="auto"/>
        </w:rPr>
      </w:pPr>
    </w:p>
    <w:p>
      <w:pPr>
        <w:ind w:left="620" w:hanging="562"/>
        <w:spacing w:after="0"/>
        <w:tabs>
          <w:tab w:leader="none" w:pos="62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Special Provisions Relating to Section 409A of the Code</w:t>
      </w:r>
      <w:r>
        <w:rPr>
          <w:rFonts w:ascii="Times New Roman" w:cs="Times New Roman" w:eastAsia="Times New Roman" w:hAnsi="Times New Roman"/>
          <w:sz w:val="14"/>
          <w:szCs w:val="14"/>
          <w:color w:val="auto"/>
        </w:rPr>
        <w:t>.</w:t>
      </w:r>
    </w:p>
    <w:p>
      <w:pPr>
        <w:spacing w:after="0" w:line="37" w:lineRule="exact"/>
        <w:rPr>
          <w:rFonts w:ascii="Times New Roman" w:cs="Times New Roman" w:eastAsia="Times New Roman" w:hAnsi="Times New Roman"/>
          <w:sz w:val="14"/>
          <w:szCs w:val="14"/>
          <w:color w:val="auto"/>
        </w:rPr>
      </w:pPr>
    </w:p>
    <w:p>
      <w:pPr>
        <w:jc w:val="both"/>
        <w:ind w:firstLine="169"/>
        <w:spacing w:after="0" w:line="255" w:lineRule="auto"/>
        <w:tabs>
          <w:tab w:leader="none" w:pos="835" w:val="left"/>
        </w:tabs>
        <w:numPr>
          <w:ilvl w:val="2"/>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compliance with the requirements of Treasury Regulation § 1.409A-3(i)(2) (or any successor provision) is necessary to avoid the application of an additional tax under section 409A of the Code to payments due to a Participant upon or following his Termination of Employment, then notwithstanding any other provision of the Program, any such payments that are otherwise due within six months following the Participant's Termination of Employment, including but not limited to payments described in Section 12(d), will be deferred and paid to the Participant in a lump sum immediately following that six-month period.</w:t>
      </w:r>
    </w:p>
    <w:p>
      <w:pPr>
        <w:spacing w:after="0" w:line="161" w:lineRule="exact"/>
        <w:rPr>
          <w:rFonts w:ascii="Times New Roman" w:cs="Times New Roman" w:eastAsia="Times New Roman" w:hAnsi="Times New Roman"/>
          <w:sz w:val="14"/>
          <w:szCs w:val="14"/>
          <w:color w:val="auto"/>
        </w:rPr>
      </w:pPr>
    </w:p>
    <w:p>
      <w:pPr>
        <w:jc w:val="both"/>
        <w:ind w:firstLine="205"/>
        <w:spacing w:after="0" w:line="261" w:lineRule="auto"/>
        <w:tabs>
          <w:tab w:leader="none" w:pos="878" w:val="left"/>
        </w:tabs>
        <w:numPr>
          <w:ilvl w:val="3"/>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the Program to the contrary, any payment or benefit provided to a Participant upon or following his or her Termination of Employment that represents a "deferral of compensation" within the meaning of section 409A of the Code shall only be paid or provided to the Participant upon his or her "separation from service" within the meaning of Treas. Reg. § 1.409A-1(h) (or any successor regulation).</w:t>
      </w:r>
    </w:p>
    <w:p>
      <w:pPr>
        <w:spacing w:after="0" w:line="194" w:lineRule="exact"/>
        <w:rPr>
          <w:rFonts w:ascii="Times New Roman" w:cs="Times New Roman" w:eastAsia="Times New Roman" w:hAnsi="Times New Roman"/>
          <w:sz w:val="14"/>
          <w:szCs w:val="14"/>
          <w:color w:val="auto"/>
        </w:rPr>
      </w:pPr>
    </w:p>
    <w:p>
      <w:pPr>
        <w:ind w:left="500" w:hanging="466"/>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Stock</w:t>
      </w:r>
      <w:r>
        <w:rPr>
          <w:rFonts w:ascii="Times New Roman" w:cs="Times New Roman" w:eastAsia="Times New Roman" w:hAnsi="Times New Roman"/>
          <w:sz w:val="14"/>
          <w:szCs w:val="14"/>
          <w:color w:val="auto"/>
        </w:rPr>
        <w:t>" means Shares that are fully and immediately vested at the date of grant of an Award.</w:t>
      </w:r>
    </w:p>
    <w:p>
      <w:pPr>
        <w:spacing w:after="0" w:line="235" w:lineRule="exact"/>
        <w:rPr>
          <w:rFonts w:ascii="Times New Roman" w:cs="Times New Roman" w:eastAsia="Times New Roman" w:hAnsi="Times New Roman"/>
          <w:sz w:val="14"/>
          <w:szCs w:val="14"/>
          <w:color w:val="auto"/>
        </w:rPr>
      </w:pPr>
    </w:p>
    <w:p>
      <w:pPr>
        <w:ind w:left="500" w:hanging="466"/>
        <w:spacing w:after="0"/>
        <w:tabs>
          <w:tab w:leader="none" w:pos="5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Voluntary Resignation</w:t>
      </w:r>
      <w:r>
        <w:rPr>
          <w:rFonts w:ascii="Times New Roman" w:cs="Times New Roman" w:eastAsia="Times New Roman" w:hAnsi="Times New Roman"/>
          <w:sz w:val="14"/>
          <w:szCs w:val="14"/>
          <w:color w:val="auto"/>
        </w:rPr>
        <w:t>" means a Termination of Employment as a result of the Participant's resignation.</w:t>
      </w:r>
    </w:p>
    <w:p>
      <w:pPr>
        <w:spacing w:after="0" w:line="235" w:lineRule="exact"/>
        <w:rPr>
          <w:sz w:val="20"/>
          <w:szCs w:val="20"/>
          <w:color w:val="auto"/>
        </w:rPr>
      </w:pPr>
    </w:p>
    <w:p>
      <w:pPr>
        <w:ind w:left="960" w:hanging="536"/>
        <w:spacing w:after="0"/>
        <w:tabs>
          <w:tab w:leader="none" w:pos="96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jc w:val="both"/>
        <w:ind w:firstLine="196"/>
        <w:spacing w:after="0" w:line="170" w:lineRule="exact"/>
        <w:tabs>
          <w:tab w:leader="none" w:pos="791"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Program shall be administered by the Committee, which shall consist of at least two directors who are not Employees of the Company or a Subsidiary. The members of the Committee shall be appointed by, and serve at the pleasure of, the Board. To the extent required for transactions under the Program to qualify for the exemptions available under Rule 16b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 promulgated under the Securities Exchange Act of 1934, the members of the Committee shall be "non-employee directors" within the meaning of Rule 16b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 To the extent required for compensation realized from Awards to be deductible by the Company pursuant to section 162(m) of the Code, the members of the Committee shall be "outside directors" within the meaning of section 162(m). Notwithstanding the foregoing, no grant of an Award shall be invalidated if the Committee is not so constituted. If the Committee does not exist, or for any other reason determined by the Board, the Board may take any action under the Program that would otherwise be the responsibility of the Committee.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30" w:name="page131"/>
    <w:bookmarkEnd w:id="130"/>
    <w:p>
      <w:pPr>
        <w:ind w:left="520" w:hanging="486"/>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shall have full authority, in its discretion, to:</w:t>
      </w:r>
    </w:p>
    <w:p>
      <w:pPr>
        <w:spacing w:after="0" w:line="235" w:lineRule="exact"/>
        <w:rPr>
          <w:sz w:val="20"/>
          <w:szCs w:val="20"/>
          <w:color w:val="auto"/>
        </w:rPr>
      </w:pPr>
    </w:p>
    <w:p>
      <w:pPr>
        <w:ind w:left="620" w:hanging="562"/>
        <w:spacing w:after="0"/>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Employees of the Company or any Subsidiary to whom Awards shall be granted and the terms and provisions of each Award, subject to the provisions of this Program;</w:t>
      </w:r>
    </w:p>
    <w:p>
      <w:pPr>
        <w:spacing w:after="0" w:line="235" w:lineRule="exact"/>
        <w:rPr>
          <w:rFonts w:ascii="Times New Roman" w:cs="Times New Roman" w:eastAsia="Times New Roman" w:hAnsi="Times New Roman"/>
          <w:sz w:val="14"/>
          <w:szCs w:val="14"/>
          <w:color w:val="auto"/>
        </w:rPr>
      </w:pPr>
    </w:p>
    <w:p>
      <w:pPr>
        <w:ind w:left="620" w:hanging="562"/>
        <w:spacing w:after="0"/>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all of the powers granted to it under this Program;</w:t>
      </w:r>
    </w:p>
    <w:p>
      <w:pPr>
        <w:spacing w:after="0" w:line="235" w:lineRule="exact"/>
        <w:rPr>
          <w:rFonts w:ascii="Times New Roman" w:cs="Times New Roman" w:eastAsia="Times New Roman" w:hAnsi="Times New Roman"/>
          <w:sz w:val="14"/>
          <w:szCs w:val="14"/>
          <w:color w:val="auto"/>
        </w:rPr>
      </w:pPr>
    </w:p>
    <w:p>
      <w:pPr>
        <w:ind w:left="640" w:hanging="582"/>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construe, interpret and implement the Program and any Agreement;</w:t>
      </w:r>
    </w:p>
    <w:p>
      <w:pPr>
        <w:spacing w:after="0" w:line="235" w:lineRule="exact"/>
        <w:rPr>
          <w:rFonts w:ascii="Times New Roman" w:cs="Times New Roman" w:eastAsia="Times New Roman" w:hAnsi="Times New Roman"/>
          <w:sz w:val="14"/>
          <w:szCs w:val="14"/>
          <w:color w:val="auto"/>
        </w:rPr>
      </w:pPr>
    </w:p>
    <w:p>
      <w:pPr>
        <w:ind w:left="620" w:hanging="562"/>
        <w:spacing w:after="0"/>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prescribe, amend and rescind rules and regulations relating to this Program, including rules governing its own operations;</w:t>
      </w:r>
    </w:p>
    <w:p>
      <w:pPr>
        <w:spacing w:after="0" w:line="235" w:lineRule="exact"/>
        <w:rPr>
          <w:rFonts w:ascii="Times New Roman" w:cs="Times New Roman" w:eastAsia="Times New Roman" w:hAnsi="Times New Roman"/>
          <w:sz w:val="14"/>
          <w:szCs w:val="14"/>
          <w:color w:val="auto"/>
        </w:rPr>
      </w:pPr>
    </w:p>
    <w:p>
      <w:pPr>
        <w:ind w:left="620" w:hanging="562"/>
        <w:spacing w:after="0"/>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terms and provisions of the respective Agreement with each Participant;</w:t>
      </w:r>
    </w:p>
    <w:p>
      <w:pPr>
        <w:spacing w:after="0" w:line="235" w:lineRule="exact"/>
        <w:rPr>
          <w:rFonts w:ascii="Times New Roman" w:cs="Times New Roman" w:eastAsia="Times New Roman" w:hAnsi="Times New Roman"/>
          <w:sz w:val="14"/>
          <w:szCs w:val="14"/>
          <w:color w:val="auto"/>
        </w:rPr>
      </w:pPr>
    </w:p>
    <w:p>
      <w:pPr>
        <w:ind w:left="620" w:hanging="562"/>
        <w:spacing w:after="0"/>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all determinations necessary or advisable in administering the Program; and</w:t>
      </w:r>
    </w:p>
    <w:p>
      <w:pPr>
        <w:spacing w:after="0" w:line="235" w:lineRule="exact"/>
        <w:rPr>
          <w:rFonts w:ascii="Times New Roman" w:cs="Times New Roman" w:eastAsia="Times New Roman" w:hAnsi="Times New Roman"/>
          <w:sz w:val="14"/>
          <w:szCs w:val="14"/>
          <w:color w:val="auto"/>
        </w:rPr>
      </w:pPr>
    </w:p>
    <w:p>
      <w:pPr>
        <w:ind w:left="620" w:hanging="562"/>
        <w:spacing w:after="0"/>
        <w:tabs>
          <w:tab w:leader="none" w:pos="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correct any defect, supply any omission and reconcile any inconsistency in the Program.</w:t>
      </w:r>
    </w:p>
    <w:p>
      <w:pPr>
        <w:spacing w:after="0" w:line="2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The Committee's determinations under the Program need not be uniform and may be made by it selectively among persons who receive, or are eligible to receive, Awards under the Program (whether or not such persons are similarly situated). The Committee's decisions shall be final and binding on all Participants.</w:t>
      </w:r>
    </w:p>
    <w:p>
      <w:pPr>
        <w:spacing w:after="0" w:line="180" w:lineRule="exact"/>
        <w:rPr>
          <w:sz w:val="20"/>
          <w:szCs w:val="20"/>
          <w:color w:val="auto"/>
        </w:rPr>
      </w:pPr>
    </w:p>
    <w:p>
      <w:pPr>
        <w:jc w:val="both"/>
        <w:ind w:firstLine="187"/>
        <w:spacing w:after="0" w:line="256" w:lineRule="auto"/>
        <w:tabs>
          <w:tab w:leader="none" w:pos="864" w:val="left"/>
        </w:tabs>
        <w:numPr>
          <w:ilvl w:val="2"/>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 of the Committee shall be taken by the vote of a majority of its members. The determination of the Committee on all matters relating to the Program or any Agreement (including, without limitation, the determination as to whether an event has occurred resulting in forfeiture or a termination or reduction of the Company's obligations in accordance with the terms of this Program) shall be final, binding and conclusive. No member of the Committee shall be liable for any action or determination made in good faith with respect to the Program or any award thereunder.</w:t>
      </w:r>
    </w:p>
    <w:p>
      <w:pPr>
        <w:spacing w:after="0" w:line="366" w:lineRule="exact"/>
        <w:rPr>
          <w:rFonts w:ascii="Times New Roman" w:cs="Times New Roman" w:eastAsia="Times New Roman" w:hAnsi="Times New Roman"/>
          <w:sz w:val="14"/>
          <w:szCs w:val="14"/>
          <w:color w:val="auto"/>
        </w:rPr>
      </w:pPr>
    </w:p>
    <w:p>
      <w:pPr>
        <w:jc w:val="both"/>
        <w:ind w:firstLine="61"/>
        <w:spacing w:after="0" w:line="251" w:lineRule="auto"/>
        <w:tabs>
          <w:tab w:leader="none" w:pos="649"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the Program, the Committee (or the Board acting instead of the Committee), may delegate to one or more officers of the Company the authority to designate the individuals (other than such officer(s) or any member of the Board), among those eligible to receive awards pursuant to the terms of the Program, who will receive Awards and the size of each such grant, to the fullest extent permitted by Section 157 of the Delaware General Corporation Law (or any successor provision thereto). The Committee may additionally delegate to one or more officers of the Company the day-to-day administrative management of the Program to the fullest extent permitted by Section 157 of the Delaware General Corporation Law (or any successor provision thereto).</w:t>
      </w:r>
    </w:p>
    <w:p>
      <w:pPr>
        <w:spacing w:after="0" w:line="202" w:lineRule="exact"/>
        <w:rPr>
          <w:rFonts w:ascii="Times New Roman" w:cs="Times New Roman" w:eastAsia="Times New Roman" w:hAnsi="Times New Roman"/>
          <w:sz w:val="14"/>
          <w:szCs w:val="14"/>
          <w:color w:val="auto"/>
        </w:rPr>
      </w:pPr>
    </w:p>
    <w:p>
      <w:pPr>
        <w:ind w:right="20" w:firstLine="70"/>
        <w:spacing w:after="0" w:line="282" w:lineRule="auto"/>
        <w:tabs>
          <w:tab w:leader="none" w:pos="70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Awards granted to members of the Board who are not Employees of the Company, the Program shall be administered as otherwise set forth in this Section 3, including determining which individuals shall receive Awards and the terms of any such Awards, solely by the Board.</w:t>
      </w:r>
    </w:p>
    <w:p>
      <w:pPr>
        <w:spacing w:after="0" w:line="179" w:lineRule="exact"/>
        <w:rPr>
          <w:rFonts w:ascii="Times New Roman" w:cs="Times New Roman" w:eastAsia="Times New Roman" w:hAnsi="Times New Roman"/>
          <w:sz w:val="14"/>
          <w:szCs w:val="14"/>
          <w:color w:val="auto"/>
        </w:rPr>
      </w:pPr>
    </w:p>
    <w:p>
      <w:pPr>
        <w:ind w:left="600" w:hanging="566"/>
        <w:spacing w:after="0"/>
        <w:tabs>
          <w:tab w:leader="none" w:pos="6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expenses of the Program shall be borne by the Company.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31" w:name="page132"/>
    <w:bookmarkEnd w:id="131"/>
    <w:p>
      <w:pPr>
        <w:ind w:left="620" w:hanging="538"/>
        <w:spacing w:after="0"/>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Shares Available</w:t>
      </w:r>
      <w:r>
        <w:rPr>
          <w:rFonts w:ascii="Times New Roman" w:cs="Times New Roman" w:eastAsia="Times New Roman" w:hAnsi="Times New Roman"/>
          <w:sz w:val="14"/>
          <w:szCs w:val="14"/>
          <w:color w:val="auto"/>
        </w:rPr>
        <w:t>.</w:t>
      </w:r>
    </w:p>
    <w:p>
      <w:pPr>
        <w:spacing w:after="0" w:line="235" w:lineRule="exact"/>
        <w:rPr>
          <w:sz w:val="20"/>
          <w:szCs w:val="20"/>
          <w:color w:val="auto"/>
        </w:rPr>
      </w:pPr>
    </w:p>
    <w:p>
      <w:pPr>
        <w:jc w:val="both"/>
        <w:ind w:firstLine="43"/>
        <w:spacing w:after="0" w:line="249" w:lineRule="auto"/>
        <w:tabs>
          <w:tab w:leader="none" w:pos="64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 Available</w:t>
      </w:r>
      <w:r>
        <w:rPr>
          <w:rFonts w:ascii="Times New Roman" w:cs="Times New Roman" w:eastAsia="Times New Roman" w:hAnsi="Times New Roman"/>
          <w:sz w:val="14"/>
          <w:szCs w:val="14"/>
          <w:color w:val="auto"/>
        </w:rPr>
        <w:t>. Subject to adjustment in accordance with Section 4(c), the number of Shares for which Awards may be granted under this Program is 6,500,000, including 300,000 Shares previously reserved for issuance under the Phantom Stock Plan, which may consist of treasury shares, authorized but unissued Shares or Shares acquired by the Company for purposes of the Program. The maximum number of Shares subject to Awards granted under this Program to any participating Employee for any year shall not exceed 300,000, subject to adjustment in accordance with Section 4(c). To the extent permitted by law, any Shares attributable to the unexercised, unearned or otherwise unsettled portion of any Award that is forfeited, canceled, expires or terminates for any reason without being exercised, earned or otherwise settled in full, including such Shares underlying Awards granted before the Effective Date, shall again be available for the grant of Awards under this Program.</w:t>
      </w:r>
    </w:p>
    <w:p>
      <w:pPr>
        <w:spacing w:after="0" w:line="203" w:lineRule="exact"/>
        <w:rPr>
          <w:rFonts w:ascii="Times New Roman" w:cs="Times New Roman" w:eastAsia="Times New Roman" w:hAnsi="Times New Roman"/>
          <w:sz w:val="14"/>
          <w:szCs w:val="14"/>
          <w:color w:val="auto"/>
        </w:rPr>
      </w:pPr>
    </w:p>
    <w:p>
      <w:pPr>
        <w:jc w:val="both"/>
        <w:ind w:firstLine="142"/>
        <w:spacing w:after="0" w:line="249" w:lineRule="auto"/>
        <w:tabs>
          <w:tab w:leader="none" w:pos="849"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Share Withholding and Immaculate Cashless Exercise</w:t>
      </w:r>
      <w:r>
        <w:rPr>
          <w:rFonts w:ascii="Times New Roman" w:cs="Times New Roman" w:eastAsia="Times New Roman" w:hAnsi="Times New Roman"/>
          <w:sz w:val="14"/>
          <w:szCs w:val="14"/>
          <w:color w:val="auto"/>
        </w:rPr>
        <w:t>. If (i) with respect to any form of Award, the Company withholds Shares to satisfy its minimum tax withholding requirements as provided in Section 18, (ii) an Option covering Shares is exercised pursuant to an Immaculate Cashless Exercise arrangement or (iii) Shares are tendered to the Company in payment of the Exercise Price of an Option, other Options may not be granted covering (A) the Shares so withheld to satisfy the Company's tax withholding requirements, (B) the Shares that were subject to such Option but not delivered because of the application of such Immaculate Cashless Exercise provisions or (C) the Shares so tendered to pay the Exercise Price, as applicable. In addition, for the avoidance of doubt, Awards may not be granted covering Shares repurchased by the Company on the open market with proceeds, if any, received by the Company on account of the payment of the option price for an Option by Participants.</w:t>
      </w:r>
    </w:p>
    <w:p>
      <w:pPr>
        <w:spacing w:after="0" w:line="203" w:lineRule="exact"/>
        <w:rPr>
          <w:rFonts w:ascii="Times New Roman" w:cs="Times New Roman" w:eastAsia="Times New Roman" w:hAnsi="Times New Roman"/>
          <w:sz w:val="14"/>
          <w:szCs w:val="14"/>
          <w:color w:val="auto"/>
        </w:rPr>
      </w:pPr>
    </w:p>
    <w:p>
      <w:pPr>
        <w:jc w:val="both"/>
        <w:ind w:firstLine="142"/>
        <w:spacing w:after="0" w:line="251" w:lineRule="auto"/>
        <w:tabs>
          <w:tab w:leader="none" w:pos="841"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Changes in Capitalization</w:t>
      </w:r>
      <w:r>
        <w:rPr>
          <w:rFonts w:ascii="Times New Roman" w:cs="Times New Roman" w:eastAsia="Times New Roman" w:hAnsi="Times New Roman"/>
          <w:sz w:val="14"/>
          <w:szCs w:val="14"/>
          <w:color w:val="auto"/>
        </w:rPr>
        <w:t>. If there is any change in the outstanding Shares by reason of a stock dividend or distribution, stock split, reverse stock split, recapitalization or similar corporate change, or by reason of any merger, consolidation, spinoff or other corporate reorganization in which the Company is the surviving corporation, the number of shares that may be delivered under the Program and the number of Shares subject to each outstanding Award, and, if appropriate, the Exercise Price under an Award of Options, shall be equitably adjusted by the Committee to prevent the enlargement or dilution of rights of a Participant under the Award. After any adjustment made pursuant to this Section 4(c), the number of shares subject to each outstanding Award shall be rounded down to the nearest whole number.</w:t>
      </w:r>
    </w:p>
    <w:p>
      <w:pPr>
        <w:spacing w:after="0" w:line="202" w:lineRule="exact"/>
        <w:rPr>
          <w:rFonts w:ascii="Times New Roman" w:cs="Times New Roman" w:eastAsia="Times New Roman" w:hAnsi="Times New Roman"/>
          <w:sz w:val="14"/>
          <w:szCs w:val="14"/>
          <w:color w:val="auto"/>
        </w:rPr>
      </w:pPr>
    </w:p>
    <w:p>
      <w:pPr>
        <w:jc w:val="both"/>
        <w:ind w:firstLine="559"/>
        <w:spacing w:after="0" w:line="251" w:lineRule="auto"/>
        <w:tabs>
          <w:tab w:leader="none" w:pos="1242"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Eligibility</w:t>
      </w:r>
      <w:r>
        <w:rPr>
          <w:rFonts w:ascii="Times New Roman" w:cs="Times New Roman" w:eastAsia="Times New Roman" w:hAnsi="Times New Roman"/>
          <w:sz w:val="14"/>
          <w:szCs w:val="14"/>
          <w:color w:val="auto"/>
        </w:rPr>
        <w:t>. Officers, other Employees of the Company or a Subsidiary, and members of the Board, who are responsible for or contribute to the management, growth, and profitability of the business of the Company or a Subsidiary, are eligible to participate in the Program. Subject to Section 3(d), the selection of individuals for participation in the Program shall be made by the Committee, based on a subjective evaluation of each individual's performance and expected future contribution to the Company and its Subsidiaries, and may take into account the recommendations of the Chief Executive Officer of the Company, provided that any Employee of the Company who has entered into an employment agreement with the Company providing for the granting of Phantom Stock Units pursuant to the Program shall be eligible to receive a Phantom Stock Awards as provided in such employment agreement.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32" w:name="page133"/>
    <w:bookmarkEnd w:id="132"/>
    <w:p>
      <w:pPr>
        <w:ind w:left="580" w:hanging="534"/>
        <w:spacing w:after="0"/>
        <w:tabs>
          <w:tab w:leader="none" w:pos="5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Options</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jc w:val="both"/>
        <w:ind w:firstLine="133"/>
        <w:spacing w:after="0" w:line="251" w:lineRule="auto"/>
        <w:tabs>
          <w:tab w:leader="none" w:pos="82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of Options</w:t>
      </w:r>
      <w:r>
        <w:rPr>
          <w:rFonts w:ascii="Times New Roman" w:cs="Times New Roman" w:eastAsia="Times New Roman" w:hAnsi="Times New Roman"/>
          <w:sz w:val="14"/>
          <w:szCs w:val="14"/>
          <w:color w:val="auto"/>
        </w:rPr>
        <w:t>. The Committee, in its discretion, may grant Options during any year that this Program is in effect to any eligible Employee. The terms of each Option shall be contained in an Agreement, which shall contain the number of Shares covered by the Option, the period during which the Option may be exercised, the Exercise Price, and any additional terms and conditions not inconsistent with this Program that the Committee deems to be appropriate. The Committee shall have complete discretion in determining the number of Shares subject to each Option grant (subject to the share limitations set forth in Section 4(a)) and, consistent with the provisions of this Program, the terms, conditions and limitations pertaining to each Option. The terms of Options need not be uniform among Participants.</w:t>
      </w:r>
    </w:p>
    <w:p>
      <w:pPr>
        <w:spacing w:after="0" w:line="202" w:lineRule="exact"/>
        <w:rPr>
          <w:sz w:val="20"/>
          <w:szCs w:val="20"/>
          <w:color w:val="auto"/>
        </w:rPr>
      </w:pPr>
    </w:p>
    <w:p>
      <w:pPr>
        <w:ind w:left="640" w:hanging="606"/>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 Term</w:t>
      </w:r>
      <w:r>
        <w:rPr>
          <w:rFonts w:ascii="Times New Roman" w:cs="Times New Roman" w:eastAsia="Times New Roman" w:hAnsi="Times New Roman"/>
          <w:sz w:val="14"/>
          <w:szCs w:val="14"/>
          <w:color w:val="auto"/>
        </w:rPr>
        <w:t>. The duration of each Option shall be specified in the Agreement and shall not exceed ten (10) years.</w:t>
      </w:r>
    </w:p>
    <w:p>
      <w:pPr>
        <w:spacing w:after="0" w:line="235" w:lineRule="exact"/>
        <w:rPr>
          <w:rFonts w:ascii="Times New Roman" w:cs="Times New Roman" w:eastAsia="Times New Roman" w:hAnsi="Times New Roman"/>
          <w:sz w:val="14"/>
          <w:szCs w:val="14"/>
          <w:color w:val="auto"/>
        </w:rPr>
      </w:pPr>
    </w:p>
    <w:p>
      <w:pPr>
        <w:ind w:firstLine="61"/>
        <w:spacing w:after="0" w:line="282" w:lineRule="auto"/>
        <w:tabs>
          <w:tab w:leader="none" w:pos="68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 Price</w:t>
      </w:r>
      <w:r>
        <w:rPr>
          <w:rFonts w:ascii="Times New Roman" w:cs="Times New Roman" w:eastAsia="Times New Roman" w:hAnsi="Times New Roman"/>
          <w:sz w:val="14"/>
          <w:szCs w:val="14"/>
          <w:color w:val="auto"/>
        </w:rPr>
        <w:t>. The Exercise Price of the Common Stock purchasable under any Option shall be determined by the Committee and set forth in each Agreement, subject to adjustment in accordance with Section 4(c). The Exercise Price shall not be less than the Fair Market Value of a Share on the date the Option is granted.</w:t>
      </w:r>
    </w:p>
    <w:p>
      <w:pPr>
        <w:spacing w:after="0" w:line="179" w:lineRule="exact"/>
        <w:rPr>
          <w:rFonts w:ascii="Times New Roman" w:cs="Times New Roman" w:eastAsia="Times New Roman" w:hAnsi="Times New Roman"/>
          <w:sz w:val="14"/>
          <w:szCs w:val="14"/>
          <w:color w:val="auto"/>
        </w:rPr>
      </w:pPr>
    </w:p>
    <w:p>
      <w:pPr>
        <w:jc w:val="both"/>
        <w:ind w:firstLine="187"/>
        <w:spacing w:after="0" w:line="255" w:lineRule="auto"/>
        <w:tabs>
          <w:tab w:leader="none" w:pos="930"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Options</w:t>
      </w:r>
      <w:r>
        <w:rPr>
          <w:rFonts w:ascii="Times New Roman" w:cs="Times New Roman" w:eastAsia="Times New Roman" w:hAnsi="Times New Roman"/>
          <w:sz w:val="14"/>
          <w:szCs w:val="14"/>
          <w:color w:val="auto"/>
        </w:rPr>
        <w:t>. Each Agreement shall contain a vesting schedule, which shall specify when the Option shall become vested and thus exercisable; provided, however, that subsequent to the grant of an Option, the Committee, at any time before complete termination of such Option, may accelerate the time or times at which such Option may be exercised in whole or in part, and may permit the Participant or any other designated person acting for the benefit of the Participant to exercise all or any part of the Option during all or part of the remaining Option term specified in Section 6(a), notwithstanding any provision of the Agreement to the contrary.</w:t>
      </w:r>
    </w:p>
    <w:p>
      <w:pPr>
        <w:spacing w:after="0" w:line="198" w:lineRule="exact"/>
        <w:rPr>
          <w:sz w:val="20"/>
          <w:szCs w:val="20"/>
          <w:color w:val="auto"/>
        </w:rPr>
      </w:pPr>
    </w:p>
    <w:p>
      <w:pPr>
        <w:ind w:left="620" w:hanging="586"/>
        <w:spacing w:after="0"/>
        <w:tabs>
          <w:tab w:leader="none" w:pos="6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jc w:val="both"/>
        <w:ind w:firstLine="130"/>
        <w:spacing w:after="0" w:line="248" w:lineRule="auto"/>
        <w:tabs>
          <w:tab w:leader="none" w:pos="742"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Death or Disability</w:t>
      </w:r>
      <w:r>
        <w:rPr>
          <w:rFonts w:ascii="Times New Roman" w:cs="Times New Roman" w:eastAsia="Times New Roman" w:hAnsi="Times New Roman"/>
          <w:sz w:val="14"/>
          <w:szCs w:val="14"/>
          <w:color w:val="auto"/>
        </w:rPr>
        <w:t>. If a Participant has a Termination of Employment as a result of death or Disability, the time at which the unexercised portion of any Option becomes exercisable may be accelerated, including to make the Option immediately exercisable in full. Except as otherwise provided in an applicable Agreement, the Option, to the extent that it is not exercisable on the date of termination, shall expire and terminate on such date of termination and the Option, to the extent that it is exercisable (including after any acceleration of vesting) on such date of termination, shall expire and terminate on the earlier of the Expiration Date or first anniversary of the Participant's death or disability. Any exercise of an Option following a Participant's death shall be made only by the Participant's executor or administrator, unless the Participant's will specifically disposes of such award, in which case such exercise shall be made only by the recipient of such specific disposition. If a Participant's personal representative or the recipient of a specific disposition shall be entitled to exercise an Option pursuant to the preceding sentence, such representative or recipient shall be bound by all the terms and conditions of the Program and the applicable Agreement which would have applied to the Participant.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9" w:right="299" w:bottom="1440" w:gutter="0" w:footer="0" w:header="0"/>
        </w:sectPr>
      </w:pPr>
    </w:p>
    <w:bookmarkStart w:id="133" w:name="page134"/>
    <w:bookmarkEnd w:id="133"/>
    <w:p>
      <w:pPr>
        <w:jc w:val="both"/>
        <w:ind w:firstLine="175"/>
        <w:spacing w:after="0" w:line="255" w:lineRule="auto"/>
        <w:tabs>
          <w:tab w:leader="none" w:pos="854" w:val="left"/>
        </w:tabs>
        <w:numPr>
          <w:ilvl w:val="2"/>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Retirement</w:t>
      </w:r>
      <w:r>
        <w:rPr>
          <w:rFonts w:ascii="Times New Roman" w:cs="Times New Roman" w:eastAsia="Times New Roman" w:hAnsi="Times New Roman"/>
          <w:sz w:val="14"/>
          <w:szCs w:val="14"/>
          <w:color w:val="auto"/>
        </w:rPr>
        <w:t>. If a Participant has a Termination of Employment due to Retirement, the time at which the unexercised portion of an Option becomes exercisable may be accelerated, including to make the Option immediately exercisable in full. Except as otherwise provided in an applicable Agreement, the Option, to the extent that it is not exercisable on the date of retirement, shall expire and terminate on such date of retirement and the Option, to the extent that it is exercisable (including after any acceleration of vesting) on such date of retirement, shall expire and terminate on the earlier of the Expiration Date or the first anniversary of the Participant's retirement.</w:t>
      </w:r>
    </w:p>
    <w:p>
      <w:pPr>
        <w:spacing w:after="0" w:line="197" w:lineRule="exact"/>
        <w:rPr>
          <w:rFonts w:ascii="Times New Roman" w:cs="Times New Roman" w:eastAsia="Times New Roman" w:hAnsi="Times New Roman"/>
          <w:sz w:val="14"/>
          <w:szCs w:val="14"/>
          <w:color w:val="auto"/>
        </w:rPr>
      </w:pPr>
    </w:p>
    <w:p>
      <w:pPr>
        <w:jc w:val="both"/>
        <w:ind w:right="20" w:firstLine="103"/>
        <w:spacing w:after="0" w:line="255" w:lineRule="auto"/>
        <w:tabs>
          <w:tab w:leader="none" w:pos="75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Termination</w:t>
      </w:r>
      <w:r>
        <w:rPr>
          <w:rFonts w:ascii="Times New Roman" w:cs="Times New Roman" w:eastAsia="Times New Roman" w:hAnsi="Times New Roman"/>
          <w:sz w:val="14"/>
          <w:szCs w:val="14"/>
          <w:color w:val="auto"/>
        </w:rPr>
        <w:t>. Except as otherwise provided in an applicable Agreement, if a Participant has a Termination of Employment for reasons other than as provided in Sections 6(e)(i) and 6(e)(ii), the Option, to the extent that it is not exercisable on the date of termination, shall expire and terminate on such date of termination and the Option, to the extent that it is exercisable (including after any acceleration of vesting) on such date of termination, shall expire and terminate on the earlier of the Expiration Date of the Option or on the 60th day after the Participant's termination; provided, however, that the unexercised portion of any Option (including any vested portion) shall expire and terminate immediately upon a Termination of Employment for Cause.</w:t>
      </w:r>
    </w:p>
    <w:p>
      <w:pPr>
        <w:spacing w:after="0" w:line="197" w:lineRule="exact"/>
        <w:rPr>
          <w:rFonts w:ascii="Times New Roman" w:cs="Times New Roman" w:eastAsia="Times New Roman" w:hAnsi="Times New Roman"/>
          <w:sz w:val="14"/>
          <w:szCs w:val="14"/>
          <w:color w:val="auto"/>
        </w:rPr>
      </w:pPr>
    </w:p>
    <w:p>
      <w:pPr>
        <w:jc w:val="both"/>
        <w:ind w:firstLine="220"/>
        <w:spacing w:after="0" w:line="249" w:lineRule="auto"/>
        <w:tabs>
          <w:tab w:leader="none" w:pos="906" w:val="left"/>
        </w:tabs>
        <w:numPr>
          <w:ilvl w:val="3"/>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in its sole discretion determines that the Participant has, at any time during the 12-month period following Termination of Employment violated the terms of any agreement with the Company or a Subsidiary regarding (i) engaging in a business that competes with the business of the Company or any Subsidiary, (ii) interfering in any material respect with any contractual or business relationship of the Company or any Subsidiary, or (iii) soliciting the employment of any person who was during such 12-month period, a director, officer, partner, Employee, agent or consultant of the Company or a Subsidiary, then (x) all outstanding unexercised Options issued to the holder pursuant to the Program shall be forfeited and (y) upon written request from the Company, the Participant shall pay to the Company any gain realized upon the exercise of an Option within the 12-month period preceding the violation or such other period as may be set forth in the applicable Agreement.</w:t>
      </w:r>
    </w:p>
    <w:p>
      <w:pPr>
        <w:spacing w:after="0" w:line="203" w:lineRule="exact"/>
        <w:rPr>
          <w:rFonts w:ascii="Times New Roman" w:cs="Times New Roman" w:eastAsia="Times New Roman" w:hAnsi="Times New Roman"/>
          <w:sz w:val="14"/>
          <w:szCs w:val="14"/>
          <w:color w:val="auto"/>
        </w:rPr>
      </w:pPr>
    </w:p>
    <w:p>
      <w:pPr>
        <w:ind w:right="20" w:firstLine="43"/>
        <w:spacing w:after="0" w:line="282" w:lineRule="auto"/>
        <w:tabs>
          <w:tab w:leader="none" w:pos="67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Transfer of Option</w:t>
      </w:r>
      <w:r>
        <w:rPr>
          <w:rFonts w:ascii="Times New Roman" w:cs="Times New Roman" w:eastAsia="Times New Roman" w:hAnsi="Times New Roman"/>
          <w:sz w:val="14"/>
          <w:szCs w:val="14"/>
          <w:color w:val="auto"/>
        </w:rPr>
        <w:t>. Unless the Committee determines otherwise at the time an Option is granted, no Option granted under the Program shall be assignable or transferable other than by will or by the laws of descent and distribution, and all Options shall be exercisable during the life of the Participant only by the Participant or his legal representative.</w:t>
      </w:r>
    </w:p>
    <w:p>
      <w:pPr>
        <w:spacing w:after="0" w:line="179" w:lineRule="exact"/>
        <w:rPr>
          <w:rFonts w:ascii="Times New Roman" w:cs="Times New Roman" w:eastAsia="Times New Roman" w:hAnsi="Times New Roman"/>
          <w:sz w:val="14"/>
          <w:szCs w:val="14"/>
          <w:color w:val="auto"/>
        </w:rPr>
      </w:pPr>
    </w:p>
    <w:p>
      <w:pPr>
        <w:jc w:val="both"/>
        <w:ind w:firstLine="52"/>
        <w:spacing w:after="0" w:line="255" w:lineRule="auto"/>
        <w:tabs>
          <w:tab w:leader="none" w:pos="71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Substituted Options</w:t>
      </w:r>
      <w:r>
        <w:rPr>
          <w:rFonts w:ascii="Times New Roman" w:cs="Times New Roman" w:eastAsia="Times New Roman" w:hAnsi="Times New Roman"/>
          <w:sz w:val="14"/>
          <w:szCs w:val="14"/>
          <w:color w:val="auto"/>
        </w:rPr>
        <w:t>. Notwithstanding anything to the contrary in this Section 6, any Option issued in substitution for an Option previously issued by another entity, which substitution occurs in connection with a transaction to which section 424(a) of the Code is applicable, may provide for an exercise price computed in accordance with such section of the Code and the regulations thereunder and may contain such other terms and conditions as the Committee may prescribe to cause such substitute Option to contain as nearly as possible the same terms and conditions (including the applicable vesting and termination provisions) as those contained in the previously issued Option being replaced thereby.</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34" w:name="page135"/>
    <w:bookmarkEnd w:id="134"/>
    <w:p>
      <w:pPr>
        <w:ind w:left="640" w:hanging="606"/>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of Options</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jc w:val="both"/>
        <w:ind w:firstLine="112"/>
        <w:spacing w:after="0" w:line="246" w:lineRule="auto"/>
        <w:tabs>
          <w:tab w:leader="none" w:pos="76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 General</w:t>
      </w:r>
      <w:r>
        <w:rPr>
          <w:rFonts w:ascii="Times New Roman" w:cs="Times New Roman" w:eastAsia="Times New Roman" w:hAnsi="Times New Roman"/>
          <w:sz w:val="14"/>
          <w:szCs w:val="14"/>
          <w:color w:val="auto"/>
        </w:rPr>
        <w:t>. An Option shall be exercised by the delivery of a written notice of exercise to the Corporate Secretary of the Company, or such other person specified by the Committee, setting forth the number of Shares with respect to which the Option is to be exercised, accompanied by full payment of the Exercise Price and any required withholding taxes. Payment of the Exercise Price for the Shares being purchased shall be made: (A) by certified or official bank check (or the equivalent thereof acceptable to the Company), or (B) at the discretion of the Committee and to the extent permitted by law, by such other provision as the Committee may from time to time prescribe. The Committee may allow exercises to be made by means of Immaculate Cashless Exercise or other similar arrangement with the delivery of payment as permitted under Federal Reserve Board Regulation T, subject to applicable securities law restrictions, or by any other means which the Committee determines to be consistent with the Program's purpose and applicable law. Payment shall be made on the date that the Option or any part thereof is exercised, and no shares shall be issued or delivered upon exercise of an Option until full payment has been made by the Participant. Promptly after receiving payment of the full Exercise Price, the Company shall, subject to the provisions of Section 14, deliver to the Participant, or to such other person as may then have the right to exercise the Option, a certificate for the Shares for which the Option has been exercised.</w:t>
      </w:r>
    </w:p>
    <w:p>
      <w:pPr>
        <w:spacing w:after="0" w:line="371" w:lineRule="exact"/>
        <w:rPr>
          <w:rFonts w:ascii="Times New Roman" w:cs="Times New Roman" w:eastAsia="Times New Roman" w:hAnsi="Times New Roman"/>
          <w:sz w:val="14"/>
          <w:szCs w:val="14"/>
          <w:color w:val="auto"/>
        </w:rPr>
      </w:pPr>
    </w:p>
    <w:p>
      <w:pPr>
        <w:jc w:val="both"/>
        <w:ind w:right="20" w:firstLine="193"/>
        <w:spacing w:after="0" w:line="261" w:lineRule="auto"/>
        <w:tabs>
          <w:tab w:leader="none" w:pos="881" w:val="left"/>
        </w:tabs>
        <w:numPr>
          <w:ilvl w:val="2"/>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Automatic Exercise</w:t>
      </w:r>
      <w:r>
        <w:rPr>
          <w:rFonts w:ascii="Times New Roman" w:cs="Times New Roman" w:eastAsia="Times New Roman" w:hAnsi="Times New Roman"/>
          <w:sz w:val="14"/>
          <w:szCs w:val="14"/>
          <w:color w:val="auto"/>
        </w:rPr>
        <w:t>. The provisions of this Paragraph 6(h)(ii) shall apply to any Option that is unexercised, in whole or in part, on or after the Effective Date, including any such Option that was granted before the Effective Date. Immediately before the time at which any such Option is scheduled to expire in accordance with the terms and conditions of the Program and the applicable Agreement, the Option shall be deemed automatically exercised, if such Option satisfies the following conditions:</w:t>
      </w:r>
    </w:p>
    <w:p>
      <w:pPr>
        <w:spacing w:after="0" w:line="195" w:lineRule="exact"/>
        <w:rPr>
          <w:sz w:val="20"/>
          <w:szCs w:val="20"/>
          <w:color w:val="auto"/>
        </w:rPr>
      </w:pPr>
    </w:p>
    <w:p>
      <w:pPr>
        <w:ind w:left="720" w:hanging="638"/>
        <w:spacing w:after="0"/>
        <w:tabs>
          <w:tab w:leader="none" w:pos="7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Option is covered by a then-current registration statement or a Notification under Regulation A under the 1933 Act.</w:t>
      </w:r>
    </w:p>
    <w:p>
      <w:pPr>
        <w:spacing w:after="0" w:line="235" w:lineRule="exact"/>
        <w:rPr>
          <w:rFonts w:ascii="Times New Roman" w:cs="Times New Roman" w:eastAsia="Times New Roman" w:hAnsi="Times New Roman"/>
          <w:sz w:val="14"/>
          <w:szCs w:val="14"/>
          <w:color w:val="auto"/>
        </w:rPr>
      </w:pPr>
    </w:p>
    <w:p>
      <w:pPr>
        <w:jc w:val="both"/>
        <w:ind w:firstLine="127"/>
        <w:spacing w:after="0" w:line="269" w:lineRule="auto"/>
        <w:tabs>
          <w:tab w:leader="none" w:pos="773" w:val="left"/>
        </w:tabs>
        <w:numPr>
          <w:ilvl w:val="2"/>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w:t>
      </w:r>
    </w:p>
    <w:p>
      <w:pPr>
        <w:spacing w:after="0" w:line="359" w:lineRule="exact"/>
        <w:rPr>
          <w:rFonts w:ascii="Times New Roman" w:cs="Times New Roman" w:eastAsia="Times New Roman" w:hAnsi="Times New Roman"/>
          <w:sz w:val="14"/>
          <w:szCs w:val="14"/>
          <w:color w:val="auto"/>
        </w:rPr>
      </w:pPr>
    </w:p>
    <w:p>
      <w:pPr>
        <w:ind w:firstLine="100"/>
        <w:spacing w:after="0" w:line="282" w:lineRule="auto"/>
        <w:tabs>
          <w:tab w:leader="none" w:pos="737"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Participant to whom such Option has been granted has not terminated employment for Cause, and, immediately before the time at which any such Option is scheduled to expire in accordance with the terms and conditions of the Program and the applicable Agreement, there is no basis for a Termination of Employment for Cause.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35" w:name="page136"/>
    <w:bookmarkEnd w:id="135"/>
    <w:p>
      <w:pPr>
        <w:jc w:val="both"/>
        <w:ind w:left="8" w:firstLine="91"/>
        <w:spacing w:after="0" w:line="251" w:lineRule="auto"/>
        <w:tabs>
          <w:tab w:leader="none" w:pos="736"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Option subject to this Section 6(h)(ii) shall be exercised via Immaculate Cashless Exercise, such that subject to the other terms and conditions of the Program, following the date of exercise, the Company shall deliver to the Participant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 (B) the sum of (x) the aggregate option price for such Shares, plus (y) the applicable tax withholding amounts (as determined pursuant to Section 18) for such exercise; provided that in connection with such cashless exercise that would not result in the issuance of a whole number of Shares, the Company shall pay cash in lieu of any fractional Share.</w:t>
      </w:r>
    </w:p>
    <w:p>
      <w:pPr>
        <w:spacing w:after="0" w:line="202" w:lineRule="exact"/>
        <w:rPr>
          <w:rFonts w:ascii="Times New Roman" w:cs="Times New Roman" w:eastAsia="Times New Roman" w:hAnsi="Times New Roman"/>
          <w:sz w:val="14"/>
          <w:szCs w:val="14"/>
          <w:color w:val="auto"/>
        </w:rPr>
      </w:pPr>
    </w:p>
    <w:p>
      <w:pPr>
        <w:jc w:val="both"/>
        <w:ind w:left="8" w:firstLine="446"/>
        <w:spacing w:after="0" w:line="247" w:lineRule="auto"/>
        <w:tabs>
          <w:tab w:leader="none" w:pos="1025" w:val="left"/>
        </w:tabs>
        <w:numPr>
          <w:ilvl w:val="5"/>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Employees Based Outside of the United States</w:t>
      </w:r>
      <w:r>
        <w:rPr>
          <w:rFonts w:ascii="Times New Roman" w:cs="Times New Roman" w:eastAsia="Times New Roman" w:hAnsi="Times New Roman"/>
          <w:sz w:val="14"/>
          <w:szCs w:val="14"/>
          <w:color w:val="auto"/>
        </w:rPr>
        <w:t>. Notwithstanding any provision of this Program to the contrary, in order to foster and promote the achievement of the purposes of the Program, or to comply with these provisions in other countries in which the Company or any Subsidiary operates or has Employees, the Committee, in its sole discretion, shall have the power and authority to (i) determine which Employees employed by the Company or any Subsidiary outside the United States, are eligible to participate in the Program; (ii) modify the terms and conditions of any options granted to Employees who are employed outside the United States (including the grant of Stock Appreciation Rights, as described in Section 8 in lieu of Options); and</w:t>
      </w:r>
    </w:p>
    <w:p>
      <w:pPr>
        <w:spacing w:after="0" w:line="1"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subprograms, modified Option exercise procedures and other terms and procedures to the extent such actions may be necessary or advisable.</w:t>
      </w:r>
    </w:p>
    <w:p>
      <w:pPr>
        <w:spacing w:after="0" w:line="219" w:lineRule="exact"/>
        <w:rPr>
          <w:rFonts w:ascii="Times New Roman" w:cs="Times New Roman" w:eastAsia="Times New Roman" w:hAnsi="Times New Roman"/>
          <w:sz w:val="14"/>
          <w:szCs w:val="14"/>
          <w:color w:val="auto"/>
        </w:rPr>
      </w:pPr>
    </w:p>
    <w:p>
      <w:pPr>
        <w:ind w:left="8" w:firstLine="464"/>
        <w:spacing w:after="0" w:line="282" w:lineRule="auto"/>
        <w:tabs>
          <w:tab w:leader="none" w:pos="1061" w:val="left"/>
        </w:tabs>
        <w:numPr>
          <w:ilvl w:val="6"/>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Appreciation Rights</w:t>
      </w:r>
      <w:r>
        <w:rPr>
          <w:rFonts w:ascii="Times New Roman" w:cs="Times New Roman" w:eastAsia="Times New Roman" w:hAnsi="Times New Roman"/>
          <w:sz w:val="14"/>
          <w:szCs w:val="14"/>
          <w:color w:val="auto"/>
        </w:rPr>
        <w:t>. The Committee in its discretion may grant Stock Appreciation Rights in lieu of Options to Employees, having terms and conditions similar to terms and conditions applicable to Options under Section 6. Stock Appreciation Rights granted under this Section 8 shall be treated as Options for the application of the limitations in Section 4(a).</w:t>
      </w:r>
    </w:p>
    <w:p>
      <w:pPr>
        <w:spacing w:after="0" w:line="179" w:lineRule="exact"/>
        <w:rPr>
          <w:rFonts w:ascii="Times New Roman" w:cs="Times New Roman" w:eastAsia="Times New Roman" w:hAnsi="Times New Roman"/>
          <w:sz w:val="14"/>
          <w:szCs w:val="14"/>
          <w:color w:val="auto"/>
        </w:rPr>
      </w:pPr>
    </w:p>
    <w:p>
      <w:pPr>
        <w:ind w:left="1008" w:hanging="576"/>
        <w:spacing w:after="0"/>
        <w:tabs>
          <w:tab w:leader="none" w:pos="1008" w:val="left"/>
        </w:tabs>
        <w:numPr>
          <w:ilvl w:val="4"/>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jc w:val="both"/>
        <w:ind w:left="8" w:firstLine="160"/>
        <w:spacing w:after="0" w:line="251" w:lineRule="auto"/>
        <w:tabs>
          <w:tab w:leader="none" w:pos="885" w:val="left"/>
        </w:tabs>
        <w:numPr>
          <w:ilvl w:val="2"/>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Grants</w:t>
      </w:r>
      <w:r>
        <w:rPr>
          <w:rFonts w:ascii="Times New Roman" w:cs="Times New Roman" w:eastAsia="Times New Roman" w:hAnsi="Times New Roman"/>
          <w:sz w:val="14"/>
          <w:szCs w:val="14"/>
          <w:color w:val="auto"/>
        </w:rPr>
        <w:t>. The Committee may grant Restricted Stock to such persons, in such amounts, and subject to such vesting and forfeiture provisions and other terms and conditions as the Committee shall determine in its sole discretion, subject to the provisions of the Program. The terms of a grant of Restricted Stock shall be contained in an Agreement, which shall contain the number of Shares of Restricted Stock granted, when the Restricted Stock vests and any additional terms and conditions not inconsistent with this Program that the Committee deems to be appropriate. If the Restricted Stock is newly issued by the Company, the Participant must make payment to the Company or its exchange agent in an amount at least equal to the par value of the shares as required by the Committee and in accordance with the Delaware General Corporation Law.</w:t>
      </w:r>
    </w:p>
    <w:p>
      <w:pPr>
        <w:spacing w:after="0" w:line="202" w:lineRule="exact"/>
        <w:rPr>
          <w:rFonts w:ascii="Times New Roman" w:cs="Times New Roman" w:eastAsia="Times New Roman" w:hAnsi="Times New Roman"/>
          <w:sz w:val="14"/>
          <w:szCs w:val="14"/>
          <w:color w:val="auto"/>
        </w:rPr>
      </w:pPr>
    </w:p>
    <w:p>
      <w:pPr>
        <w:jc w:val="both"/>
        <w:ind w:left="8" w:firstLine="178"/>
        <w:spacing w:after="0" w:line="261" w:lineRule="auto"/>
        <w:tabs>
          <w:tab w:leader="none" w:pos="911" w:val="left"/>
        </w:tabs>
        <w:numPr>
          <w:ilvl w:val="3"/>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of Stock Certificate(s)</w:t>
      </w:r>
      <w:r>
        <w:rPr>
          <w:rFonts w:ascii="Times New Roman" w:cs="Times New Roman" w:eastAsia="Times New Roman" w:hAnsi="Times New Roman"/>
          <w:sz w:val="14"/>
          <w:szCs w:val="14"/>
          <w:color w:val="auto"/>
        </w:rPr>
        <w:t>. Promptly after the Committee grants Restricted Stock to a Participant, the Company or its exchange agent shall issue to the Participant a stock certificate or stock certificates for the Shares covered by the Award or shall establish an account evidencing ownership of the stock in uncertificated form. Upon the issuance of such stock certificate(s) or establishment of such account, the Participant shall have the rights of a stockholder with respect to the Restricted Stock, subject to:</w:t>
      </w:r>
    </w:p>
    <w:p>
      <w:pPr>
        <w:spacing w:after="0" w:line="3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55" w:right="299" w:bottom="1440" w:gutter="0" w:footer="0" w:header="0"/>
        </w:sectPr>
      </w:pPr>
    </w:p>
    <w:bookmarkStart w:id="136" w:name="page137"/>
    <w:bookmarkEnd w:id="136"/>
    <w:p>
      <w:pPr>
        <w:ind w:left="760" w:hanging="702"/>
        <w:spacing w:after="0"/>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nontransferability restrictions and forfeiture provision described in Section 9(d) and Section 9 (e);</w:t>
      </w:r>
    </w:p>
    <w:p>
      <w:pPr>
        <w:spacing w:after="0" w:line="235" w:lineRule="exact"/>
        <w:rPr>
          <w:rFonts w:ascii="Times New Roman" w:cs="Times New Roman" w:eastAsia="Times New Roman" w:hAnsi="Times New Roman"/>
          <w:sz w:val="14"/>
          <w:szCs w:val="14"/>
          <w:color w:val="auto"/>
        </w:rPr>
      </w:pPr>
    </w:p>
    <w:p>
      <w:pPr>
        <w:ind w:left="800" w:hanging="742"/>
        <w:spacing w:after="0"/>
        <w:tabs>
          <w:tab w:leader="none" w:pos="8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Committee's discretion, a requirement that any dividends paid on such shares shall be held in escrow until all restrictions on such shares have lapsed; and</w:t>
      </w:r>
    </w:p>
    <w:p>
      <w:pPr>
        <w:spacing w:after="0" w:line="235" w:lineRule="exact"/>
        <w:rPr>
          <w:rFonts w:ascii="Times New Roman" w:cs="Times New Roman" w:eastAsia="Times New Roman" w:hAnsi="Times New Roman"/>
          <w:sz w:val="14"/>
          <w:szCs w:val="14"/>
          <w:color w:val="auto"/>
        </w:rPr>
      </w:pPr>
    </w:p>
    <w:p>
      <w:pPr>
        <w:ind w:left="800" w:hanging="742"/>
        <w:spacing w:after="0"/>
        <w:tabs>
          <w:tab w:leader="none" w:pos="8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restrictions and conditions contained in the applicable Agreement.</w:t>
      </w:r>
    </w:p>
    <w:p>
      <w:pPr>
        <w:spacing w:after="0" w:line="235" w:lineRule="exact"/>
        <w:rPr>
          <w:rFonts w:ascii="Times New Roman" w:cs="Times New Roman" w:eastAsia="Times New Roman" w:hAnsi="Times New Roman"/>
          <w:sz w:val="14"/>
          <w:szCs w:val="14"/>
          <w:color w:val="auto"/>
        </w:rPr>
      </w:pPr>
    </w:p>
    <w:p>
      <w:pPr>
        <w:jc w:val="both"/>
        <w:ind w:firstLine="70"/>
        <w:spacing w:after="0" w:line="255" w:lineRule="auto"/>
        <w:tabs>
          <w:tab w:leader="none" w:pos="706"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Custody of Stock Certificate(s)</w:t>
      </w:r>
      <w:r>
        <w:rPr>
          <w:rFonts w:ascii="Times New Roman" w:cs="Times New Roman" w:eastAsia="Times New Roman" w:hAnsi="Times New Roman"/>
          <w:sz w:val="14"/>
          <w:szCs w:val="14"/>
          <w:color w:val="auto"/>
        </w:rPr>
        <w:t>. Unless the Committee shall otherwise determine, any stock certificates issued evidencing Shares of Restricted Stock shall remain in the possession of the Company until such shares are free of any restrictions specified in the applicable Agreement. The Committee may direct that such stock certificate(s) bear a legend setting forth the applicable restrictions on transferability or, if the Restricted Stock is in book entry form, that such book entry or account be subject to electronic coding or stop order indicating that such Shares of Restricted Stock are restricted by the terms of the Program. Such legend, electronic coding or stop order shall not be removed until such Shares of Restricted Stock vest.</w:t>
      </w:r>
    </w:p>
    <w:p>
      <w:pPr>
        <w:spacing w:after="0" w:line="197" w:lineRule="exact"/>
        <w:rPr>
          <w:rFonts w:ascii="Times New Roman" w:cs="Times New Roman" w:eastAsia="Times New Roman" w:hAnsi="Times New Roman"/>
          <w:sz w:val="14"/>
          <w:szCs w:val="14"/>
          <w:color w:val="auto"/>
        </w:rPr>
      </w:pPr>
    </w:p>
    <w:p>
      <w:pPr>
        <w:jc w:val="both"/>
        <w:ind w:firstLine="70"/>
        <w:spacing w:after="0" w:line="261" w:lineRule="auto"/>
        <w:tabs>
          <w:tab w:leader="none" w:pos="705"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Nontransferability</w:t>
      </w:r>
      <w:r>
        <w:rPr>
          <w:rFonts w:ascii="Times New Roman" w:cs="Times New Roman" w:eastAsia="Times New Roman" w:hAnsi="Times New Roman"/>
          <w:sz w:val="14"/>
          <w:szCs w:val="14"/>
          <w:color w:val="auto"/>
        </w:rPr>
        <w:t>. Restricted Stock may not be sold, assigned, transferred, pledged or otherwise encumbered or disposed of except as otherwise specifically provided in this Program or the applicable Agreement. The Committee at the time of grant shall specify the date or dates (which may depend upon or be related to a period of continued employment with the Company, the attainment of performance goals or other conditions or a combination of such conditions) on which the nontransferability of the Restricted Stock shall lapse.</w:t>
      </w:r>
    </w:p>
    <w:p>
      <w:pPr>
        <w:spacing w:after="0" w:line="194" w:lineRule="exact"/>
        <w:rPr>
          <w:rFonts w:ascii="Times New Roman" w:cs="Times New Roman" w:eastAsia="Times New Roman" w:hAnsi="Times New Roman"/>
          <w:sz w:val="14"/>
          <w:szCs w:val="14"/>
          <w:color w:val="auto"/>
        </w:rPr>
      </w:pPr>
    </w:p>
    <w:p>
      <w:pPr>
        <w:jc w:val="both"/>
        <w:ind w:firstLine="133"/>
        <w:spacing w:after="0" w:line="255" w:lineRule="auto"/>
        <w:tabs>
          <w:tab w:leader="none" w:pos="814" w:val="left"/>
        </w:tabs>
        <w:numPr>
          <w:ilvl w:val="2"/>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w:t>
      </w:r>
      <w:r>
        <w:rPr>
          <w:rFonts w:ascii="Times New Roman" w:cs="Times New Roman" w:eastAsia="Times New Roman" w:hAnsi="Times New Roman"/>
          <w:sz w:val="14"/>
          <w:szCs w:val="14"/>
          <w:color w:val="auto"/>
        </w:rPr>
        <w:t>. Except as may otherwise be provided by the Committee at any time prior to a Participant's termination of employment, a Participant's termination of employment for any reason (including death) shall cause the immediate forfeiture of all Restricted Stock that has not yet vested as of the date of such termination of employment. Unless the Board or the Committee determines otherwise, all dividends paid on such shares also shall be forfeited, whether by termination of any escrow arrangement under which such dividends are held, by the Participant's repayment of dividends received directly, or otherwise.</w:t>
      </w:r>
    </w:p>
    <w:p>
      <w:pPr>
        <w:spacing w:after="0" w:line="197" w:lineRule="exact"/>
        <w:rPr>
          <w:rFonts w:ascii="Times New Roman" w:cs="Times New Roman" w:eastAsia="Times New Roman" w:hAnsi="Times New Roman"/>
          <w:sz w:val="14"/>
          <w:szCs w:val="14"/>
          <w:color w:val="auto"/>
        </w:rPr>
      </w:pPr>
    </w:p>
    <w:p>
      <w:pPr>
        <w:jc w:val="both"/>
        <w:ind w:firstLine="464"/>
        <w:spacing w:after="0" w:line="269" w:lineRule="auto"/>
        <w:tabs>
          <w:tab w:leader="none" w:pos="1125" w:val="left"/>
        </w:tabs>
        <w:numPr>
          <w:ilvl w:val="3"/>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Unrestricted Stock</w:t>
      </w:r>
      <w:r>
        <w:rPr>
          <w:rFonts w:ascii="Times New Roman" w:cs="Times New Roman" w:eastAsia="Times New Roman" w:hAnsi="Times New Roman"/>
          <w:sz w:val="14"/>
          <w:szCs w:val="14"/>
          <w:color w:val="auto"/>
        </w:rPr>
        <w:t>. The Committee may grant (or sell at a purchase price at least equal to par value) Shares free of restrictions under the Program, to such persons and in such amounts as the Committee shall determine in its sole discretion, subject to the provisions of the Program. Shares may be thus granted or sold in respect of past services or other valid consideration.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37" w:name="page138"/>
    <w:bookmarkEnd w:id="137"/>
    <w:p>
      <w:pPr>
        <w:ind w:left="500" w:hanging="418"/>
        <w:spacing w:after="0"/>
        <w:tabs>
          <w:tab w:leader="none" w:pos="500" w:val="left"/>
        </w:tabs>
        <w:numPr>
          <w:ilvl w:val="2"/>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Units</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jc w:val="both"/>
        <w:ind w:firstLine="124"/>
        <w:spacing w:after="0" w:line="255" w:lineRule="auto"/>
        <w:tabs>
          <w:tab w:leader="none" w:pos="805" w:val="left"/>
        </w:tabs>
        <w:numPr>
          <w:ilvl w:val="4"/>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Unit Grants</w:t>
      </w:r>
      <w:r>
        <w:rPr>
          <w:rFonts w:ascii="Times New Roman" w:cs="Times New Roman" w:eastAsia="Times New Roman" w:hAnsi="Times New Roman"/>
          <w:sz w:val="14"/>
          <w:szCs w:val="14"/>
          <w:color w:val="auto"/>
        </w:rPr>
        <w:t>. The Committee may grant Restricted Stock Units to such persons, in such amounts, and subject to such terms and conditions as the Committee shall determine in its discretion, subject to the provisions of the Program. The terms of a grant of Restricted Stock Units shall be contained in an Agreement, which shall contain the number of Restricted Stock Units granted, when the Restricted Stock Units vest, when the Shares will be issued and any additional terms and conditions not inconsistent with this Program that the Committee deems to be appropriate. Unless the applicable Agreement provides otherwise, a Share will be issued immediately upon vesting of a Restricted Stock Unit.</w:t>
      </w:r>
    </w:p>
    <w:p>
      <w:pPr>
        <w:spacing w:after="0" w:line="197" w:lineRule="exact"/>
        <w:rPr>
          <w:rFonts w:ascii="Times New Roman" w:cs="Times New Roman" w:eastAsia="Times New Roman" w:hAnsi="Times New Roman"/>
          <w:sz w:val="14"/>
          <w:szCs w:val="14"/>
          <w:color w:val="auto"/>
        </w:rPr>
      </w:pPr>
    </w:p>
    <w:p>
      <w:pPr>
        <w:jc w:val="both"/>
        <w:ind w:firstLine="52"/>
        <w:spacing w:after="0" w:line="261" w:lineRule="auto"/>
        <w:tabs>
          <w:tab w:leader="none" w:pos="633"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Restricted Stock Units may not be sold, assigned, transferred, pledged or otherwise encumbered or disposed of except as otherwise specifically provided in this Program or the applicable Agreement. The Committee at the time of grant shall specify the date or dates (which may depend upon or be related to a period of continued employment with the Company, the attainment of performance goals or other conditions or a combination of such conditions) on which the Restricted Stock Units shall vest.</w:t>
      </w:r>
    </w:p>
    <w:p>
      <w:pPr>
        <w:spacing w:after="0" w:line="194" w:lineRule="exact"/>
        <w:rPr>
          <w:rFonts w:ascii="Times New Roman" w:cs="Times New Roman" w:eastAsia="Times New Roman" w:hAnsi="Times New Roman"/>
          <w:sz w:val="14"/>
          <w:szCs w:val="14"/>
          <w:color w:val="auto"/>
        </w:rPr>
      </w:pPr>
    </w:p>
    <w:p>
      <w:pPr>
        <w:ind w:firstLine="106"/>
        <w:spacing w:after="0" w:line="282" w:lineRule="auto"/>
        <w:tabs>
          <w:tab w:leader="none" w:pos="769" w:val="left"/>
        </w:tabs>
        <w:numPr>
          <w:ilvl w:val="3"/>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w:t>
      </w:r>
      <w:r>
        <w:rPr>
          <w:rFonts w:ascii="Times New Roman" w:cs="Times New Roman" w:eastAsia="Times New Roman" w:hAnsi="Times New Roman"/>
          <w:sz w:val="14"/>
          <w:szCs w:val="14"/>
          <w:color w:val="auto"/>
        </w:rPr>
        <w:t>. Except as may otherwise be provided by the Committee at any time prior to a Participant's Termination of Employment, a Participant's Termination of Employment for any reason (including death) shall cause the immediate forfeiture of all Restricted Stock Units that have not yet vested as of the date of such Termination of Employment.</w:t>
      </w:r>
    </w:p>
    <w:p>
      <w:pPr>
        <w:spacing w:after="0" w:line="179" w:lineRule="exact"/>
        <w:rPr>
          <w:rFonts w:ascii="Times New Roman" w:cs="Times New Roman" w:eastAsia="Times New Roman" w:hAnsi="Times New Roman"/>
          <w:sz w:val="14"/>
          <w:szCs w:val="14"/>
          <w:color w:val="auto"/>
        </w:rPr>
      </w:pPr>
    </w:p>
    <w:p>
      <w:pPr>
        <w:ind w:left="700" w:hanging="618"/>
        <w:spacing w:after="0"/>
        <w:tabs>
          <w:tab w:leader="none" w:pos="700" w:val="left"/>
        </w:tabs>
        <w:numPr>
          <w:ilvl w:val="2"/>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Phantom Stock Units</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jc w:val="both"/>
        <w:ind w:firstLine="133"/>
        <w:spacing w:after="0" w:line="261" w:lineRule="auto"/>
        <w:tabs>
          <w:tab w:leader="none" w:pos="814" w:val="left"/>
        </w:tabs>
        <w:numPr>
          <w:ilvl w:val="4"/>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Phantom Stock Unit Awards</w:t>
      </w:r>
      <w:r>
        <w:rPr>
          <w:rFonts w:ascii="Times New Roman" w:cs="Times New Roman" w:eastAsia="Times New Roman" w:hAnsi="Times New Roman"/>
          <w:sz w:val="14"/>
          <w:szCs w:val="14"/>
          <w:color w:val="auto"/>
        </w:rPr>
        <w:t>. Each Participant who has an employment agreement with the Company or a Subsidiary that provides for the Award of Phantom Stock Units shall be granted the number of Phantom Stock Units specified in such Participant's employment agreement, as of the date or dates specified in such employment agreement. Each grant of Phantom Stock Units shall be evidenced by an Agreement.</w:t>
      </w:r>
    </w:p>
    <w:p>
      <w:pPr>
        <w:spacing w:after="0" w:line="194" w:lineRule="exact"/>
        <w:rPr>
          <w:rFonts w:ascii="Times New Roman" w:cs="Times New Roman" w:eastAsia="Times New Roman" w:hAnsi="Times New Roman"/>
          <w:sz w:val="14"/>
          <w:szCs w:val="14"/>
          <w:color w:val="auto"/>
        </w:rPr>
      </w:pPr>
    </w:p>
    <w:p>
      <w:pPr>
        <w:ind w:left="640" w:hanging="606"/>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of Phantom Stock Units</w:t>
      </w:r>
      <w:r>
        <w:rPr>
          <w:rFonts w:ascii="Times New Roman" w:cs="Times New Roman" w:eastAsia="Times New Roman" w:hAnsi="Times New Roman"/>
          <w:sz w:val="14"/>
          <w:szCs w:val="14"/>
          <w:color w:val="auto"/>
        </w:rPr>
        <w:t>. Except as otherwise provided by the Committee and reflected in the Agreement, Phantom Stock Units granted shall be fully vested and nonforfeitable.</w:t>
      </w:r>
    </w:p>
    <w:p>
      <w:pPr>
        <w:spacing w:after="0" w:line="235" w:lineRule="exact"/>
        <w:rPr>
          <w:rFonts w:ascii="Times New Roman" w:cs="Times New Roman" w:eastAsia="Times New Roman" w:hAnsi="Times New Roman"/>
          <w:sz w:val="14"/>
          <w:szCs w:val="14"/>
          <w:color w:val="auto"/>
        </w:rPr>
      </w:pPr>
    </w:p>
    <w:p>
      <w:pPr>
        <w:ind w:right="120" w:firstLine="34"/>
        <w:spacing w:after="0" w:line="261" w:lineRule="auto"/>
        <w:tabs>
          <w:tab w:leader="none" w:pos="634"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w:t>
      </w:r>
      <w:r>
        <w:rPr>
          <w:rFonts w:ascii="Times New Roman" w:cs="Times New Roman" w:eastAsia="Times New Roman" w:hAnsi="Times New Roman"/>
          <w:sz w:val="14"/>
          <w:szCs w:val="14"/>
          <w:color w:val="auto"/>
        </w:rPr>
        <w:t>. If a dividend is distributed with respect to Shares, each Participant shall receive an Award of additional Phantom Stock Units determined by dividing the aggregate amount of cash dividends the Participant would have received with respect to the Phantom Stock Units (if the Phantom Stock Units were Shares) by the closing price per Share on the New York Stock Exchange, or such other national securities exchange or interdealer quotation service on which Shares are then traded, on the trading day on which the dividend distribution is made.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9" w:right="299" w:bottom="1440" w:gutter="0" w:footer="0" w:header="0"/>
        </w:sectPr>
      </w:pPr>
    </w:p>
    <w:bookmarkStart w:id="138" w:name="page139"/>
    <w:bookmarkEnd w:id="138"/>
    <w:p>
      <w:pPr>
        <w:jc w:val="both"/>
        <w:ind w:firstLine="97"/>
        <w:spacing w:after="0" w:line="255" w:lineRule="auto"/>
        <w:tabs>
          <w:tab w:leader="none" w:pos="759"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Settlement of Phantom Stock Units</w:t>
      </w:r>
      <w:r>
        <w:rPr>
          <w:rFonts w:ascii="Times New Roman" w:cs="Times New Roman" w:eastAsia="Times New Roman" w:hAnsi="Times New Roman"/>
          <w:sz w:val="14"/>
          <w:szCs w:val="14"/>
          <w:color w:val="auto"/>
        </w:rPr>
        <w:t>. Within 30 days after the Participant incurs a Termination of Employment, or such other time as may be specified in the applicable employment agreement or required by applicable law, the Company shall deliver Shares to the Participant equal to the number of the Participant's Phantom Stock Units. Notwithstanding the foregoing, distribution of Shares to a Participant that represents a "deferral of compensation" within the meaning of section 409A of the Code shall only be paid or provided to a Participant at such time and in such form as shall avoid the application of an additional tax under section 409A.</w:t>
      </w:r>
    </w:p>
    <w:p>
      <w:pPr>
        <w:spacing w:after="0" w:line="197" w:lineRule="exact"/>
        <w:rPr>
          <w:rFonts w:ascii="Times New Roman" w:cs="Times New Roman" w:eastAsia="Times New Roman" w:hAnsi="Times New Roman"/>
          <w:sz w:val="14"/>
          <w:szCs w:val="14"/>
          <w:color w:val="auto"/>
        </w:rPr>
      </w:pPr>
    </w:p>
    <w:p>
      <w:pPr>
        <w:ind w:right="20" w:firstLine="169"/>
        <w:spacing w:after="0" w:line="282" w:lineRule="auto"/>
        <w:tabs>
          <w:tab w:leader="none" w:pos="886" w:val="left"/>
        </w:tabs>
        <w:numPr>
          <w:ilvl w:val="2"/>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Phantom Stock Units Unfunded</w:t>
      </w:r>
      <w:r>
        <w:rPr>
          <w:rFonts w:ascii="Times New Roman" w:cs="Times New Roman" w:eastAsia="Times New Roman" w:hAnsi="Times New Roman"/>
          <w:sz w:val="14"/>
          <w:szCs w:val="14"/>
          <w:color w:val="auto"/>
        </w:rPr>
        <w:t>. Phantom Stock Units granted to a Participant and the benefits payable in respect thereof represent merely unfunded, unsecured promises of the Company to distribute Shares in the future.</w:t>
      </w:r>
    </w:p>
    <w:p>
      <w:pPr>
        <w:spacing w:after="0" w:line="179" w:lineRule="exact"/>
        <w:rPr>
          <w:rFonts w:ascii="Times New Roman" w:cs="Times New Roman" w:eastAsia="Times New Roman" w:hAnsi="Times New Roman"/>
          <w:sz w:val="14"/>
          <w:szCs w:val="14"/>
          <w:color w:val="auto"/>
        </w:rPr>
      </w:pPr>
    </w:p>
    <w:p>
      <w:pPr>
        <w:jc w:val="both"/>
        <w:ind w:firstLine="61"/>
        <w:spacing w:after="0" w:line="255" w:lineRule="auto"/>
        <w:tabs>
          <w:tab w:leader="none" w:pos="663"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Nontransferability of Phantom Stock Units</w:t>
      </w:r>
      <w:r>
        <w:rPr>
          <w:rFonts w:ascii="Times New Roman" w:cs="Times New Roman" w:eastAsia="Times New Roman" w:hAnsi="Times New Roman"/>
          <w:sz w:val="14"/>
          <w:szCs w:val="14"/>
          <w:color w:val="auto"/>
        </w:rPr>
        <w:t>. No transfer (other than a transfer made by will or by the laws of descent and distribution) by the Participant of any right to any payment of Phantom Stock Units, whether voluntary or involuntary, by operation of law or otherwise, and whether by means of alienation by anticipation, sale, transfer, assignment, bankruptcy, pledge, attachment, charge, or encumbrance of any kind, shall vest the transferee with any interest or right, and any attempt to so alienate, sell, transfer, assign, pledge, attach, charge, or otherwise encumber any such amount, whether presently or thereafter payable, shall be void and of no force or effect.</w:t>
      </w:r>
    </w:p>
    <w:p>
      <w:pPr>
        <w:spacing w:after="0" w:line="197" w:lineRule="exact"/>
        <w:rPr>
          <w:rFonts w:ascii="Times New Roman" w:cs="Times New Roman" w:eastAsia="Times New Roman" w:hAnsi="Times New Roman"/>
          <w:sz w:val="14"/>
          <w:szCs w:val="14"/>
          <w:color w:val="auto"/>
        </w:rPr>
      </w:pPr>
    </w:p>
    <w:p>
      <w:pPr>
        <w:jc w:val="both"/>
        <w:ind w:firstLine="433"/>
        <w:spacing w:after="0" w:line="261" w:lineRule="auto"/>
        <w:tabs>
          <w:tab w:leader="none" w:pos="1062" w:val="left"/>
        </w:tabs>
        <w:numPr>
          <w:ilvl w:val="3"/>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Rights as a Stockholder</w:t>
      </w:r>
      <w:r>
        <w:rPr>
          <w:rFonts w:ascii="Times New Roman" w:cs="Times New Roman" w:eastAsia="Times New Roman" w:hAnsi="Times New Roman"/>
          <w:sz w:val="14"/>
          <w:szCs w:val="14"/>
          <w:color w:val="auto"/>
        </w:rPr>
        <w:t>. No Participant (or other person having the right to exercise an Option or Stock Appreciation Right, vest in a Restricted Stock Unit or receive Shares on account of Phantom Stock Units) shall have any of the rights of a stockholder of the Company with respect to shares subject to such an Award until the issuance of a stock certificate to such person for such shares or the establishment of an account evidencing ownership of such shares in uncertificated form, except as otherwise provided in Section 4(c).</w:t>
      </w:r>
    </w:p>
    <w:p>
      <w:pPr>
        <w:spacing w:after="0" w:line="194" w:lineRule="exact"/>
        <w:rPr>
          <w:rFonts w:ascii="Times New Roman" w:cs="Times New Roman" w:eastAsia="Times New Roman" w:hAnsi="Times New Roman"/>
          <w:sz w:val="14"/>
          <w:szCs w:val="14"/>
          <w:color w:val="auto"/>
        </w:rPr>
      </w:pPr>
    </w:p>
    <w:p>
      <w:pPr>
        <w:jc w:val="both"/>
        <w:ind w:firstLine="469"/>
        <w:spacing w:after="0" w:line="248" w:lineRule="auto"/>
        <w:tabs>
          <w:tab w:leader="none" w:pos="936" w:val="left"/>
        </w:tabs>
        <w:numPr>
          <w:ilvl w:val="4"/>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Consents and Approvals</w:t>
      </w:r>
      <w:r>
        <w:rPr>
          <w:rFonts w:ascii="Times New Roman" w:cs="Times New Roman" w:eastAsia="Times New Roman" w:hAnsi="Times New Roman"/>
          <w:sz w:val="14"/>
          <w:szCs w:val="14"/>
          <w:color w:val="auto"/>
        </w:rPr>
        <w:t>. If the Committee shall at any time determine that any Consent (as hereinafter defined) is necessary or desirable as a condition of, or in connection with, the issuance of shares under the Program or the taking of any other action thereunder (each such action being hereinafter referred to as a Program Action), then such Program Action shall not be taken, in whole or in part, unless and until such Consent shall have been effected or obtained to the full satisfaction of the Committee. The term Consent as used herein with respect to any Program Action means (a) any and all listings, registrations or qualifications in respect thereof upon any securities exchange or under any federal, state or local law, rule or regulation, (b) any and all written agreements and representations by the Participant with respect to the disposition of shares, or with respect to any other matter, which the Committee shall deem necessary or desirable to comply with the terms of any such listing, registration or qualification or to obtain an exemption from the requirement that any such listing, qualification or registration be made and (c) any and all consents, clearances and approvals in respect of a Program Action by any governmental or other regulatory bodies.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39" w:name="page140"/>
    <w:bookmarkEnd w:id="139"/>
    <w:p>
      <w:pPr>
        <w:ind w:left="600" w:hanging="428"/>
        <w:spacing w:after="0"/>
        <w:tabs>
          <w:tab w:leader="none" w:pos="600" w:val="left"/>
        </w:tabs>
        <w:numPr>
          <w:ilvl w:val="3"/>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ind w:left="620" w:hanging="586"/>
        <w:spacing w:after="0"/>
        <w:tabs>
          <w:tab w:leader="none" w:pos="6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Control Defined</w:t>
      </w:r>
      <w:r>
        <w:rPr>
          <w:rFonts w:ascii="Times New Roman" w:cs="Times New Roman" w:eastAsia="Times New Roman" w:hAnsi="Times New Roman"/>
          <w:sz w:val="14"/>
          <w:szCs w:val="14"/>
          <w:color w:val="auto"/>
        </w:rPr>
        <w:t>. A "Change in Control" shall be deemed to have occurred at such time as:</w:t>
      </w:r>
    </w:p>
    <w:p>
      <w:pPr>
        <w:spacing w:after="0" w:line="235" w:lineRule="exact"/>
        <w:rPr>
          <w:rFonts w:ascii="Times New Roman" w:cs="Times New Roman" w:eastAsia="Times New Roman" w:hAnsi="Times New Roman"/>
          <w:sz w:val="14"/>
          <w:szCs w:val="14"/>
          <w:color w:val="auto"/>
        </w:rPr>
      </w:pPr>
    </w:p>
    <w:p>
      <w:pPr>
        <w:jc w:val="both"/>
        <w:ind w:firstLine="130"/>
        <w:spacing w:after="0" w:line="171" w:lineRule="exact"/>
        <w:tabs>
          <w:tab w:leader="none" w:pos="892"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"person" or "group" within the meaning of Section 13(d) of the Securities Exchange Act of 1934 (the "Exchange Act") (other than the Company or any of its Subsidiaries or any employee benefit plans of the Company or any of its Subsidiaries or any Permitted Holders) becomes the direct or indirect "beneficial owner", as defined in Rule 13d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 under the Exchange Act, of 50% or more, in the aggregate, of the voting power of the (x) Common Stock and Class B Common Stock then outstanding or (y) other capital stock into which the Common Stock or Class B Common Stock is reclassified or changed;</w:t>
      </w:r>
    </w:p>
    <w:p>
      <w:pPr>
        <w:spacing w:after="0" w:line="209" w:lineRule="exact"/>
        <w:rPr>
          <w:rFonts w:ascii="Times New Roman" w:cs="Times New Roman" w:eastAsia="Times New Roman" w:hAnsi="Times New Roman"/>
          <w:sz w:val="14"/>
          <w:szCs w:val="14"/>
          <w:color w:val="auto"/>
        </w:rPr>
      </w:pPr>
    </w:p>
    <w:p>
      <w:pPr>
        <w:jc w:val="both"/>
        <w:ind w:firstLine="85"/>
        <w:spacing w:after="0" w:line="251" w:lineRule="auto"/>
        <w:tabs>
          <w:tab w:leader="none" w:pos="827"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any share exchange, consolidation or merger of the Company pursuant to which the Common Stock will be converted into cash, securities or other property or any sale, lease or other transfer in one transaction or a series of transactions of all or substantially all of the consolidated assets of the Company and its Subsidiaries, taken as a whole, to any person other than to a Subsidiary of the Company; provided, however, that a transaction where the holders of the Common Stock and the Class B Common Stock immediately prior to such transaction own, directly or indirectly, more than 50% of aggregate voting power of all classes of common equity of the continuing or surviving corporation or transferee entitled to vote generally in the election of directors immediately after such event shall not be a Change in Control;</w:t>
      </w:r>
    </w:p>
    <w:p>
      <w:pPr>
        <w:spacing w:after="0" w:line="202" w:lineRule="exact"/>
        <w:rPr>
          <w:rFonts w:ascii="Times New Roman" w:cs="Times New Roman" w:eastAsia="Times New Roman" w:hAnsi="Times New Roman"/>
          <w:sz w:val="14"/>
          <w:szCs w:val="14"/>
          <w:color w:val="auto"/>
        </w:rPr>
      </w:pPr>
    </w:p>
    <w:p>
      <w:pPr>
        <w:ind w:left="780" w:hanging="722"/>
        <w:spacing w:after="0"/>
        <w:tabs>
          <w:tab w:leader="none" w:pos="780"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Continuing Directors cease to constitute at least a majority of the Company's board of directors; or</w:t>
      </w:r>
    </w:p>
    <w:p>
      <w:pPr>
        <w:spacing w:after="0" w:line="235" w:lineRule="exact"/>
        <w:rPr>
          <w:rFonts w:ascii="Times New Roman" w:cs="Times New Roman" w:eastAsia="Times New Roman" w:hAnsi="Times New Roman"/>
          <w:sz w:val="14"/>
          <w:szCs w:val="14"/>
          <w:color w:val="auto"/>
        </w:rPr>
      </w:pPr>
    </w:p>
    <w:p>
      <w:pPr>
        <w:ind w:left="760" w:hanging="702"/>
        <w:spacing w:after="0"/>
        <w:tabs>
          <w:tab w:leader="none" w:pos="760"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stockholders of the Company approve any plan or proposal for the liquidation or dissolution of the Company.</w:t>
      </w:r>
    </w:p>
    <w:p>
      <w:pPr>
        <w:spacing w:after="0" w:line="235" w:lineRule="exact"/>
        <w:rPr>
          <w:rFonts w:ascii="Times New Roman" w:cs="Times New Roman" w:eastAsia="Times New Roman" w:hAnsi="Times New Roman"/>
          <w:sz w:val="14"/>
          <w:szCs w:val="14"/>
          <w:color w:val="auto"/>
        </w:rPr>
      </w:pPr>
    </w:p>
    <w:p>
      <w:pPr>
        <w:ind w:left="640" w:hanging="606"/>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a Change in Control</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ind w:right="20" w:firstLine="85"/>
        <w:spacing w:after="0" w:line="282" w:lineRule="auto"/>
        <w:tabs>
          <w:tab w:leader="none" w:pos="83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a Change in Control, the Committee may (A) cause all or some of the Awards outstanding under the Program to be fully vested as of the effective date of the Change in Control or (B) provide for the accelerated distribution of Phantom Stock Units.</w:t>
      </w:r>
    </w:p>
    <w:p>
      <w:pPr>
        <w:spacing w:after="0" w:line="179" w:lineRule="exact"/>
        <w:rPr>
          <w:rFonts w:ascii="Times New Roman" w:cs="Times New Roman" w:eastAsia="Times New Roman" w:hAnsi="Times New Roman"/>
          <w:sz w:val="14"/>
          <w:szCs w:val="14"/>
          <w:color w:val="auto"/>
        </w:rPr>
      </w:pPr>
    </w:p>
    <w:p>
      <w:pPr>
        <w:jc w:val="both"/>
        <w:ind w:right="20" w:firstLine="85"/>
        <w:spacing w:after="0" w:line="255" w:lineRule="auto"/>
        <w:tabs>
          <w:tab w:leader="none" w:pos="828"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a Change in Control that results in (A) a dissolution or liquidation of the Company, (B) a sale of all or substantially all of the Company's assets, (C) a merger or consolidation involving the Company in which the Company is not the surviving corporation or (D) a merger or consolidation involving the Company in which the Company is the surviving corporation but the holders of Shares receive securities of another corporation and/or other property, including cash, the Committee shall, with respect to Options and Stock Appreciation Rights, in its absolute discretion (which may include not treating all Options and Stock Appreciation Rights uniformly), elect to either:</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9" w:right="299" w:bottom="1440" w:gutter="0" w:footer="0" w:header="0"/>
        </w:sectPr>
      </w:pPr>
    </w:p>
    <w:bookmarkStart w:id="140" w:name="page141"/>
    <w:bookmarkEnd w:id="140"/>
    <w:p>
      <w:pPr>
        <w:ind w:left="740" w:hanging="604"/>
        <w:spacing w:after="0"/>
        <w:tabs>
          <w:tab w:leader="none" w:pos="7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each Option or Stock Appreciation Right so that it becomes exercisable in full at least two weeks before the occurrence of such event and expires upon the occurrence of such</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w:t>
      </w:r>
    </w:p>
    <w:p>
      <w:pPr>
        <w:spacing w:after="0" w:line="219" w:lineRule="exact"/>
        <w:rPr>
          <w:rFonts w:ascii="Times New Roman" w:cs="Times New Roman" w:eastAsia="Times New Roman" w:hAnsi="Times New Roman"/>
          <w:sz w:val="14"/>
          <w:szCs w:val="14"/>
          <w:color w:val="auto"/>
        </w:rPr>
      </w:pPr>
    </w:p>
    <w:p>
      <w:pPr>
        <w:jc w:val="both"/>
        <w:ind w:right="20" w:firstLine="307"/>
        <w:spacing w:after="0" w:line="251" w:lineRule="auto"/>
        <w:tabs>
          <w:tab w:leader="none" w:pos="101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effective immediately prior to the occurrence of such event, each Option or Stock Appreciation Right outstanding immediately prior to such event (whether or not then exercisable), and, in full consideration of such cancellation, pay to the Participant an amount in cash, for each Stock Appreciation Right, equal to the spread (on the same basis as determined for an Option under this Section 15(b)(ii)(2), and for each Share subject to such Option equal to the excess, if any, of (x) the value, as determined by the Committee in its absolute discretion, of the property (including cash) received by the holder of a Share as a result of such event over (y) the exercise price of such Option, provided that for the avoidance of doubt, such power of cancellation shall include the power to cancel any Option for which (y) is greater than or equal to (x) and the power to cancel any Stock Appreciation Right for which the spread is zero or negative; or</w:t>
      </w:r>
    </w:p>
    <w:p>
      <w:pPr>
        <w:spacing w:after="0" w:line="202" w:lineRule="exact"/>
        <w:rPr>
          <w:sz w:val="20"/>
          <w:szCs w:val="20"/>
          <w:color w:val="auto"/>
        </w:rPr>
      </w:pPr>
    </w:p>
    <w:p>
      <w:pPr>
        <w:jc w:val="both"/>
        <w:ind w:firstLine="130"/>
        <w:spacing w:after="0" w:line="255" w:lineRule="auto"/>
        <w:tabs>
          <w:tab w:leader="none" w:pos="905"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Options, provide for the exchange of each Option outstanding immediately prior to such event (whether or not then exercisable) for an option on some or all of the property which a holder of the number of Shares subject to such Option would have received and, incident thereto, make an equitable adjustment as determined by the Committee in its absolute discretion in the exercise price of the Option, or the number of shares or amount of property subject to the Option or, if appropriate, provide for a cash payment to the Participant in partial consideration for the exchange of the Option, and with respect to Stock Appreciation Rights, provide for comparable exchanges.</w:t>
      </w:r>
    </w:p>
    <w:p>
      <w:pPr>
        <w:spacing w:after="0" w:line="197"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Limitations Imposed by Section 162(m)</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jc w:val="both"/>
        <w:ind w:firstLine="115"/>
        <w:spacing w:after="0" w:line="261" w:lineRule="auto"/>
        <w:tabs>
          <w:tab w:leader="none" w:pos="787"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w:t>
      </w:r>
      <w:r>
        <w:rPr>
          <w:rFonts w:ascii="Times New Roman" w:cs="Times New Roman" w:eastAsia="Times New Roman" w:hAnsi="Times New Roman"/>
          <w:sz w:val="14"/>
          <w:szCs w:val="14"/>
          <w:u w:val="single" w:color="auto"/>
          <w:color w:val="auto"/>
        </w:rPr>
        <w:t>ualified Performance-Based Compensation</w:t>
      </w:r>
      <w:r>
        <w:rPr>
          <w:rFonts w:ascii="Times New Roman" w:cs="Times New Roman" w:eastAsia="Times New Roman" w:hAnsi="Times New Roman"/>
          <w:sz w:val="14"/>
          <w:szCs w:val="14"/>
          <w:color w:val="auto"/>
        </w:rPr>
        <w:t>. The Committee may make the granting and/or vesting of an Award subject to the attainment of one or more pre-established objective performance goals during a performance period, as set forth below. To the extent provided by the Committee in connection with any Award, it is intended that the compensation realized by the Participant from such Awards shall qualify as "qualified performance-based compensation" within the meaning of section 162(m) of the Code.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9" w:right="299" w:bottom="1440" w:gutter="0" w:footer="0" w:header="0"/>
        </w:sectPr>
      </w:pPr>
    </w:p>
    <w:bookmarkStart w:id="141" w:name="page142"/>
    <w:bookmarkEnd w:id="141"/>
    <w:p>
      <w:pPr>
        <w:jc w:val="both"/>
        <w:ind w:firstLine="130"/>
        <w:spacing w:after="0" w:line="244" w:lineRule="auto"/>
        <w:tabs>
          <w:tab w:leader="none" w:pos="742"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Goals</w:t>
      </w:r>
      <w:r>
        <w:rPr>
          <w:rFonts w:ascii="Times New Roman" w:cs="Times New Roman" w:eastAsia="Times New Roman" w:hAnsi="Times New Roman"/>
          <w:sz w:val="14"/>
          <w:szCs w:val="14"/>
          <w:color w:val="auto"/>
        </w:rPr>
        <w:t>. With respect to any Award that is intended to qualify as "qualified performance-based compensation" within the meaning of section 162(m) of the Code, prior to the ninety-first (91st) day of the applicable performance period or during such other period as may be permitted under section 162(m) of the Code, the Committee shall establish one or more objective performance goals with respect to such performance period. Such performance goals shall be expressed in terms of one or more of the following criteria: (A) earnings (either in the aggregate or on a per-share basis, either including or excluding any or all of interest, depreciation and amortization, reflecting dilution of shares as the Committee deems appropriate and, if the Committee so determines, net of or including dividends); (B) net income, adjusted as the Committee deems appropriate, including but not limited to adjustments to exclude any or all of restructuring and related severance costs, inventory write-downs and related purchase commitment charges, and individually material one-time gains or charges); (C) gross or net sales; (D) cash flow(s) (including either operating or net cash flows); (E) financial return ratios; (F) total shareholder return, shareholder return based on growth measures or the attainment by the Shares of a specified value for a specified period of time, share price or share price appreciation; (G) value of assets, return or net return on assets, net assets or capital (including invested capital); (H) adjusted pre-tax margin; (I) margins, profits and expense levels; (J) dividends; (K) market share, market penetration or other performance measures with respect to specific designated products or product groups and/or specific geographic areas; (L) reduction of losses, loss ratios or expense ratios; (M) reduction in fixed costs; (N) operating cost management; (O) cost of capital; (P) debt reduction; (Q) productivity improvements; (R) inventory turnover measurements; or (S) customer satisfaction based on specified objective goals or a Company-sponsored customer survey. Each such performance goal (1) may be expressed (x) with respect to the Company as a whole or with respect to one or more divisions or business units, (y) on a pre-tax or after-tax basis, (z) on an absolute and/or relative basis, and (2) may employ comparisons with past performance of the Company (including one or more divisions) and/or the current or past performance of other companies, and in the case of earnings-based measures, may employ comparisons to capital, stockholders' equity and shares outstanding.</w:t>
      </w:r>
    </w:p>
    <w:p>
      <w:pPr>
        <w:spacing w:after="0" w:line="210" w:lineRule="exact"/>
        <w:rPr>
          <w:rFonts w:ascii="Times New Roman" w:cs="Times New Roman" w:eastAsia="Times New Roman" w:hAnsi="Times New Roman"/>
          <w:sz w:val="14"/>
          <w:szCs w:val="14"/>
          <w:color w:val="auto"/>
        </w:rPr>
      </w:pPr>
    </w:p>
    <w:p>
      <w:pPr>
        <w:jc w:val="both"/>
        <w:ind w:right="20" w:firstLine="76"/>
        <w:spacing w:after="0" w:line="174" w:lineRule="exact"/>
        <w:tabs>
          <w:tab w:leader="none" w:pos="70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Applicability of GAAP</w:t>
      </w:r>
      <w:r>
        <w:rPr>
          <w:rFonts w:ascii="Times New Roman" w:cs="Times New Roman" w:eastAsia="Times New Roman" w:hAnsi="Times New Roman"/>
          <w:sz w:val="14"/>
          <w:szCs w:val="14"/>
          <w:color w:val="auto"/>
        </w:rPr>
        <w:t>. To the extent applicable, the measures used in performance goals set under the Program shall be determined in accordance with generally accepted accounting principles ("GAAP") and in a manner consistent with the methods used in the Company's regular reports on Forms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and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without regard to any of the following, unless otherwise determined by the Committee consistent with the requirements of section 162(m)(4)(C) of the Code and the regulations thereunder:</w:t>
      </w:r>
    </w:p>
    <w:p>
      <w:pPr>
        <w:spacing w:after="0" w:line="208" w:lineRule="exact"/>
        <w:rPr>
          <w:sz w:val="20"/>
          <w:szCs w:val="20"/>
          <w:color w:val="auto"/>
        </w:rPr>
      </w:pPr>
    </w:p>
    <w:p>
      <w:pPr>
        <w:ind w:right="20" w:firstLine="82"/>
        <w:spacing w:after="0" w:line="282" w:lineRule="auto"/>
        <w:tabs>
          <w:tab w:leader="none" w:pos="75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items of gain, loss or expense for a fiscal year that are related to special, unusual or non-recurring items, events or circumstances affecting the Company or the financial statements of the Company;</w:t>
      </w:r>
    </w:p>
    <w:p>
      <w:pPr>
        <w:spacing w:after="0" w:line="179" w:lineRule="exact"/>
        <w:rPr>
          <w:rFonts w:ascii="Times New Roman" w:cs="Times New Roman" w:eastAsia="Times New Roman" w:hAnsi="Times New Roman"/>
          <w:sz w:val="14"/>
          <w:szCs w:val="14"/>
          <w:color w:val="auto"/>
        </w:rPr>
      </w:pPr>
    </w:p>
    <w:p>
      <w:pPr>
        <w:ind w:firstLine="316"/>
        <w:spacing w:after="0" w:line="282" w:lineRule="auto"/>
        <w:tabs>
          <w:tab w:leader="none" w:pos="1031"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items of gain, loss or expense for a fiscal year that are related to (1) the disposal of a business or discontinued operations or (2) the operations of any business acquired by Company during the fiscal year;</w:t>
      </w:r>
    </w:p>
    <w:p>
      <w:pPr>
        <w:spacing w:after="0" w:line="180" w:lineRule="exact"/>
        <w:rPr>
          <w:sz w:val="20"/>
          <w:szCs w:val="20"/>
          <w:color w:val="auto"/>
        </w:rPr>
      </w:pPr>
    </w:p>
    <w:p>
      <w:pPr>
        <w:ind w:left="700" w:hanging="618"/>
        <w:spacing w:after="0"/>
        <w:tabs>
          <w:tab w:leader="none" w:pos="700"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items of gain, loss or expense for a fiscal year that are related to changes in accounting principles or to changes in applicable law or regulations.</w:t>
      </w:r>
    </w:p>
    <w:p>
      <w:pPr>
        <w:spacing w:after="0" w:line="235" w:lineRule="exact"/>
        <w:rPr>
          <w:rFonts w:ascii="Times New Roman" w:cs="Times New Roman" w:eastAsia="Times New Roman" w:hAnsi="Times New Roman"/>
          <w:sz w:val="14"/>
          <w:szCs w:val="14"/>
          <w:color w:val="auto"/>
        </w:rPr>
      </w:pPr>
    </w:p>
    <w:p>
      <w:pPr>
        <w:ind w:right="20" w:firstLine="76"/>
        <w:spacing w:after="0" w:line="282" w:lineRule="auto"/>
        <w:tabs>
          <w:tab w:leader="none" w:pos="573"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any objective performance goals are expressed using cash flow(s) (including either operating or net cash flows) or any other earnings or sales-based measures that require deviations from GAAP, such deviations shall be at the discretion of the Committee and established at the time the applicable performance goals are established.</w:t>
      </w:r>
    </w:p>
    <w:p>
      <w:pPr>
        <w:spacing w:after="0" w:line="179" w:lineRule="exact"/>
        <w:rPr>
          <w:rFonts w:ascii="Times New Roman" w:cs="Times New Roman" w:eastAsia="Times New Roman" w:hAnsi="Times New Roman"/>
          <w:sz w:val="14"/>
          <w:szCs w:val="14"/>
          <w:color w:val="auto"/>
        </w:rPr>
      </w:pPr>
    </w:p>
    <w:p>
      <w:pPr>
        <w:ind w:left="700" w:hanging="642"/>
        <w:spacing w:after="0"/>
        <w:tabs>
          <w:tab w:leader="none" w:pos="7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Period</w:t>
      </w:r>
      <w:r>
        <w:rPr>
          <w:rFonts w:ascii="Times New Roman" w:cs="Times New Roman" w:eastAsia="Times New Roman" w:hAnsi="Times New Roman"/>
          <w:sz w:val="14"/>
          <w:szCs w:val="14"/>
          <w:color w:val="auto"/>
        </w:rPr>
        <w:t>. The Committee in its sole discretion shall determine the length of each performance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42" w:name="page143"/>
    <w:bookmarkEnd w:id="142"/>
    <w:p>
      <w:pPr>
        <w:jc w:val="both"/>
        <w:ind w:firstLine="142"/>
        <w:spacing w:after="0" w:line="247" w:lineRule="auto"/>
        <w:tabs>
          <w:tab w:leader="none" w:pos="849"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Nonqualified Deferred Compensation</w:t>
      </w:r>
      <w:r>
        <w:rPr>
          <w:rFonts w:ascii="Times New Roman" w:cs="Times New Roman" w:eastAsia="Times New Roman" w:hAnsi="Times New Roman"/>
          <w:sz w:val="14"/>
          <w:szCs w:val="14"/>
          <w:color w:val="auto"/>
        </w:rPr>
        <w:t>. Notwithstanding any other provision hereunder, if and to the extent that the Committee determines the Company's federal tax deduction in respect of an Award may be limited as a result of section 162(m) of the Code, with respect to Restricted Stock or Restricted Stock Units, the Committee may require the Participant to surrender to the Committee any certificates with respect to Restricted Stock and agreements with respect to Restricted Stock Units, in order to cancel the awards of such Restricted Stock or Restricted Stock Units. In exchange for such cancellation, the Committee shall credit to a book account a cash amount equal to the Fair Market Value of the Shares subject to such Awards. The amount credited to the book account shall be paid to the Participant within 30 days after the date that compensation paid to the Participant no longer is subject to the deduction limitation under section 162(m) of the Code. The Participant shall have no rights in respect of such book account and the amount credited thereto shall not be transferable by the Participant other than by will or laws of descent and distribution. The Committee may credit additional amounts to such book account as it may determine in its sole discretion. Any book account created hereunder shall represent only an unfunded, unsecured promise by the Company to pay the amount credited thereto to the Participant in the future.</w:t>
      </w:r>
    </w:p>
    <w:p>
      <w:pPr>
        <w:spacing w:after="0" w:line="204" w:lineRule="exact"/>
        <w:rPr>
          <w:rFonts w:ascii="Times New Roman" w:cs="Times New Roman" w:eastAsia="Times New Roman" w:hAnsi="Times New Roman"/>
          <w:sz w:val="14"/>
          <w:szCs w:val="14"/>
          <w:color w:val="auto"/>
        </w:rPr>
      </w:pPr>
    </w:p>
    <w:p>
      <w:pPr>
        <w:jc w:val="both"/>
        <w:ind w:firstLine="424"/>
        <w:spacing w:after="0" w:line="255" w:lineRule="auto"/>
        <w:tabs>
          <w:tab w:leader="none" w:pos="1044"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Designation of Beneficiary</w:t>
      </w:r>
      <w:r>
        <w:rPr>
          <w:rFonts w:ascii="Times New Roman" w:cs="Times New Roman" w:eastAsia="Times New Roman" w:hAnsi="Times New Roman"/>
          <w:sz w:val="14"/>
          <w:szCs w:val="14"/>
          <w:color w:val="auto"/>
        </w:rPr>
        <w:t>. The Participant shall have the right to designate in writing from time to time a beneficiary or beneficiaries for any Award by filing a written notice of such designation with the Committee. If the Participant's beneficiary predeceases the Participant and no successor beneficiary is designated, or if no valid designation has been made, the Participant's beneficiary shall be the Participant's estate. In such an event, no payment shall be made unless the Committee shall have been furnished with such evidence as the Committee may deem necessary to establish the validity of the payment.</w:t>
      </w:r>
    </w:p>
    <w:p>
      <w:pPr>
        <w:spacing w:after="0" w:line="197" w:lineRule="exact"/>
        <w:rPr>
          <w:rFonts w:ascii="Times New Roman" w:cs="Times New Roman" w:eastAsia="Times New Roman" w:hAnsi="Times New Roman"/>
          <w:sz w:val="14"/>
          <w:szCs w:val="14"/>
          <w:color w:val="auto"/>
        </w:rPr>
      </w:pPr>
    </w:p>
    <w:p>
      <w:pPr>
        <w:jc w:val="both"/>
        <w:ind w:firstLine="460"/>
        <w:spacing w:after="0" w:line="249" w:lineRule="auto"/>
        <w:tabs>
          <w:tab w:leader="none" w:pos="1116" w:val="left"/>
        </w:tabs>
        <w:numPr>
          <w:ilvl w:val="2"/>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Withholding</w:t>
      </w:r>
      <w:r>
        <w:rPr>
          <w:rFonts w:ascii="Times New Roman" w:cs="Times New Roman" w:eastAsia="Times New Roman" w:hAnsi="Times New Roman"/>
          <w:sz w:val="14"/>
          <w:szCs w:val="14"/>
          <w:color w:val="auto"/>
        </w:rPr>
        <w:t>. The Company shall withhold any taxes required to be withheld by federal, state or local government in connection with an Award. The Company shall have the right to require a Participant to remit to the Company an amount sufficient to satisfy any federal, state and local withholding tax requirements prior to the delivery of any certificate or certificates for shares. A Participant may pay the withholding tax in cash, or, with the consent of the Committee or its delegate, or if the Agreement provides, a Participant may also elect to have the number of Shares he is to receive reduced by the smallest number of whole Shares which, when multiplied by the Fair Market Value of the shares determined as of the date on which the amount of tax to be withheld is determined, is sufficient to satisfy federal, state and local, if any, withholding taxes arising from the Award. Any such election must be made on or before the date on which the amount of tax required to be withheld is determined.</w:t>
      </w:r>
    </w:p>
    <w:p>
      <w:pPr>
        <w:spacing w:after="0" w:line="203" w:lineRule="exact"/>
        <w:rPr>
          <w:rFonts w:ascii="Times New Roman" w:cs="Times New Roman" w:eastAsia="Times New Roman" w:hAnsi="Times New Roman"/>
          <w:sz w:val="14"/>
          <w:szCs w:val="14"/>
          <w:color w:val="auto"/>
        </w:rPr>
      </w:pPr>
    </w:p>
    <w:p>
      <w:pPr>
        <w:ind w:firstLine="487"/>
        <w:spacing w:after="0" w:line="282" w:lineRule="auto"/>
        <w:tabs>
          <w:tab w:leader="none" w:pos="1170" w:val="left"/>
        </w:tabs>
        <w:numPr>
          <w:ilvl w:val="3"/>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of Discharge Reserved</w:t>
      </w:r>
      <w:r>
        <w:rPr>
          <w:rFonts w:ascii="Times New Roman" w:cs="Times New Roman" w:eastAsia="Times New Roman" w:hAnsi="Times New Roman"/>
          <w:sz w:val="14"/>
          <w:szCs w:val="14"/>
          <w:color w:val="auto"/>
        </w:rPr>
        <w:t>. Nothing in the Program or in any Agreement shall confer upon any Participant the right to continue as an Employee or executive officer of the Company or any Subsidiary, or affect any right which the Company may have to terminate such Employee or executive officer.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9" w:right="299" w:bottom="1440" w:gutter="0" w:footer="0" w:header="0"/>
        </w:sectPr>
      </w:pPr>
    </w:p>
    <w:bookmarkStart w:id="143" w:name="page144"/>
    <w:bookmarkEnd w:id="143"/>
    <w:p>
      <w:pPr>
        <w:ind w:left="900" w:hanging="620"/>
        <w:spacing w:after="0"/>
        <w:tabs>
          <w:tab w:leader="none" w:pos="900" w:val="left"/>
        </w:tabs>
        <w:numPr>
          <w:ilvl w:val="3"/>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and Termination</w:t>
      </w:r>
      <w:r>
        <w:rPr>
          <w:rFonts w:ascii="Times New Roman" w:cs="Times New Roman" w:eastAsia="Times New Roman" w:hAnsi="Times New Roman"/>
          <w:sz w:val="14"/>
          <w:szCs w:val="14"/>
          <w:color w:val="auto"/>
        </w:rPr>
        <w:t>.</w:t>
      </w:r>
    </w:p>
    <w:p>
      <w:pPr>
        <w:spacing w:after="0" w:line="235" w:lineRule="exact"/>
        <w:rPr>
          <w:rFonts w:ascii="Times New Roman" w:cs="Times New Roman" w:eastAsia="Times New Roman" w:hAnsi="Times New Roman"/>
          <w:sz w:val="14"/>
          <w:szCs w:val="14"/>
          <w:color w:val="auto"/>
        </w:rPr>
      </w:pPr>
    </w:p>
    <w:p>
      <w:pPr>
        <w:jc w:val="both"/>
        <w:ind w:firstLine="196"/>
        <w:spacing w:after="0" w:line="249" w:lineRule="auto"/>
        <w:tabs>
          <w:tab w:leader="none" w:pos="697" w:val="left"/>
        </w:tabs>
        <w:numPr>
          <w:ilvl w:val="2"/>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 General</w:t>
      </w:r>
      <w:r>
        <w:rPr>
          <w:rFonts w:ascii="Times New Roman" w:cs="Times New Roman" w:eastAsia="Times New Roman" w:hAnsi="Times New Roman"/>
          <w:sz w:val="14"/>
          <w:szCs w:val="14"/>
          <w:color w:val="auto"/>
        </w:rPr>
        <w:t>. The Board may terminate the Program at any time, the Board or the Committee may amend the Program at any time, and the Committee may amend any outstanding Agreement at any time in any respect whatsoever, except that, other than pursuant to Section 15(b), no termination of the Program and no amendment to the Program or to an outstanding Agreement shall materially impair any rights or materially increase any obligations of any Participant under any Award without the prior written consent of the Participant (or, after the Participant's death, the person succeeding to the Participant's interests with respect to the Award). An amendment to an Award that is intended to qualify as qualified performance-based compensation within the meaning of section 162(m) of the Code shall be subject to stockholder approval to the extent necessary for the Award to continue to so qualify under section 162(m) of the Code. Any other amendment to an Award shall be subject to stockholder approval to the extent necessary to comply with other applicable laws or regulations.</w:t>
      </w:r>
    </w:p>
    <w:p>
      <w:pPr>
        <w:spacing w:after="0" w:line="203" w:lineRule="exact"/>
        <w:rPr>
          <w:rFonts w:ascii="Times New Roman" w:cs="Times New Roman" w:eastAsia="Times New Roman" w:hAnsi="Times New Roman"/>
          <w:sz w:val="14"/>
          <w:szCs w:val="14"/>
          <w:color w:val="auto"/>
        </w:rPr>
      </w:pPr>
    </w:p>
    <w:p>
      <w:pPr>
        <w:ind w:firstLine="52"/>
        <w:spacing w:after="0" w:line="282" w:lineRule="auto"/>
        <w:tabs>
          <w:tab w:leader="none" w:pos="489"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Repricing of Options and Cash Buyouts.</w:t>
      </w:r>
      <w:r>
        <w:rPr>
          <w:rFonts w:ascii="Times New Roman" w:cs="Times New Roman" w:eastAsia="Times New Roman" w:hAnsi="Times New Roman"/>
          <w:sz w:val="14"/>
          <w:szCs w:val="14"/>
          <w:color w:val="auto"/>
        </w:rPr>
        <w:t xml:space="preserve"> Notwithstanding any provision in the Program to the contrary, neither the Board nor the Committee may, without obtaining prior approval by the Company's shareholders:</w:t>
      </w:r>
    </w:p>
    <w:p>
      <w:pPr>
        <w:spacing w:after="0" w:line="179" w:lineRule="exact"/>
        <w:rPr>
          <w:rFonts w:ascii="Times New Roman" w:cs="Times New Roman" w:eastAsia="Times New Roman" w:hAnsi="Times New Roman"/>
          <w:sz w:val="14"/>
          <w:szCs w:val="14"/>
          <w:color w:val="auto"/>
        </w:rPr>
      </w:pPr>
    </w:p>
    <w:p>
      <w:pPr>
        <w:ind w:firstLine="190"/>
        <w:spacing w:after="0" w:line="282" w:lineRule="auto"/>
        <w:tabs>
          <w:tab w:leader="none" w:pos="815" w:val="left"/>
        </w:tabs>
        <w:numPr>
          <w:ilvl w:val="2"/>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option price of any issued and outstanding Option granted under the Program at any time during the term of such option or increase the SAR Spread with respect to any Stock Appreciation Right (other than by adjustment pursuant to Section 4(c) relating to changes in capitalization);</w:t>
      </w:r>
    </w:p>
    <w:p>
      <w:pPr>
        <w:spacing w:after="0" w:line="179" w:lineRule="exact"/>
        <w:rPr>
          <w:rFonts w:ascii="Times New Roman" w:cs="Times New Roman" w:eastAsia="Times New Roman" w:hAnsi="Times New Roman"/>
          <w:sz w:val="14"/>
          <w:szCs w:val="14"/>
          <w:color w:val="auto"/>
        </w:rPr>
      </w:pPr>
    </w:p>
    <w:p>
      <w:pPr>
        <w:ind w:right="20" w:firstLine="76"/>
        <w:spacing w:after="0" w:line="282" w:lineRule="auto"/>
        <w:tabs>
          <w:tab w:leader="none" w:pos="70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Company to purchase Options or exchange Options for cash or other property, except to the extent specifically authorized under circumstances described in Section 4(b), Section 15(b) or Section 18 relating to Immaculate Cashless Exercise, change in control and tax withholding, respectively.</w:t>
      </w:r>
    </w:p>
    <w:p>
      <w:pPr>
        <w:spacing w:after="0" w:line="179" w:lineRule="exact"/>
        <w:rPr>
          <w:rFonts w:ascii="Times New Roman" w:cs="Times New Roman" w:eastAsia="Times New Roman" w:hAnsi="Times New Roman"/>
          <w:sz w:val="14"/>
          <w:szCs w:val="14"/>
          <w:color w:val="auto"/>
        </w:rPr>
      </w:pPr>
    </w:p>
    <w:p>
      <w:pPr>
        <w:jc w:val="both"/>
        <w:ind w:firstLine="487"/>
        <w:spacing w:after="0"/>
        <w:tabs>
          <w:tab w:leader="none" w:pos="1170" w:val="left"/>
        </w:tabs>
        <w:numPr>
          <w:ilvl w:val="4"/>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of the Program</w:t>
      </w:r>
      <w:r>
        <w:rPr>
          <w:rFonts w:ascii="Times New Roman" w:cs="Times New Roman" w:eastAsia="Times New Roman" w:hAnsi="Times New Roman"/>
          <w:sz w:val="14"/>
          <w:szCs w:val="14"/>
          <w:color w:val="auto"/>
        </w:rPr>
        <w:t>. This Program initially became effective on May 22, 2007, the date approved by the stockholders of the Company, and was most recently amended and restated, prior to the 2014 Annual Meeting of Stockholders, effective February 23, 2011. The effectiveness of the amendment and restatement of the Program, including the merger of the Vishay Intertechnology, Inc. Senior Executive Phantom Stock Plan with and into the Program is conditioned on and subject to the approval of the Company's stockholders at the Company's Annual Meeting of Stockholders to be held in 2014. The Program shall terminate upon the earlier of (i) the date on which all Common Stock available under this Program have been issued, (ii)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anniversary of the Effective Date, or (iii) the termination of this Program by the Committee subject to approval of the Board of Directors of the Company. No Award may be granted after the termination of the Program. Any outstanding Awards as of the date the Program terminates shall remain in full force and effect, subject to the terms of the Program and the relevant Agreement relating to such Award.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44" w:name="page145"/>
    <w:bookmarkEnd w:id="144"/>
    <w:p>
      <w:pPr>
        <w:jc w:val="both"/>
        <w:ind w:firstLine="163"/>
        <w:spacing w:after="0" w:line="249" w:lineRule="auto"/>
        <w:tabs>
          <w:tab w:leader="none" w:pos="801"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Each person who is or shall have been a member of the Committee, or of the Board of Directors, shall be indemnified and held harmless by the Company from and against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Program and against and from any and all amounts paid by such person in settlement thereof with the Company's approval, or paid by such person in satisfaction of any judgment in any such action, suit or proceeding against such person, provided such person shall give the Company an opportunity, at its own expense, to handle and defend the same before such person undertakes to handle and defend it on such person's own behalf. The foregoing right of indemnification shall not be exclusive of any other rights of indemnification to which such persons may be entitled from the Company, as a matter of law, or otherwise.</w:t>
      </w:r>
    </w:p>
    <w:p>
      <w:pPr>
        <w:spacing w:after="0" w:line="203" w:lineRule="exact"/>
        <w:rPr>
          <w:rFonts w:ascii="Times New Roman" w:cs="Times New Roman" w:eastAsia="Times New Roman" w:hAnsi="Times New Roman"/>
          <w:sz w:val="14"/>
          <w:szCs w:val="14"/>
          <w:color w:val="auto"/>
        </w:rPr>
      </w:pPr>
    </w:p>
    <w:p>
      <w:pPr>
        <w:ind w:firstLine="478"/>
        <w:spacing w:after="0" w:line="282" w:lineRule="auto"/>
        <w:tabs>
          <w:tab w:leader="none" w:pos="1152" w:val="left"/>
        </w:tabs>
        <w:numPr>
          <w:ilvl w:val="3"/>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w:t>
      </w:r>
      <w:r>
        <w:rPr>
          <w:rFonts w:ascii="Times New Roman" w:cs="Times New Roman" w:eastAsia="Times New Roman" w:hAnsi="Times New Roman"/>
          <w:sz w:val="14"/>
          <w:szCs w:val="14"/>
          <w:color w:val="auto"/>
        </w:rPr>
        <w:t>. All obligations of the Company under the Program, with respect to any Award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9" w:lineRule="exact"/>
        <w:rPr>
          <w:rFonts w:ascii="Times New Roman" w:cs="Times New Roman" w:eastAsia="Times New Roman" w:hAnsi="Times New Roman"/>
          <w:sz w:val="14"/>
          <w:szCs w:val="14"/>
          <w:color w:val="auto"/>
        </w:rPr>
      </w:pPr>
    </w:p>
    <w:p>
      <w:pPr>
        <w:ind w:firstLine="460"/>
        <w:spacing w:after="0" w:line="282" w:lineRule="auto"/>
        <w:tabs>
          <w:tab w:leader="none" w:pos="1116" w:val="left"/>
        </w:tabs>
        <w:numPr>
          <w:ilvl w:val="2"/>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provision of the Program shall be held illegal or invalid for any reason, such illegality or invalidity shall not affect the remaining parts of the Program, and the Program shall be construed and enforced as if the illegal or invalid provision had not been included.</w:t>
      </w:r>
    </w:p>
    <w:p>
      <w:pPr>
        <w:spacing w:after="0" w:line="179" w:lineRule="exact"/>
        <w:rPr>
          <w:rFonts w:ascii="Times New Roman" w:cs="Times New Roman" w:eastAsia="Times New Roman" w:hAnsi="Times New Roman"/>
          <w:sz w:val="14"/>
          <w:szCs w:val="14"/>
          <w:color w:val="auto"/>
        </w:rPr>
      </w:pPr>
    </w:p>
    <w:p>
      <w:pPr>
        <w:ind w:firstLine="424"/>
        <w:spacing w:after="0" w:line="282" w:lineRule="auto"/>
        <w:tabs>
          <w:tab w:leader="none" w:pos="1044"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Program and any grant of Awards made and any action taken hereunder shall be subject to and construed and interpreted in accordance with the laws of the State of Delaware, without giving effect to principles of conflict of laws.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45" w:name="page146"/>
    <w:bookmarkEnd w:id="145"/>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VISHAY INTERTECHNOLOGY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ANNEX A – ISRAEL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TO THE 2007 STOCK INCENTIVE PROGRAM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amended and restated January 19, 2023)</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purposes of this Annex and the Agreement, the following definitions shall apply:</w:t>
      </w:r>
    </w:p>
    <w:p>
      <w:pPr>
        <w:spacing w:after="0" w:line="235" w:lineRule="exact"/>
        <w:rPr>
          <w:sz w:val="20"/>
          <w:szCs w:val="20"/>
          <w:color w:val="auto"/>
        </w:rPr>
      </w:pPr>
    </w:p>
    <w:p>
      <w:pPr>
        <w:ind w:left="980" w:hanging="556"/>
        <w:spacing w:after="0"/>
        <w:tabs>
          <w:tab w:leader="none" w:pos="98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 any "employer" within the meaning of Section 102(a) of the Ordinance.</w:t>
      </w:r>
    </w:p>
    <w:p>
      <w:pPr>
        <w:spacing w:after="0" w:line="235" w:lineRule="exact"/>
        <w:rPr>
          <w:rFonts w:ascii="Times New Roman" w:cs="Times New Roman" w:eastAsia="Times New Roman" w:hAnsi="Times New Roman"/>
          <w:sz w:val="14"/>
          <w:szCs w:val="14"/>
          <w:color w:val="auto"/>
        </w:rPr>
      </w:pPr>
    </w:p>
    <w:p>
      <w:pPr>
        <w:ind w:left="980" w:hanging="556"/>
        <w:spacing w:after="0"/>
        <w:tabs>
          <w:tab w:leader="none" w:pos="98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Approved 102 Award</w:t>
      </w:r>
      <w:r>
        <w:rPr>
          <w:rFonts w:ascii="Times New Roman" w:cs="Times New Roman" w:eastAsia="Times New Roman" w:hAnsi="Times New Roman"/>
          <w:sz w:val="14"/>
          <w:szCs w:val="14"/>
          <w:color w:val="auto"/>
        </w:rPr>
        <w:t>" – an Award granted pursuant to Section 102(b) of the Ordinance and held in trust or controlled by a Trustee for the benefit of the Participant.</w:t>
      </w:r>
    </w:p>
    <w:p>
      <w:pPr>
        <w:spacing w:after="0" w:line="235" w:lineRule="exact"/>
        <w:rPr>
          <w:rFonts w:ascii="Times New Roman" w:cs="Times New Roman" w:eastAsia="Times New Roman" w:hAnsi="Times New Roman"/>
          <w:sz w:val="14"/>
          <w:szCs w:val="14"/>
          <w:color w:val="auto"/>
        </w:rPr>
      </w:pPr>
    </w:p>
    <w:p>
      <w:pPr>
        <w:ind w:left="960" w:hanging="558"/>
        <w:spacing w:after="0"/>
        <w:tabs>
          <w:tab w:leader="none" w:pos="96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Award</w:t>
      </w:r>
      <w:r>
        <w:rPr>
          <w:rFonts w:ascii="Times New Roman" w:cs="Times New Roman" w:eastAsia="Times New Roman" w:hAnsi="Times New Roman"/>
          <w:sz w:val="14"/>
          <w:szCs w:val="14"/>
          <w:color w:val="auto"/>
        </w:rPr>
        <w:t>” - for the purpose of this Annex, an Award shall include only Awards convertible into Shares.</w:t>
      </w:r>
    </w:p>
    <w:p>
      <w:pPr>
        <w:spacing w:after="0" w:line="235" w:lineRule="exact"/>
        <w:rPr>
          <w:rFonts w:ascii="Times New Roman" w:cs="Times New Roman" w:eastAsia="Times New Roman" w:hAnsi="Times New Roman"/>
          <w:sz w:val="14"/>
          <w:szCs w:val="14"/>
          <w:color w:val="auto"/>
        </w:rPr>
      </w:pPr>
    </w:p>
    <w:p>
      <w:pPr>
        <w:ind w:right="20" w:firstLine="443"/>
        <w:spacing w:after="0" w:line="282" w:lineRule="auto"/>
        <w:tabs>
          <w:tab w:leader="none" w:pos="1032" w:val="left"/>
        </w:tabs>
        <w:numPr>
          <w:ilvl w:val="2"/>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Gain Award (CGA</w:t>
      </w:r>
      <w:r>
        <w:rPr>
          <w:rFonts w:ascii="Times New Roman" w:cs="Times New Roman" w:eastAsia="Times New Roman" w:hAnsi="Times New Roman"/>
          <w:sz w:val="14"/>
          <w:szCs w:val="14"/>
          <w:color w:val="auto"/>
        </w:rPr>
        <w:t>)" – an Approved 102 Award elected and designated by the Company to qualify under the capital gain tax treatment in accordance with the provisions of Section 102(b)(2)/(3) of the Ordinance.</w:t>
      </w:r>
    </w:p>
    <w:p>
      <w:pPr>
        <w:spacing w:after="0" w:line="179" w:lineRule="exact"/>
        <w:rPr>
          <w:rFonts w:ascii="Times New Roman" w:cs="Times New Roman" w:eastAsia="Times New Roman" w:hAnsi="Times New Roman"/>
          <w:sz w:val="14"/>
          <w:szCs w:val="14"/>
          <w:color w:val="auto"/>
        </w:rPr>
      </w:pPr>
    </w:p>
    <w:p>
      <w:pPr>
        <w:ind w:left="980" w:hanging="556"/>
        <w:spacing w:after="0"/>
        <w:tabs>
          <w:tab w:leader="none" w:pos="98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Controlling Shareholder</w:t>
      </w:r>
      <w:r>
        <w:rPr>
          <w:rFonts w:ascii="Times New Roman" w:cs="Times New Roman" w:eastAsia="Times New Roman" w:hAnsi="Times New Roman"/>
          <w:sz w:val="14"/>
          <w:szCs w:val="14"/>
          <w:color w:val="auto"/>
        </w:rPr>
        <w:t>" – shall have the meaning ascribed to it in Section 32(9) of the Ordinance.</w:t>
      </w:r>
    </w:p>
    <w:p>
      <w:pPr>
        <w:spacing w:after="0" w:line="235" w:lineRule="exact"/>
        <w:rPr>
          <w:rFonts w:ascii="Times New Roman" w:cs="Times New Roman" w:eastAsia="Times New Roman" w:hAnsi="Times New Roman"/>
          <w:sz w:val="14"/>
          <w:szCs w:val="14"/>
          <w:color w:val="auto"/>
        </w:rPr>
      </w:pPr>
    </w:p>
    <w:p>
      <w:pPr>
        <w:jc w:val="both"/>
        <w:ind w:firstLine="437"/>
        <w:spacing w:after="0" w:line="261" w:lineRule="auto"/>
        <w:tabs>
          <w:tab w:leader="none" w:pos="1035"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Employee</w:t>
      </w:r>
      <w:r>
        <w:rPr>
          <w:rFonts w:ascii="Times New Roman" w:cs="Times New Roman" w:eastAsia="Times New Roman" w:hAnsi="Times New Roman"/>
          <w:sz w:val="14"/>
          <w:szCs w:val="14"/>
          <w:color w:val="auto"/>
        </w:rPr>
        <w:t>" – shall have the meaning ascribed to it in the Program, provided that only a person who is employed by an Affiliate (provided it is a company and not any other type of legal entity), including an individual who is serving as an office holder (as such term is defined in the Israeli Companies' Law, 5759-1999), shall be considered an Employee for purposes of the Annex, but excluding any Controlling Shareholder of the Company, all as determined in Section 102 of the Ordinance.</w:t>
      </w:r>
    </w:p>
    <w:p>
      <w:pPr>
        <w:spacing w:after="0" w:line="194" w:lineRule="exact"/>
        <w:rPr>
          <w:rFonts w:ascii="Times New Roman" w:cs="Times New Roman" w:eastAsia="Times New Roman" w:hAnsi="Times New Roman"/>
          <w:sz w:val="14"/>
          <w:szCs w:val="14"/>
          <w:color w:val="auto"/>
        </w:rPr>
      </w:pPr>
    </w:p>
    <w:p>
      <w:pPr>
        <w:ind w:left="980" w:hanging="556"/>
        <w:spacing w:after="0"/>
        <w:tabs>
          <w:tab w:leader="none" w:pos="98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ITA</w:t>
      </w:r>
      <w:r>
        <w:rPr>
          <w:rFonts w:ascii="Times New Roman" w:cs="Times New Roman" w:eastAsia="Times New Roman" w:hAnsi="Times New Roman"/>
          <w:sz w:val="14"/>
          <w:szCs w:val="14"/>
          <w:color w:val="auto"/>
        </w:rPr>
        <w:t>" – the Israeli Tax Authorities.</w:t>
      </w:r>
    </w:p>
    <w:p>
      <w:pPr>
        <w:spacing w:after="0" w:line="235" w:lineRule="exact"/>
        <w:rPr>
          <w:rFonts w:ascii="Times New Roman" w:cs="Times New Roman" w:eastAsia="Times New Roman" w:hAnsi="Times New Roman"/>
          <w:sz w:val="14"/>
          <w:szCs w:val="14"/>
          <w:color w:val="auto"/>
        </w:rPr>
      </w:pPr>
    </w:p>
    <w:p>
      <w:pPr>
        <w:ind w:left="980" w:hanging="556"/>
        <w:spacing w:after="0"/>
        <w:tabs>
          <w:tab w:leader="none" w:pos="98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Non-Employee</w:t>
      </w:r>
      <w:r>
        <w:rPr>
          <w:rFonts w:ascii="Times New Roman" w:cs="Times New Roman" w:eastAsia="Times New Roman" w:hAnsi="Times New Roman"/>
          <w:sz w:val="14"/>
          <w:szCs w:val="14"/>
          <w:color w:val="auto"/>
        </w:rPr>
        <w:t>" – anyone that is not an Employee.</w:t>
      </w:r>
    </w:p>
    <w:p>
      <w:pPr>
        <w:spacing w:after="0" w:line="235" w:lineRule="exact"/>
        <w:rPr>
          <w:rFonts w:ascii="Times New Roman" w:cs="Times New Roman" w:eastAsia="Times New Roman" w:hAnsi="Times New Roman"/>
          <w:sz w:val="14"/>
          <w:szCs w:val="14"/>
          <w:color w:val="auto"/>
        </w:rPr>
      </w:pPr>
    </w:p>
    <w:p>
      <w:pPr>
        <w:ind w:right="20" w:firstLine="478"/>
        <w:spacing w:after="0" w:line="282" w:lineRule="auto"/>
        <w:tabs>
          <w:tab w:leader="none" w:pos="1108" w:val="left"/>
        </w:tabs>
        <w:numPr>
          <w:ilvl w:val="2"/>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Ordinary Income Award (OIA)</w:t>
      </w:r>
      <w:r>
        <w:rPr>
          <w:rFonts w:ascii="Times New Roman" w:cs="Times New Roman" w:eastAsia="Times New Roman" w:hAnsi="Times New Roman"/>
          <w:sz w:val="14"/>
          <w:szCs w:val="14"/>
          <w:color w:val="auto"/>
        </w:rPr>
        <w:t>" – an Approved 102 Award elected and designated by the Company to qualify under the ordinary income tax treatment in accordance with the provisions of Section 102(b)(1) of the Ordinance.</w:t>
      </w:r>
    </w:p>
    <w:p>
      <w:pPr>
        <w:spacing w:after="0" w:line="180" w:lineRule="exact"/>
        <w:rPr>
          <w:sz w:val="20"/>
          <w:szCs w:val="20"/>
          <w:color w:val="auto"/>
        </w:rPr>
      </w:pPr>
    </w:p>
    <w:p>
      <w:pPr>
        <w:ind w:left="1000" w:hanging="576"/>
        <w:spacing w:after="0"/>
        <w:tabs>
          <w:tab w:leader="none" w:pos="10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102 Award</w:t>
      </w:r>
      <w:r>
        <w:rPr>
          <w:rFonts w:ascii="Times New Roman" w:cs="Times New Roman" w:eastAsia="Times New Roman" w:hAnsi="Times New Roman"/>
          <w:sz w:val="14"/>
          <w:szCs w:val="14"/>
          <w:color w:val="auto"/>
        </w:rPr>
        <w:t>" – any Award granted to Employees pursuant to Section 102 of the Ordinance.</w:t>
      </w:r>
    </w:p>
    <w:p>
      <w:pPr>
        <w:spacing w:after="0" w:line="235" w:lineRule="exact"/>
        <w:rPr>
          <w:rFonts w:ascii="Times New Roman" w:cs="Times New Roman" w:eastAsia="Times New Roman" w:hAnsi="Times New Roman"/>
          <w:sz w:val="14"/>
          <w:szCs w:val="14"/>
          <w:color w:val="auto"/>
        </w:rPr>
      </w:pPr>
    </w:p>
    <w:p>
      <w:pPr>
        <w:ind w:left="980" w:hanging="556"/>
        <w:spacing w:after="0"/>
        <w:tabs>
          <w:tab w:leader="none" w:pos="9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3(i) Award</w:t>
      </w:r>
      <w:r>
        <w:rPr>
          <w:rFonts w:ascii="Times New Roman" w:cs="Times New Roman" w:eastAsia="Times New Roman" w:hAnsi="Times New Roman"/>
          <w:sz w:val="14"/>
          <w:szCs w:val="14"/>
          <w:color w:val="auto"/>
        </w:rPr>
        <w:t>" – an Option or a Restricted Stock Unit granted pursuant to Section 3(i) of the Ordinance to any person who is a Non-Employee.</w:t>
      </w:r>
    </w:p>
    <w:p>
      <w:pPr>
        <w:spacing w:after="0" w:line="235" w:lineRule="exact"/>
        <w:rPr>
          <w:rFonts w:ascii="Times New Roman" w:cs="Times New Roman" w:eastAsia="Times New Roman" w:hAnsi="Times New Roman"/>
          <w:sz w:val="14"/>
          <w:szCs w:val="14"/>
          <w:color w:val="auto"/>
        </w:rPr>
      </w:pPr>
    </w:p>
    <w:p>
      <w:pPr>
        <w:ind w:left="1000" w:hanging="576"/>
        <w:spacing w:after="0"/>
        <w:tabs>
          <w:tab w:leader="none" w:pos="10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Ordinance</w:t>
      </w:r>
      <w:r>
        <w:rPr>
          <w:rFonts w:ascii="Times New Roman" w:cs="Times New Roman" w:eastAsia="Times New Roman" w:hAnsi="Times New Roman"/>
          <w:sz w:val="14"/>
          <w:szCs w:val="14"/>
          <w:color w:val="auto"/>
        </w:rPr>
        <w:t>" – the Israeli Income Tax Ordinance [New Version] 1961 as now in effect or as hereafter amended.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46" w:name="page147"/>
    <w:bookmarkEnd w:id="146"/>
    <w:p>
      <w:pPr>
        <w:ind w:left="1020" w:hanging="596"/>
        <w:spacing w:after="0"/>
        <w:tabs>
          <w:tab w:leader="none" w:pos="10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 Section 102 of the Ordinance and any regulations, rules, orders or procedures promulgated thereunder as now in effect or as hereafter amended.</w:t>
      </w:r>
    </w:p>
    <w:p>
      <w:pPr>
        <w:spacing w:after="0" w:line="235" w:lineRule="exact"/>
        <w:rPr>
          <w:rFonts w:ascii="Times New Roman" w:cs="Times New Roman" w:eastAsia="Times New Roman" w:hAnsi="Times New Roman"/>
          <w:sz w:val="14"/>
          <w:szCs w:val="14"/>
          <w:color w:val="auto"/>
        </w:rPr>
      </w:pPr>
    </w:p>
    <w:p>
      <w:pPr>
        <w:ind w:firstLine="494"/>
        <w:spacing w:after="0" w:line="282" w:lineRule="auto"/>
        <w:tabs>
          <w:tab w:leader="none" w:pos="1131"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 any individual or entity appointed by the Company or its Israeli Subsidiary to serve as a trustee and approved by the ITA, all in accordance with the provisions of Section 102(a) of the Ordinance.</w:t>
      </w:r>
    </w:p>
    <w:p>
      <w:pPr>
        <w:spacing w:after="0" w:line="180" w:lineRule="exact"/>
        <w:rPr>
          <w:sz w:val="20"/>
          <w:szCs w:val="20"/>
          <w:color w:val="auto"/>
        </w:rPr>
      </w:pPr>
    </w:p>
    <w:p>
      <w:pPr>
        <w:ind w:left="980" w:hanging="556"/>
        <w:spacing w:after="0"/>
        <w:tabs>
          <w:tab w:leader="none" w:pos="9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Unapproved 102 Award</w:t>
      </w:r>
      <w:r>
        <w:rPr>
          <w:rFonts w:ascii="Times New Roman" w:cs="Times New Roman" w:eastAsia="Times New Roman" w:hAnsi="Times New Roman"/>
          <w:sz w:val="14"/>
          <w:szCs w:val="14"/>
          <w:color w:val="auto"/>
        </w:rPr>
        <w:t>" – an Award granted pursuant to Section 102(c) of the Ordinance and not held in trust by a Trustee.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avoidance of any doubt, it is hereby clarified that any capitalized terms not specifically defined in this Annex shall be construed according to the interpretation given to it in the Program.</w:t>
      </w:r>
    </w:p>
    <w:p>
      <w:pPr>
        <w:spacing w:after="0" w:line="235" w:lineRule="exact"/>
        <w:rPr>
          <w:sz w:val="20"/>
          <w:szCs w:val="20"/>
          <w:color w:val="auto"/>
        </w:rPr>
      </w:pPr>
    </w:p>
    <w:p>
      <w:pPr>
        <w:ind w:left="900" w:hanging="476"/>
        <w:spacing w:after="0"/>
        <w:tabs>
          <w:tab w:leader="none" w:pos="9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p>
    <w:p>
      <w:pPr>
        <w:spacing w:after="0" w:line="235" w:lineRule="exact"/>
        <w:rPr>
          <w:sz w:val="20"/>
          <w:szCs w:val="20"/>
          <w:color w:val="auto"/>
        </w:rPr>
      </w:pPr>
    </w:p>
    <w:p>
      <w:pPr>
        <w:jc w:val="both"/>
        <w:ind w:firstLine="337"/>
        <w:spacing w:after="0" w:line="251" w:lineRule="auto"/>
        <w:rPr>
          <w:sz w:val="20"/>
          <w:szCs w:val="20"/>
          <w:color w:val="auto"/>
        </w:rPr>
      </w:pPr>
      <w:r>
        <w:rPr>
          <w:rFonts w:ascii="Times New Roman" w:cs="Times New Roman" w:eastAsia="Times New Roman" w:hAnsi="Times New Roman"/>
          <w:sz w:val="14"/>
          <w:szCs w:val="14"/>
          <w:color w:val="auto"/>
        </w:rPr>
        <w:t>1.1. This Annex (the "</w:t>
      </w:r>
      <w:r>
        <w:rPr>
          <w:rFonts w:ascii="Times New Roman" w:cs="Times New Roman" w:eastAsia="Times New Roman" w:hAnsi="Times New Roman"/>
          <w:sz w:val="14"/>
          <w:szCs w:val="14"/>
          <w:u w:val="single" w:color="auto"/>
          <w:color w:val="auto"/>
        </w:rPr>
        <w:t>Annex</w:t>
      </w:r>
      <w:r>
        <w:rPr>
          <w:rFonts w:ascii="Times New Roman" w:cs="Times New Roman" w:eastAsia="Times New Roman" w:hAnsi="Times New Roman"/>
          <w:sz w:val="14"/>
          <w:szCs w:val="14"/>
          <w:color w:val="auto"/>
        </w:rPr>
        <w:t>") shall apply only to Participants who are residents of the State of Israel or those who are deemed to be residents of the State of Israel for the payment of tax (hereinafter, the "</w:t>
      </w:r>
      <w:r>
        <w:rPr>
          <w:rFonts w:ascii="Times New Roman" w:cs="Times New Roman" w:eastAsia="Times New Roman" w:hAnsi="Times New Roman"/>
          <w:sz w:val="14"/>
          <w:szCs w:val="14"/>
          <w:u w:val="single" w:color="auto"/>
          <w:color w:val="auto"/>
        </w:rPr>
        <w:t>Israeli Participant</w:t>
      </w:r>
      <w:r>
        <w:rPr>
          <w:rFonts w:ascii="Times New Roman" w:cs="Times New Roman" w:eastAsia="Times New Roman" w:hAnsi="Times New Roman"/>
          <w:sz w:val="14"/>
          <w:szCs w:val="14"/>
          <w:color w:val="auto"/>
        </w:rPr>
        <w:t>"). The provisions specified hereunder shall form an integral part of the 2007 Stock Incentive Program of Vishay Intertechnology Inc. as amended (hereinafter, the "</w:t>
      </w:r>
      <w:r>
        <w:rPr>
          <w:rFonts w:ascii="Times New Roman" w:cs="Times New Roman" w:eastAsia="Times New Roman" w:hAnsi="Times New Roman"/>
          <w:sz w:val="14"/>
          <w:szCs w:val="14"/>
          <w:u w:val="single" w:color="auto"/>
          <w:color w:val="auto"/>
        </w:rPr>
        <w:t>Program</w:t>
      </w:r>
      <w:r>
        <w:rPr>
          <w:rFonts w:ascii="Times New Roman" w:cs="Times New Roman" w:eastAsia="Times New Roman" w:hAnsi="Times New Roman"/>
          <w:sz w:val="14"/>
          <w:szCs w:val="14"/>
          <w:color w:val="auto"/>
        </w:rPr>
        <w:t>"), which applies to the issuance of Awards to purchase Shares of Vishay Intertechnology Inc. (hereinafter,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All capitalized terms that are not defined in this Annex A shall have the meaning given to such term in the Program. According to the Program, Awards to purchase the Company's Shares may be issued to employees, and officers of the Company or its subsidiaries and members of the Board.</w:t>
      </w:r>
    </w:p>
    <w:p>
      <w:pPr>
        <w:spacing w:after="0" w:line="202"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4"/>
          <w:szCs w:val="14"/>
          <w:color w:val="auto"/>
        </w:rPr>
        <w:t>This Annex is effective with respect to Awards granted following Amendment no. 132 of the Ordinance, which entered into force on January 1, 2003.</w:t>
      </w:r>
    </w:p>
    <w:p>
      <w:pPr>
        <w:spacing w:after="0" w:line="235" w:lineRule="exact"/>
        <w:rPr>
          <w:sz w:val="20"/>
          <w:szCs w:val="20"/>
          <w:color w:val="auto"/>
        </w:rPr>
      </w:pPr>
    </w:p>
    <w:p>
      <w:pPr>
        <w:jc w:val="both"/>
        <w:ind w:firstLine="343"/>
        <w:spacing w:after="0" w:line="261" w:lineRule="auto"/>
        <w:rPr>
          <w:sz w:val="20"/>
          <w:szCs w:val="20"/>
          <w:color w:val="auto"/>
        </w:rPr>
      </w:pPr>
      <w:r>
        <w:rPr>
          <w:rFonts w:ascii="Times New Roman" w:cs="Times New Roman" w:eastAsia="Times New Roman" w:hAnsi="Times New Roman"/>
          <w:sz w:val="14"/>
          <w:szCs w:val="14"/>
          <w:color w:val="auto"/>
        </w:rPr>
        <w:t>1.3 This Annex is to be read as a continuation of the Program and only modifies awards granted to Israeli Participants so that they comply with the requirements set by the Israeli law in general, and in particular with the provisions of Section 102 (as specified herein), as may be amended or replaced from time to time. For the avoidance of doubt, this Annex does not add to or modify the Program in respect of any other category of Participants.</w:t>
      </w:r>
    </w:p>
    <w:p>
      <w:pPr>
        <w:spacing w:after="0" w:line="195" w:lineRule="exact"/>
        <w:rPr>
          <w:sz w:val="20"/>
          <w:szCs w:val="20"/>
          <w:color w:val="auto"/>
        </w:rPr>
      </w:pPr>
    </w:p>
    <w:p>
      <w:pPr>
        <w:jc w:val="both"/>
        <w:ind w:firstLine="332"/>
        <w:spacing w:after="0" w:line="282" w:lineRule="auto"/>
        <w:rPr>
          <w:sz w:val="20"/>
          <w:szCs w:val="20"/>
          <w:color w:val="auto"/>
        </w:rPr>
      </w:pPr>
      <w:r>
        <w:rPr>
          <w:rFonts w:ascii="Times New Roman" w:cs="Times New Roman" w:eastAsia="Times New Roman" w:hAnsi="Times New Roman"/>
          <w:sz w:val="14"/>
          <w:szCs w:val="14"/>
          <w:color w:val="auto"/>
        </w:rPr>
        <w:t>1.4 The Program and this Annex are complimentary to each other and shall be deemed as one. In any case of contradiction, whether explicit or implied, between the provisions of this Annex and the Program, the provisions set out in the Annex shall prevail.</w:t>
      </w:r>
    </w:p>
    <w:p>
      <w:pPr>
        <w:spacing w:after="0" w:line="180" w:lineRule="exact"/>
        <w:rPr>
          <w:sz w:val="20"/>
          <w:szCs w:val="20"/>
          <w:color w:val="auto"/>
        </w:rPr>
      </w:pPr>
    </w:p>
    <w:p>
      <w:pPr>
        <w:ind w:left="960" w:hanging="536"/>
        <w:spacing w:after="0"/>
        <w:tabs>
          <w:tab w:leader="none" w:pos="9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ISSUANCE OF AWARDS</w:t>
      </w:r>
    </w:p>
    <w:p>
      <w:pPr>
        <w:spacing w:after="0" w:line="235" w:lineRule="exact"/>
        <w:rPr>
          <w:sz w:val="20"/>
          <w:szCs w:val="20"/>
          <w:color w:val="auto"/>
        </w:rPr>
      </w:pPr>
    </w:p>
    <w:p>
      <w:pPr>
        <w:ind w:firstLine="380"/>
        <w:spacing w:after="0" w:line="282" w:lineRule="auto"/>
        <w:rPr>
          <w:sz w:val="20"/>
          <w:szCs w:val="20"/>
          <w:color w:val="auto"/>
        </w:rPr>
      </w:pPr>
      <w:r>
        <w:rPr>
          <w:rFonts w:ascii="Times New Roman" w:cs="Times New Roman" w:eastAsia="Times New Roman" w:hAnsi="Times New Roman"/>
          <w:sz w:val="14"/>
          <w:szCs w:val="14"/>
          <w:color w:val="auto"/>
        </w:rPr>
        <w:t>2.1 The persons eligible for participation in the Program as Israeli Participants and which are subject to this Annex shall include any Employees and/or Non-Employees; provided, however, that (i) Employees may only be granted 102 Awards; and (ii) Non-Employees and/or Controlling Shareholders of the Company may only be granted 3(i) Awards.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47" w:name="page148"/>
    <w:bookmarkEnd w:id="147"/>
    <w:p>
      <w:pPr>
        <w:ind w:left="320"/>
        <w:spacing w:after="0"/>
        <w:tabs>
          <w:tab w:leader="none" w:pos="900" w:val="left"/>
        </w:tabs>
        <w:rPr>
          <w:sz w:val="20"/>
          <w:szCs w:val="20"/>
          <w:color w:val="auto"/>
        </w:rPr>
      </w:pP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4"/>
          <w:szCs w:val="14"/>
          <w:color w:val="auto"/>
        </w:rPr>
        <w:t>The Company may designate Awards granted to Employees pursuant to Section 102 as Unapproved 102 Awards or Approved 102 Awards.</w:t>
      </w:r>
    </w:p>
    <w:p>
      <w:pPr>
        <w:spacing w:after="0" w:line="235" w:lineRule="exact"/>
        <w:rPr>
          <w:sz w:val="20"/>
          <w:szCs w:val="20"/>
          <w:color w:val="auto"/>
        </w:rPr>
      </w:pPr>
    </w:p>
    <w:p>
      <w:pPr>
        <w:jc w:val="both"/>
        <w:ind w:right="20" w:firstLine="353"/>
        <w:spacing w:after="0" w:line="282" w:lineRule="auto"/>
        <w:rPr>
          <w:sz w:val="20"/>
          <w:szCs w:val="20"/>
          <w:color w:val="auto"/>
        </w:rPr>
      </w:pPr>
      <w:r>
        <w:rPr>
          <w:rFonts w:ascii="Times New Roman" w:cs="Times New Roman" w:eastAsia="Times New Roman" w:hAnsi="Times New Roman"/>
          <w:sz w:val="14"/>
          <w:szCs w:val="14"/>
          <w:color w:val="auto"/>
        </w:rPr>
        <w:t>2.3 The grant of Approved 102 Awards shall be made under this Annex adopted by the Board, and as approved by the ITA or as deemed to be approved by the ITA all in accordance with the provisions of Section 102.</w:t>
      </w:r>
    </w:p>
    <w:p>
      <w:pPr>
        <w:spacing w:after="0" w:line="180"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Approved 102 Awards may either be classified as Capital Gain Awards ("</w:t>
      </w:r>
      <w:r>
        <w:rPr>
          <w:rFonts w:ascii="Times New Roman" w:cs="Times New Roman" w:eastAsia="Times New Roman" w:hAnsi="Times New Roman"/>
          <w:sz w:val="14"/>
          <w:szCs w:val="14"/>
          <w:u w:val="single" w:color="auto"/>
          <w:color w:val="auto"/>
        </w:rPr>
        <w:t>CGAs</w:t>
      </w:r>
      <w:r>
        <w:rPr>
          <w:rFonts w:ascii="Times New Roman" w:cs="Times New Roman" w:eastAsia="Times New Roman" w:hAnsi="Times New Roman"/>
          <w:sz w:val="14"/>
          <w:szCs w:val="14"/>
          <w:color w:val="auto"/>
        </w:rPr>
        <w:t>") or Ordinary Income Awards ("</w:t>
      </w:r>
      <w:r>
        <w:rPr>
          <w:rFonts w:ascii="Times New Roman" w:cs="Times New Roman" w:eastAsia="Times New Roman" w:hAnsi="Times New Roman"/>
          <w:sz w:val="14"/>
          <w:szCs w:val="14"/>
          <w:u w:val="single" w:color="auto"/>
          <w:color w:val="auto"/>
        </w:rPr>
        <w:t>OIAs</w:t>
      </w:r>
      <w:r>
        <w:rPr>
          <w:rFonts w:ascii="Times New Roman" w:cs="Times New Roman" w:eastAsia="Times New Roman" w:hAnsi="Times New Roman"/>
          <w:sz w:val="14"/>
          <w:szCs w:val="14"/>
          <w:color w:val="auto"/>
        </w:rPr>
        <w:t>").</w:t>
      </w:r>
    </w:p>
    <w:p>
      <w:pPr>
        <w:spacing w:after="0" w:line="235" w:lineRule="exact"/>
        <w:rPr>
          <w:sz w:val="20"/>
          <w:szCs w:val="20"/>
          <w:color w:val="auto"/>
        </w:rPr>
      </w:pPr>
    </w:p>
    <w:p>
      <w:pPr>
        <w:jc w:val="both"/>
        <w:ind w:firstLine="366"/>
        <w:spacing w:after="0" w:line="251" w:lineRule="auto"/>
        <w:rPr>
          <w:sz w:val="20"/>
          <w:szCs w:val="20"/>
          <w:color w:val="auto"/>
        </w:rPr>
      </w:pPr>
      <w:r>
        <w:rPr>
          <w:rFonts w:ascii="Times New Roman" w:cs="Times New Roman" w:eastAsia="Times New Roman" w:hAnsi="Times New Roman"/>
          <w:sz w:val="14"/>
          <w:szCs w:val="14"/>
          <w:color w:val="auto"/>
        </w:rPr>
        <w:t>2.5 No Approved 102 Awards may be granted under this Annex to any eligible Employee, unless and until, the Company's election of the type of Approved 102 Awards as CGA or OIA granted to Employees (the "</w:t>
      </w:r>
      <w:r>
        <w:rPr>
          <w:rFonts w:ascii="Times New Roman" w:cs="Times New Roman" w:eastAsia="Times New Roman" w:hAnsi="Times New Roman"/>
          <w:sz w:val="14"/>
          <w:szCs w:val="14"/>
          <w:u w:val="single" w:color="auto"/>
          <w:color w:val="auto"/>
        </w:rPr>
        <w:t>Election</w:t>
      </w:r>
      <w:r>
        <w:rPr>
          <w:rFonts w:ascii="Times New Roman" w:cs="Times New Roman" w:eastAsia="Times New Roman" w:hAnsi="Times New Roman"/>
          <w:sz w:val="14"/>
          <w:szCs w:val="14"/>
          <w:color w:val="auto"/>
        </w:rPr>
        <w:t xml:space="preserve">"), is appropriately filed with the ITA. Such Election shall become effective beginning the first date of grant of an Approved 102 Award under this Annex and shall remain in effect at least until the end of the year following the year during which the Company first granted Approved 102 Awards. The Election shall obligate the Company to grant </w:t>
      </w:r>
      <w:r>
        <w:rPr>
          <w:rFonts w:ascii="Times New Roman" w:cs="Times New Roman" w:eastAsia="Times New Roman" w:hAnsi="Times New Roman"/>
          <w:sz w:val="14"/>
          <w:szCs w:val="14"/>
          <w:i w:val="1"/>
          <w:iCs w:val="1"/>
          <w:color w:val="auto"/>
        </w:rPr>
        <w:t>only</w:t>
      </w:r>
      <w:r>
        <w:rPr>
          <w:rFonts w:ascii="Times New Roman" w:cs="Times New Roman" w:eastAsia="Times New Roman" w:hAnsi="Times New Roman"/>
          <w:sz w:val="14"/>
          <w:szCs w:val="14"/>
          <w:color w:val="auto"/>
        </w:rPr>
        <w:t xml:space="preserve"> the type of Approved 102 Award it has elected, and shall apply to all Employees who were granted Approved 102 Awards during the period indicated herein, all in accordance with the provisions of Section 102(g) of the Ordinance. For the avoidance of doubt, such Election shall not prevent the Company from granting Unapproved 102 Awards simultaneously.</w:t>
      </w:r>
    </w:p>
    <w:p>
      <w:pPr>
        <w:spacing w:after="0" w:line="202"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color w:val="auto"/>
        </w:rPr>
        <w:t>All Approved 102 Awards must be held in trust or controlled and supervised by a Trustee, as described in Section 3 below.</w:t>
      </w:r>
    </w:p>
    <w:p>
      <w:pPr>
        <w:spacing w:after="0" w:line="235"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4"/>
          <w:szCs w:val="14"/>
          <w:color w:val="auto"/>
        </w:rPr>
        <w:t>For the avoidance of doubt, the designation of Unapproved 102 Awards and Approved 102 Awards shall be subject to the terms and conditions set forth in Section 102.</w:t>
      </w:r>
    </w:p>
    <w:p>
      <w:pPr>
        <w:spacing w:after="0" w:line="235" w:lineRule="exact"/>
        <w:rPr>
          <w:sz w:val="20"/>
          <w:szCs w:val="20"/>
          <w:color w:val="auto"/>
        </w:rPr>
      </w:pPr>
    </w:p>
    <w:p>
      <w:pPr>
        <w:ind w:left="960" w:hanging="536"/>
        <w:spacing w:after="0"/>
        <w:tabs>
          <w:tab w:leader="none" w:pos="9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TRUSTEE</w:t>
      </w:r>
    </w:p>
    <w:p>
      <w:pPr>
        <w:spacing w:after="0" w:line="235"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4"/>
          <w:szCs w:val="14"/>
          <w:color w:val="auto"/>
        </w:rPr>
        <w:t>3.1 Approved 102 Awards which shall be granted under this Annex and/or any Shares allocated or issued upon exercise or vesting of such Approved 102 Awards and/or other shares received subsequently following any realization of rights, including without limitation bonus shares, shall be allocated or issued to the Trustee and held for the benefit of the Employees or controlled and supervised by the Trustee (subject to the approval of the ITA) by the Trustee for at least such period of time as required by Section 102 or any regulations, rules or orders or procedures promulgated thereunder (the: "</w:t>
      </w:r>
      <w:r>
        <w:rPr>
          <w:rFonts w:ascii="Times New Roman" w:cs="Times New Roman" w:eastAsia="Times New Roman" w:hAnsi="Times New Roman"/>
          <w:sz w:val="14"/>
          <w:szCs w:val="14"/>
          <w:u w:val="single" w:color="auto"/>
          <w:color w:val="auto"/>
        </w:rPr>
        <w:t>Holding Period</w:t>
      </w:r>
      <w:r>
        <w:rPr>
          <w:rFonts w:ascii="Times New Roman" w:cs="Times New Roman" w:eastAsia="Times New Roman" w:hAnsi="Times New Roman"/>
          <w:sz w:val="14"/>
          <w:szCs w:val="14"/>
          <w:color w:val="auto"/>
        </w:rPr>
        <w:t>"). In the case the requirements for Approved 102 Awards are not met, then the Approved 102 Awards may be regarded as Unapproved 102 Awards, or as Awards which are not subject to Section 102 or shall be subject to any other applicable provision of the Ordinance all in accordance with the provisions of Section 102.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48" w:name="page149"/>
    <w:bookmarkEnd w:id="148"/>
    <w:p>
      <w:pPr>
        <w:jc w:val="both"/>
        <w:ind w:firstLine="393"/>
        <w:spacing w:after="0" w:line="269" w:lineRule="auto"/>
        <w:rPr>
          <w:sz w:val="20"/>
          <w:szCs w:val="20"/>
          <w:color w:val="auto"/>
        </w:rPr>
      </w:pPr>
      <w:r>
        <w:rPr>
          <w:rFonts w:ascii="Times New Roman" w:cs="Times New Roman" w:eastAsia="Times New Roman" w:hAnsi="Times New Roman"/>
          <w:sz w:val="14"/>
          <w:szCs w:val="14"/>
          <w:color w:val="auto"/>
        </w:rPr>
        <w:t>3.2 Notwithstanding anything to the contrary, the Trustee shall not release any Approved 102 Awards and/or Shares allocated or issued upon exercise or vesting of Approved 102 Awards prior to the full payment of the Israeli Participant's tax liabilities arising from Approved 102 Awards which were granted to him and/or any Shares allocated or issued upon exercise or vesting of such Awards.</w:t>
      </w:r>
    </w:p>
    <w:p>
      <w:pPr>
        <w:spacing w:after="0" w:line="359" w:lineRule="exact"/>
        <w:rPr>
          <w:sz w:val="20"/>
          <w:szCs w:val="20"/>
          <w:color w:val="auto"/>
        </w:rPr>
      </w:pPr>
    </w:p>
    <w:p>
      <w:pPr>
        <w:jc w:val="both"/>
        <w:ind w:firstLine="346"/>
        <w:spacing w:after="0" w:line="251" w:lineRule="auto"/>
        <w:rPr>
          <w:sz w:val="20"/>
          <w:szCs w:val="20"/>
          <w:color w:val="auto"/>
        </w:rPr>
      </w:pPr>
      <w:r>
        <w:rPr>
          <w:rFonts w:ascii="Times New Roman" w:cs="Times New Roman" w:eastAsia="Times New Roman" w:hAnsi="Times New Roman"/>
          <w:sz w:val="14"/>
          <w:szCs w:val="14"/>
          <w:color w:val="auto"/>
        </w:rPr>
        <w:t>3.3 With respect to any Approved 102 Award, subject to the provisions of Section 102 and any rules or regulation or orders or procedures promulgated thereunder, an Employee shall not sell or release from trust any Approved 102 Award and/or any Share received upon the exercise or vesting of an Approved 102 Award and/or any share received subsequently following any realization of rights, including without limitation, bonus shares, until the lapse of the Holding Period required under Section 102 of the Ordinance. Notwithstanding the above, if any such sale or release occurs during the Holding Period, the sanctions under Section 102 of the Ordinance and under any rules or regulation or orders or procedures promulgated thereunder shall apply to and shall be borne by such Participant.</w:t>
      </w:r>
    </w:p>
    <w:p>
      <w:pPr>
        <w:spacing w:after="0" w:line="202" w:lineRule="exact"/>
        <w:rPr>
          <w:sz w:val="20"/>
          <w:szCs w:val="20"/>
          <w:color w:val="auto"/>
        </w:rPr>
      </w:pPr>
    </w:p>
    <w:p>
      <w:pPr>
        <w:jc w:val="both"/>
        <w:ind w:firstLine="326"/>
        <w:spacing w:after="0" w:line="282" w:lineRule="auto"/>
        <w:rPr>
          <w:sz w:val="20"/>
          <w:szCs w:val="20"/>
          <w:color w:val="auto"/>
        </w:rPr>
      </w:pPr>
      <w:r>
        <w:rPr>
          <w:rFonts w:ascii="Times New Roman" w:cs="Times New Roman" w:eastAsia="Times New Roman" w:hAnsi="Times New Roman"/>
          <w:sz w:val="14"/>
          <w:szCs w:val="14"/>
          <w:color w:val="auto"/>
        </w:rPr>
        <w:t>3.4 Upon receipt of Approved 102 Award, the Participant will sign an undertaking in which he or she will give his or her consent to the grant of the Award under Section 102, and will undertake to comply with the terms of Section 102 and the trust agreement between the Company and the Trustee.</w:t>
      </w:r>
    </w:p>
    <w:p>
      <w:pPr>
        <w:spacing w:after="0" w:line="180" w:lineRule="exact"/>
        <w:rPr>
          <w:sz w:val="20"/>
          <w:szCs w:val="20"/>
          <w:color w:val="auto"/>
        </w:rPr>
      </w:pPr>
    </w:p>
    <w:p>
      <w:pPr>
        <w:ind w:left="960" w:hanging="536"/>
        <w:spacing w:after="0"/>
        <w:tabs>
          <w:tab w:leader="none" w:pos="9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 AWARDS</w:t>
      </w:r>
    </w:p>
    <w:p>
      <w:pPr>
        <w:spacing w:after="0" w:line="235" w:lineRule="exact"/>
        <w:rPr>
          <w:sz w:val="20"/>
          <w:szCs w:val="20"/>
          <w:color w:val="auto"/>
        </w:rPr>
      </w:pPr>
    </w:p>
    <w:p>
      <w:pPr>
        <w:jc w:val="both"/>
        <w:ind w:right="20" w:firstLine="505"/>
        <w:spacing w:after="0" w:line="261" w:lineRule="auto"/>
        <w:rPr>
          <w:sz w:val="20"/>
          <w:szCs w:val="20"/>
          <w:color w:val="auto"/>
        </w:rPr>
      </w:pPr>
      <w:r>
        <w:rPr>
          <w:rFonts w:ascii="Times New Roman" w:cs="Times New Roman" w:eastAsia="Times New Roman" w:hAnsi="Times New Roman"/>
          <w:sz w:val="14"/>
          <w:szCs w:val="14"/>
          <w:color w:val="auto"/>
        </w:rPr>
        <w:t>The terms and conditions, upon which the Awards shall be issued and exercised, shall be as specified in the Agreement to be executed pursuant to the Program and to this Annex. Each Agreement shall state, inter alia, the number of Shares to which the Award relates, the type of Award granted thereunder (whether a CGA, OIA, Unapproved 102 Award or a 3(i) Award), the vesting provisions and the Exercise Price.</w:t>
      </w:r>
    </w:p>
    <w:p>
      <w:pPr>
        <w:spacing w:after="0" w:line="19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4"/>
          <w:szCs w:val="14"/>
          <w:color w:val="auto"/>
        </w:rPr>
        <w:t>Further, the Israeli Participant agrees to execute and otherwise accept any and all documents that the Company, the applicable Affiliate employing the Israeli Participant, or the Trustee may reasonably determine to be necessary in order to comply with the Ordinance, any rules, the terms of the Plan, this Annex or the Agreement.</w:t>
      </w:r>
    </w:p>
    <w:p>
      <w:pPr>
        <w:spacing w:after="0" w:line="180" w:lineRule="exact"/>
        <w:rPr>
          <w:sz w:val="20"/>
          <w:szCs w:val="20"/>
          <w:color w:val="auto"/>
        </w:rPr>
      </w:pPr>
    </w:p>
    <w:p>
      <w:pPr>
        <w:ind w:left="960" w:hanging="536"/>
        <w:spacing w:after="0"/>
        <w:tabs>
          <w:tab w:leader="none" w:pos="9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FAIR MARKET VALUE</w:t>
      </w:r>
    </w:p>
    <w:p>
      <w:pPr>
        <w:spacing w:after="0" w:line="235" w:lineRule="exact"/>
        <w:rPr>
          <w:sz w:val="20"/>
          <w:szCs w:val="20"/>
          <w:color w:val="auto"/>
        </w:rPr>
      </w:pPr>
    </w:p>
    <w:p>
      <w:pPr>
        <w:jc w:val="both"/>
        <w:ind w:firstLine="552"/>
        <w:spacing w:after="0" w:line="255" w:lineRule="auto"/>
        <w:rPr>
          <w:sz w:val="20"/>
          <w:szCs w:val="20"/>
          <w:color w:val="auto"/>
        </w:rPr>
      </w:pPr>
      <w:r>
        <w:rPr>
          <w:rFonts w:ascii="Times New Roman" w:cs="Times New Roman" w:eastAsia="Times New Roman" w:hAnsi="Times New Roman"/>
          <w:sz w:val="14"/>
          <w:szCs w:val="14"/>
          <w:color w:val="auto"/>
        </w:rPr>
        <w:t>Without derogating from the definition of "Fair Market Value" enclosed in the Program and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CGAs,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198" w:lineRule="exact"/>
        <w:rPr>
          <w:sz w:val="20"/>
          <w:szCs w:val="20"/>
          <w:color w:val="auto"/>
        </w:rPr>
      </w:pPr>
    </w:p>
    <w:p>
      <w:pPr>
        <w:ind w:left="960" w:hanging="536"/>
        <w:spacing w:after="0"/>
        <w:tabs>
          <w:tab w:leader="none" w:pos="9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ASSIGNABILITY AND SALE OF AWARDS</w:t>
      </w:r>
    </w:p>
    <w:p>
      <w:pPr>
        <w:spacing w:after="0" w:line="235" w:lineRule="exact"/>
        <w:rPr>
          <w:sz w:val="20"/>
          <w:szCs w:val="20"/>
          <w:color w:val="auto"/>
        </w:rPr>
      </w:pPr>
    </w:p>
    <w:p>
      <w:pPr>
        <w:jc w:val="both"/>
        <w:ind w:right="20" w:firstLine="336"/>
        <w:spacing w:after="0" w:line="261" w:lineRule="auto"/>
        <w:rPr>
          <w:sz w:val="20"/>
          <w:szCs w:val="20"/>
          <w:color w:val="auto"/>
        </w:rPr>
      </w:pPr>
      <w:r>
        <w:rPr>
          <w:rFonts w:ascii="Times New Roman" w:cs="Times New Roman" w:eastAsia="Times New Roman" w:hAnsi="Times New Roman"/>
          <w:sz w:val="14"/>
          <w:szCs w:val="14"/>
          <w:color w:val="auto"/>
        </w:rPr>
        <w:t>6.1 Notwithstanding any other provision of the Program, no Award or any right with respect thereto, purchasable hereunder, whether fully paid or not, shall be assignable, transferable or given as collateral or any right with respect to them given to any third party whatsoever, and during the lifetime of the Participant each and all of such Participant's rights to purchase Shares hereunder shall be exercisable only by the Participant. Any such action made directly or indirectly, for an immediate validation or for a future one, shall be void.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49" w:name="page150"/>
    <w:bookmarkEnd w:id="149"/>
    <w:p>
      <w:pPr>
        <w:jc w:val="both"/>
        <w:ind w:firstLine="385"/>
        <w:spacing w:after="0" w:line="255" w:lineRule="auto"/>
        <w:rPr>
          <w:sz w:val="20"/>
          <w:szCs w:val="20"/>
          <w:color w:val="auto"/>
        </w:rPr>
      </w:pPr>
      <w:r>
        <w:rPr>
          <w:rFonts w:ascii="Times New Roman" w:cs="Times New Roman" w:eastAsia="Times New Roman" w:hAnsi="Times New Roman"/>
          <w:sz w:val="14"/>
          <w:szCs w:val="14"/>
          <w:color w:val="auto"/>
        </w:rPr>
        <w:t>6.2 As long as Approved 102 Awards and/or underlying Shares are held by the Trustee on behalf of the Employee, all rights of the Employee over such Awards and/or underlying Shares are personal, may not be transferred, assigned, pledged or mortgaged, all in accordance with the provisions of Section 102, unless other than by will or laws of descent and distribution and after the required taxes and payments have been fully made or secured. In the event that such Awards and/or underlying Shares have been transferred by will or laws of descent and distribution, the provisions of Section 102 shall continue to apply on the heirs and transferees respectively.</w:t>
      </w:r>
    </w:p>
    <w:p>
      <w:pPr>
        <w:spacing w:after="0" w:line="19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4"/>
          <w:szCs w:val="14"/>
          <w:color w:val="auto"/>
        </w:rPr>
        <w:t>6.3 A Participant shall have no rights as a shareholder of the Company with respect to any Shares covered by an Award until the Participant becomes the record holder of the subject Shares. In the case of Approved 102 Awards (if such Awards are being held by a Trustee), the Trustee shall have no rights as a shareholder of the Company with respect to the Shares covered by such Award until the Trustee becomes the record holder for such Shares for the Participant’s benefit, and the Participant shall not be deemed to be a shareholder and shall have no rights as a shareholder of the Company with respect to the Shares covered by the Award until the date of the release of such Shares from the Trustee to the Participant and the transfer of record ownership of such Shares to the Participant (provided however that the Participant shall be entitled to receive from the Trustee any cash dividend or distribution made on account of the Shares held by the Trustee for such Participant’s benefit, subject to any tax withholding and compulsory payment).</w:t>
      </w:r>
    </w:p>
    <w:p>
      <w:pPr>
        <w:spacing w:after="0" w:line="204" w:lineRule="exact"/>
        <w:rPr>
          <w:sz w:val="20"/>
          <w:szCs w:val="20"/>
          <w:color w:val="auto"/>
        </w:rPr>
      </w:pPr>
    </w:p>
    <w:p>
      <w:pPr>
        <w:ind w:left="960" w:hanging="536"/>
        <w:spacing w:after="0"/>
        <w:tabs>
          <w:tab w:leader="none" w:pos="9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INTEGRATION OF SECTION 102 AND TAX ASSESSING OFFICER'S PERMIT</w:t>
      </w:r>
    </w:p>
    <w:p>
      <w:pPr>
        <w:spacing w:after="0" w:line="235" w:lineRule="exact"/>
        <w:rPr>
          <w:sz w:val="20"/>
          <w:szCs w:val="20"/>
          <w:color w:val="auto"/>
        </w:rPr>
      </w:pPr>
    </w:p>
    <w:p>
      <w:pPr>
        <w:jc w:val="both"/>
        <w:ind w:firstLine="421"/>
        <w:spacing w:after="0" w:line="261" w:lineRule="auto"/>
        <w:rPr>
          <w:sz w:val="20"/>
          <w:szCs w:val="20"/>
          <w:color w:val="auto"/>
        </w:rPr>
      </w:pPr>
      <w:r>
        <w:rPr>
          <w:rFonts w:ascii="Times New Roman" w:cs="Times New Roman" w:eastAsia="Times New Roman" w:hAnsi="Times New Roman"/>
          <w:sz w:val="14"/>
          <w:szCs w:val="14"/>
          <w:color w:val="auto"/>
        </w:rPr>
        <w:t>7.1 With regards to Approved 102 Awards, the provisions of the Program and/or the Annex and/or the Agreement shall be subject to the provisions of Section 102 and the Tax Assessing Officer's permit, and any tax ruling received in connection with the Program and this Annex, and any approval or ITA's issued guidelines and the said provisions, tax rulings, approval, guidance and permit shall be deemed an integral part of the Program and of the Annex and of the Agreement.</w:t>
      </w:r>
    </w:p>
    <w:p>
      <w:pPr>
        <w:spacing w:after="0" w:line="195" w:lineRule="exact"/>
        <w:rPr>
          <w:sz w:val="20"/>
          <w:szCs w:val="20"/>
          <w:color w:val="auto"/>
        </w:rPr>
      </w:pPr>
    </w:p>
    <w:p>
      <w:pPr>
        <w:jc w:val="both"/>
        <w:ind w:firstLine="337"/>
        <w:spacing w:after="0" w:line="261" w:lineRule="auto"/>
        <w:rPr>
          <w:sz w:val="20"/>
          <w:szCs w:val="20"/>
          <w:color w:val="auto"/>
        </w:rPr>
      </w:pPr>
      <w:r>
        <w:rPr>
          <w:rFonts w:ascii="Times New Roman" w:cs="Times New Roman" w:eastAsia="Times New Roman" w:hAnsi="Times New Roman"/>
          <w:sz w:val="14"/>
          <w:szCs w:val="14"/>
          <w:color w:val="auto"/>
        </w:rPr>
        <w:t>7.2 Any provision of Section 102 and/or the said permit and/or tax ruling and/or ITA's issued guidelines, which is necessary in order to receive and/or to keep any tax benefit pursuant to Section 102, which is not expressly specified in the Program or the Annex or the Agreement, shall be considered binding upon the Company and the Participants, provided that such provision is not inconsistent with the Program.</w:t>
      </w:r>
    </w:p>
    <w:p>
      <w:pPr>
        <w:spacing w:after="0" w:line="195" w:lineRule="exact"/>
        <w:rPr>
          <w:sz w:val="20"/>
          <w:szCs w:val="20"/>
          <w:color w:val="auto"/>
        </w:rPr>
      </w:pPr>
    </w:p>
    <w:p>
      <w:pPr>
        <w:ind w:left="960" w:hanging="536"/>
        <w:spacing w:after="0"/>
        <w:tabs>
          <w:tab w:leader="none" w:pos="9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w:t>
      </w:r>
    </w:p>
    <w:p>
      <w:pPr>
        <w:spacing w:after="0" w:line="235" w:lineRule="exact"/>
        <w:rPr>
          <w:sz w:val="20"/>
          <w:szCs w:val="20"/>
          <w:color w:val="auto"/>
        </w:rPr>
      </w:pPr>
    </w:p>
    <w:p>
      <w:pPr>
        <w:jc w:val="both"/>
        <w:ind w:firstLine="523"/>
        <w:spacing w:after="0" w:line="261" w:lineRule="auto"/>
        <w:rPr>
          <w:sz w:val="20"/>
          <w:szCs w:val="20"/>
          <w:color w:val="auto"/>
        </w:rPr>
      </w:pPr>
      <w:r>
        <w:rPr>
          <w:rFonts w:ascii="Times New Roman" w:cs="Times New Roman" w:eastAsia="Times New Roman" w:hAnsi="Times New Roman"/>
          <w:sz w:val="14"/>
          <w:szCs w:val="14"/>
          <w:color w:val="auto"/>
        </w:rPr>
        <w:t>Subject to the Company's Incorporation Documents, with respect to all Shares (but excluding, for avoidance of any doubt, any unvested and/or unexercised Awards) allocated or issued upon the exercise or vesting of Awards and held by the Participant or by the Trustee as the case may be, the Participant shall be entitled to receive dividends in accordance with the quantity of such shares, and subject to any applicable taxation on distribution of dividends, and when applicable subject to the provisions of Section 102 and the rules, regulations or orders promulgated thereunder.</w:t>
      </w:r>
    </w:p>
    <w:p>
      <w:pPr>
        <w:spacing w:after="0" w:line="195" w:lineRule="exact"/>
        <w:rPr>
          <w:sz w:val="20"/>
          <w:szCs w:val="20"/>
          <w:color w:val="auto"/>
        </w:rPr>
      </w:pPr>
    </w:p>
    <w:p>
      <w:pPr>
        <w:ind w:left="960" w:hanging="536"/>
        <w:spacing w:after="0"/>
        <w:tabs>
          <w:tab w:leader="none" w:pos="96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CONSEQUENCES</w:t>
      </w:r>
    </w:p>
    <w:p>
      <w:pPr>
        <w:spacing w:after="0" w:line="235" w:lineRule="exact"/>
        <w:rPr>
          <w:sz w:val="20"/>
          <w:szCs w:val="20"/>
          <w:color w:val="auto"/>
        </w:rPr>
      </w:pPr>
    </w:p>
    <w:p>
      <w:pPr>
        <w:jc w:val="both"/>
        <w:ind w:firstLine="358"/>
        <w:spacing w:after="0" w:line="251" w:lineRule="auto"/>
        <w:rPr>
          <w:sz w:val="20"/>
          <w:szCs w:val="20"/>
          <w:color w:val="auto"/>
        </w:rPr>
      </w:pPr>
      <w:r>
        <w:rPr>
          <w:rFonts w:ascii="Times New Roman" w:cs="Times New Roman" w:eastAsia="Times New Roman" w:hAnsi="Times New Roman"/>
          <w:sz w:val="14"/>
          <w:szCs w:val="14"/>
          <w:color w:val="auto"/>
        </w:rPr>
        <w:t>9.1 Any tax consequences arising from the grant, vesting or exercise of any Award, from the payment for or sale of the Shares covered thereby or from any other event or act (of the Company, and/or its Affiliates, and the Trustee or the Participant), hereunder, shall be borne solely by the Participant. The Company and/or its Affiliates, and/or the Trustee shall withhold taxes according to the requirements under the applicable laws, rules, and regulations, including withholding taxes at source. Furthermore, the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55" w:right="299" w:bottom="1440" w:gutter="0" w:footer="0" w:header="0"/>
        </w:sectPr>
      </w:pPr>
    </w:p>
    <w:bookmarkStart w:id="150" w:name="page151"/>
    <w:bookmarkEnd w:id="150"/>
    <w:p>
      <w:pPr>
        <w:jc w:val="both"/>
        <w:ind w:right="20" w:firstLine="362"/>
        <w:spacing w:after="0" w:line="261" w:lineRule="auto"/>
        <w:rPr>
          <w:sz w:val="20"/>
          <w:szCs w:val="20"/>
          <w:color w:val="auto"/>
        </w:rPr>
      </w:pPr>
      <w:r>
        <w:rPr>
          <w:rFonts w:ascii="Times New Roman" w:cs="Times New Roman" w:eastAsia="Times New Roman" w:hAnsi="Times New Roman"/>
          <w:sz w:val="14"/>
          <w:szCs w:val="14"/>
          <w:color w:val="auto"/>
        </w:rPr>
        <w:t>9.2 Participant may pay the withholding tax in cash, or, if the Agreement provides, a Participant may also elect to have the number of Shares he is to receive reduced by the number of whole Shares which, when multiplied by the Fair Market Value of the shares determined as of the date on which the amount of tax to be withheld is determined, is sufficient to satisfy the withholding taxes arising from the Award. Any such election must be made on or before the date on which the amount of tax required to be withheld is determined.</w:t>
      </w:r>
    </w:p>
    <w:p>
      <w:pPr>
        <w:spacing w:after="0" w:line="195" w:lineRule="exact"/>
        <w:rPr>
          <w:sz w:val="20"/>
          <w:szCs w:val="20"/>
          <w:color w:val="auto"/>
        </w:rPr>
      </w:pPr>
    </w:p>
    <w:p>
      <w:pPr>
        <w:jc w:val="both"/>
        <w:ind w:firstLine="406"/>
        <w:spacing w:after="0" w:line="256" w:lineRule="auto"/>
        <w:rPr>
          <w:sz w:val="20"/>
          <w:szCs w:val="20"/>
          <w:color w:val="auto"/>
        </w:rPr>
      </w:pPr>
      <w:r>
        <w:rPr>
          <w:rFonts w:ascii="Times New Roman" w:cs="Times New Roman" w:eastAsia="Times New Roman" w:hAnsi="Times New Roman"/>
          <w:sz w:val="14"/>
          <w:szCs w:val="14"/>
          <w:color w:val="auto"/>
        </w:rPr>
        <w:t>9.3 The Company and/or, when applicable, the Trustee shall not be required to release any share certificate to a Participant until all required payments have been fully made. In the event that the Company, or its Affiliates, or the Trustee, as applicable, is uncertain as to the sum of the full tax payment due or which is subject to withholding, the Company or the Trustee, as applicable, may refuse to release the Shares until such time as the ITA verifies the sum of the full tax payment which is due, and the Participant shall not have any claims in connection with such refusal.</w:t>
      </w:r>
    </w:p>
    <w:p>
      <w:pPr>
        <w:spacing w:after="0" w:line="367" w:lineRule="exact"/>
        <w:rPr>
          <w:sz w:val="20"/>
          <w:szCs w:val="20"/>
          <w:color w:val="auto"/>
        </w:rPr>
      </w:pPr>
    </w:p>
    <w:p>
      <w:pPr>
        <w:jc w:val="both"/>
        <w:ind w:right="20" w:firstLine="377"/>
        <w:spacing w:after="0" w:line="282" w:lineRule="auto"/>
        <w:rPr>
          <w:sz w:val="20"/>
          <w:szCs w:val="20"/>
          <w:color w:val="auto"/>
        </w:rPr>
      </w:pPr>
      <w:r>
        <w:rPr>
          <w:rFonts w:ascii="Times New Roman" w:cs="Times New Roman" w:eastAsia="Times New Roman" w:hAnsi="Times New Roman"/>
          <w:sz w:val="14"/>
          <w:szCs w:val="14"/>
          <w:color w:val="auto"/>
        </w:rPr>
        <w:t>9.4 With respect to Unapproved 102 Award, if the Participant ceases to be employed by the Company or any Affiliate, the Participant shall extend to the Company and/or its Affiliate a security or guarantee for the payment of tax due at the time of sale of Shares, all in accordance with the provisions of Section 102 and the rules, regulation or orders promulgated thereunder.</w:t>
      </w:r>
    </w:p>
    <w:p>
      <w:pPr>
        <w:spacing w:after="0" w:line="180" w:lineRule="exact"/>
        <w:rPr>
          <w:sz w:val="20"/>
          <w:szCs w:val="20"/>
          <w:color w:val="auto"/>
        </w:rPr>
      </w:pPr>
    </w:p>
    <w:p>
      <w:pPr>
        <w:jc w:val="both"/>
        <w:ind w:right="20" w:firstLine="396"/>
        <w:spacing w:after="0" w:line="282" w:lineRule="auto"/>
        <w:rPr>
          <w:sz w:val="20"/>
          <w:szCs w:val="20"/>
          <w:color w:val="auto"/>
        </w:rPr>
      </w:pPr>
      <w:r>
        <w:rPr>
          <w:rFonts w:ascii="Times New Roman" w:cs="Times New Roman" w:eastAsia="Times New Roman" w:hAnsi="Times New Roman"/>
          <w:sz w:val="14"/>
          <w:szCs w:val="14"/>
          <w:color w:val="auto"/>
        </w:rPr>
        <w:t>9.5 For avoidance of doubt it is clarified that the tax treatment of any Awards granted under the Plan and this Annex is not guaranteed and although Awards may be granted under a certain tax route, they may become subject to a different tax route in the future.</w:t>
      </w:r>
    </w:p>
    <w:p>
      <w:pPr>
        <w:spacing w:after="0" w:line="180" w:lineRule="exact"/>
        <w:rPr>
          <w:sz w:val="20"/>
          <w:szCs w:val="20"/>
          <w:color w:val="auto"/>
        </w:rPr>
      </w:pPr>
    </w:p>
    <w:p>
      <w:pPr>
        <w:jc w:val="both"/>
        <w:ind w:firstLine="392"/>
        <w:spacing w:after="0" w:line="244" w:lineRule="auto"/>
        <w:rPr>
          <w:sz w:val="20"/>
          <w:szCs w:val="20"/>
          <w:color w:val="auto"/>
        </w:rPr>
      </w:pPr>
      <w:r>
        <w:rPr>
          <w:rFonts w:ascii="Times New Roman" w:cs="Times New Roman" w:eastAsia="Times New Roman" w:hAnsi="Times New Roman"/>
          <w:sz w:val="14"/>
          <w:szCs w:val="14"/>
          <w:color w:val="auto"/>
        </w:rPr>
        <w:t>9.6 For the avoidance of doubt, with respect to Approved 102 Awards: (i) notwithstanding anything to the contrary in the Program, payment upon exercise of Options granted under the CGA may only be paid by cash or check or by a reduction of Shares pursuant to a “cashless exercise” or “net exercise” arrangement (to the extent permitted by the Board and/or Committee and provided that the application of cashless exercise with respect to Approved 102 Awards may be subject to obtaining a ruling from the ITA, to the extent required under applicable law), and not by surrender of Shares, or other forms of payment, unless and to the extent permitted under Section 102 and as expressly authorized by the ITA; (ii) certain adjustments and modifications to the terms of Awards granted under the CGA, may disqualify the Awards from benefitting from the tax benefits under the CGA, unless the prior approval of the ITA is obtained; (iii) notwithstanding anything to the contrary in the Plan, Awards granted under the CGA may only be settled in Shares and not in cash, unless and to the extent permitted under Section 102 and as expressly authorized by the ITA; (iv) notwithstanding anything to the contrary in the Plan, the Board’s and/or Committee’s ability to determine, alter, vary or adjust performance objectives with respect to Awards, and to grant Awards subject to performance goals and measurements, may require obtaining a specific tax ruling or the approval of the ITA in order for such Awards to qualify under the CGA, and the grant of performance based Approved 102 Awards is subject to the applicable guidelines published by the ITA with respect to the performance conditions; (v) notwithstanding anything to the contrary in the Plan, any extension of the exercise period, repricing, of exercise price, or amendment of the Award terms by the Board or Committee, may disqualify the Award from benefitting from the tax benefits under the CGA, unless the prior approval of the ITA is obtained; and (vi) notwithstanding anything to the contrary in the Plan, hereunder, or otherwise, in the event of a distribution of cash dividend by the Company to all holders of Shares, the Committee shall have the authority to determine, without the need for a consent of any holder of an Award, that the Exercise Price of any Award, which is outstanding and unexercised on the record date of such distribution, shall be reduced by an amount equal to the per Share gross dividend amount distributed by the Company, and the Committee may determine that the Exercise Price following such reduction shall be not less than the par value of a Stock, provided that the application of this cash dividend adjustment with respect to any Options granted as an Approved 102 Award shall be subject to obtaining a ruling from the ITA, to the extent required by applicable law and subject to the terms and conditions of any such ruling.</w:t>
      </w:r>
    </w:p>
    <w:p>
      <w:pPr>
        <w:spacing w:after="0" w:line="371" w:lineRule="exact"/>
        <w:rPr>
          <w:sz w:val="20"/>
          <w:szCs w:val="20"/>
          <w:color w:val="auto"/>
        </w:rPr>
      </w:pPr>
    </w:p>
    <w:p>
      <w:pPr>
        <w:ind w:left="1040" w:hanging="616"/>
        <w:spacing w:after="0"/>
        <w:tabs>
          <w:tab w:leader="none" w:pos="10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 &amp; JURISDICTION</w:t>
      </w:r>
    </w:p>
    <w:p>
      <w:pPr>
        <w:spacing w:after="0" w:line="235" w:lineRule="exact"/>
        <w:rPr>
          <w:sz w:val="20"/>
          <w:szCs w:val="20"/>
          <w:color w:val="auto"/>
        </w:rPr>
      </w:pPr>
    </w:p>
    <w:p>
      <w:pPr>
        <w:jc w:val="both"/>
        <w:ind w:firstLine="483"/>
        <w:spacing w:after="0" w:line="261" w:lineRule="auto"/>
        <w:rPr>
          <w:sz w:val="20"/>
          <w:szCs w:val="20"/>
          <w:color w:val="auto"/>
        </w:rPr>
      </w:pPr>
      <w:r>
        <w:rPr>
          <w:rFonts w:ascii="Times New Roman" w:cs="Times New Roman" w:eastAsia="Times New Roman" w:hAnsi="Times New Roman"/>
          <w:sz w:val="14"/>
          <w:szCs w:val="14"/>
          <w:color w:val="auto"/>
        </w:rPr>
        <w:t>This Annex, as it relates to Section 102 of the Ordinance, shall be governed by and construed and enforced in accordance with the laws of the State of Israel applicable to contracts made and to be performed therein, without giving effect to the principles of conflict of laws. The competent courts of the Tel-Aviv District in Israel will have exclusive jurisdiction in any matters pertaining to this Annex.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A-26</w:t>
      </w:r>
    </w:p>
    <w:sectPr>
      <w:pgSz w:w="11900" w:h="16838" w:orient="portrait"/>
      <w:cols w:equalWidth="0" w:num="1">
        <w:col w:w="11300"/>
      </w:cols>
      <w:pgMar w:left="300" w:top="31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1)"/>
      <w:numFmt w:val="decimal"/>
      <w:start w:val="1"/>
    </w:lvl>
  </w:abstractNum>
  <w:abstractNum w:abstractNumId="8">
    <w:nsid w:val="3DC240FB"/>
    <w:multiLevelType w:val="hybridMultilevel"/>
    <w:lvl w:ilvl="0">
      <w:lvlJc w:val="left"/>
      <w:lvlText w:val="(%1)"/>
      <w:numFmt w:val="lowerLetter"/>
      <w:start w:val="1"/>
    </w:lvl>
  </w:abstractNum>
  <w:abstractNum w:abstractNumId="9">
    <w:nsid w:val="1BA026FA"/>
    <w:multiLevelType w:val="hybridMultilevel"/>
    <w:lvl w:ilvl="0">
      <w:lvlJc w:val="left"/>
      <w:lvlText w:val="%1."/>
      <w:numFmt w:val="decimal"/>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1)"/>
      <w:numFmt w:val="lowerLetter"/>
      <w:start w:val="1"/>
    </w:lvl>
  </w:abstractNum>
  <w:abstractNum w:abstractNumId="13">
    <w:nsid w:val="70C6A529"/>
    <w:multiLevelType w:val="hybridMultilevel"/>
    <w:lvl w:ilvl="0">
      <w:lvlJc w:val="left"/>
      <w:lvlText w:val="%1)"/>
      <w:numFmt w:val="decimal"/>
      <w:start w:val="1"/>
    </w:lvl>
  </w:abstractNum>
  <w:abstractNum w:abstractNumId="14">
    <w:nsid w:val="520EEDD1"/>
    <w:multiLevelType w:val="hybridMultilevel"/>
    <w:lvl w:ilvl="0">
      <w:lvlJc w:val="left"/>
      <w:lvlText w:val="%1."/>
      <w:numFmt w:val="decimal"/>
      <w:start w:val="1"/>
    </w:lvl>
    <w:lvl w:ilvl="1">
      <w:lvlJc w:val="left"/>
      <w:lvlText w:val="(%2)"/>
      <w:numFmt w:val="lowerLetter"/>
      <w:start w:val="1"/>
    </w:lvl>
  </w:abstractNum>
  <w:abstractNum w:abstractNumId="15">
    <w:nsid w:val="374A3FE6"/>
    <w:multiLevelType w:val="hybridMultilevel"/>
    <w:lvl w:ilvl="0">
      <w:lvlJc w:val="left"/>
      <w:lvlText w:val="%1."/>
      <w:numFmt w:val="decimal"/>
      <w:start w:val="1"/>
    </w:lvl>
    <w:lvl w:ilvl="1">
      <w:lvlJc w:val="left"/>
      <w:lvlText w:val="(%2)"/>
      <w:numFmt w:val="lowerLetter"/>
      <w:start w:val="1"/>
    </w:lvl>
  </w:abstractNum>
  <w:abstractNum w:abstractNumId="16">
    <w:nsid w:val="4F4EF005"/>
    <w:multiLevelType w:val="hybridMultilevel"/>
    <w:lvl w:ilvl="0">
      <w:lvlJc w:val="left"/>
      <w:lvlText w:val="(%1)"/>
      <w:numFmt w:val="decimal"/>
      <w:start w:val="1"/>
    </w:lvl>
  </w:abstractNum>
  <w:abstractNum w:abstractNumId="17">
    <w:nsid w:val="23F9C13C"/>
    <w:multiLevelType w:val="hybridMultilevel"/>
    <w:lvl w:ilvl="0">
      <w:lvlJc w:val="left"/>
      <w:lvlText w:val="(%1)"/>
      <w:numFmt w:val="decimal"/>
      <w:start w:val="1"/>
    </w:lvl>
  </w:abstractNum>
  <w:abstractNum w:abstractNumId="18">
    <w:nsid w:val="649BB77C"/>
    <w:multiLevelType w:val="hybridMultilevel"/>
    <w:lvl w:ilvl="0">
      <w:lvlJc w:val="left"/>
      <w:lvlText w:val="%1"/>
      <w:numFmt w:val="lowerLetter"/>
      <w:start w:val="1"/>
    </w:lvl>
    <w:lvl w:ilvl="1">
      <w:lvlJc w:val="left"/>
      <w:lvlText w:val="%2."/>
      <w:numFmt w:val="decimal"/>
      <w:start w:val="1"/>
    </w:lvl>
  </w:abstractNum>
  <w:abstractNum w:abstractNumId="19">
    <w:nsid w:val="275AC794"/>
    <w:multiLevelType w:val="hybridMultilevel"/>
    <w:lvl w:ilvl="0">
      <w:lvlJc w:val="left"/>
      <w:lvlText w:val="(%1)"/>
      <w:numFmt w:val="lowerLetter"/>
      <w:start w:val="1"/>
    </w:lvl>
    <w:lvl w:ilvl="1">
      <w:lvlJc w:val="left"/>
      <w:lvlText w:val="%2"/>
      <w:numFmt w:val="decimal"/>
      <w:start w:val="1"/>
    </w:lvl>
  </w:abstractNum>
  <w:abstractNum w:abstractNumId="20">
    <w:nsid w:val="39386575"/>
    <w:multiLevelType w:val="hybridMultilevel"/>
    <w:lvl w:ilvl="0">
      <w:lvlJc w:val="left"/>
      <w:lvlText w:val="(%1)"/>
      <w:numFmt w:val="lowerRoman"/>
      <w:start w:val="1"/>
    </w:lvl>
  </w:abstractNum>
  <w:abstractNum w:abstractNumId="21">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61"/>
    </w:lvl>
  </w:abstractNum>
  <w:abstractNum w:abstractNumId="22">
    <w:nsid w:val="180115BE"/>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lowerLetter"/>
      <w:start w:val="11"/>
    </w:lvl>
    <w:lvl w:ilvl="4">
      <w:lvlJc w:val="left"/>
      <w:lvlText w:val="%5"/>
      <w:numFmt w:val="lowerLetter"/>
      <w:start w:val="1"/>
    </w:lvl>
  </w:abstractNum>
  <w:abstractNum w:abstractNumId="23">
    <w:nsid w:val="235BA861"/>
    <w:multiLevelType w:val="hybridMultilevel"/>
    <w:lvl w:ilvl="0">
      <w:lvlJc w:val="left"/>
      <w:lvlText w:val="%1"/>
      <w:numFmt w:val="lowerLetter"/>
      <w:start w:val="1"/>
    </w:lvl>
    <w:lvl w:ilvl="1">
      <w:lvlJc w:val="left"/>
      <w:lvlText w:val="(%2)"/>
      <w:numFmt w:val="lowerLetter"/>
      <w:start w:val="12"/>
    </w:lvl>
    <w:lvl w:ilvl="2">
      <w:lvlJc w:val="left"/>
      <w:lvlText w:val="(%3)"/>
      <w:numFmt w:val="lowerLetter"/>
      <w:start w:val="14"/>
    </w:lvl>
    <w:lvl w:ilvl="3">
      <w:lvlJc w:val="left"/>
      <w:lvlText w:val="%4"/>
      <w:numFmt w:val="lowerLetter"/>
      <w:start w:val="1"/>
    </w:lvl>
    <w:lvl w:ilvl="4">
      <w:lvlJc w:val="left"/>
      <w:lvlText w:val="%5"/>
      <w:numFmt w:val="lowerLetter"/>
      <w:start w:val="1"/>
    </w:lvl>
  </w:abstractNum>
  <w:abstractNum w:abstractNumId="24">
    <w:nsid w:val="47398C89"/>
    <w:multiLevelType w:val="hybridMultilevel"/>
    <w:lvl w:ilvl="0">
      <w:lvlJc w:val="left"/>
      <w:lvlText w:val="(%1)"/>
      <w:numFmt w:val="lowerLetter"/>
      <w:start w:val="15"/>
    </w:lvl>
  </w:abstractNum>
  <w:abstractNum w:abstractNumId="25">
    <w:nsid w:val="354FE9F9"/>
    <w:multiLevelType w:val="hybridMultilevel"/>
    <w:lvl w:ilvl="0">
      <w:lvlJc w:val="left"/>
      <w:lvlText w:val="(%1)"/>
      <w:numFmt w:val="lowerLetter"/>
      <w:start w:val="16"/>
    </w:lvl>
    <w:lvl w:ilvl="1">
      <w:lvlJc w:val="left"/>
      <w:lvlText w:val="%2"/>
      <w:numFmt w:val="lowerLetter"/>
      <w:start w:val="1"/>
    </w:lvl>
    <w:lvl w:ilvl="2">
      <w:lvlJc w:val="left"/>
      <w:lvlText w:val="(%3)"/>
      <w:numFmt w:val="lowerRoman"/>
      <w:start w:val="1"/>
    </w:lvl>
    <w:lvl w:ilvl="3">
      <w:lvlJc w:val="left"/>
      <w:lvlText w:val="(%4)"/>
      <w:numFmt w:val="lowerLetter"/>
      <w:start w:val="61"/>
    </w:lvl>
    <w:lvl w:ilvl="4">
      <w:lvlJc w:val="left"/>
      <w:lvlText w:val="%5"/>
      <w:numFmt w:val="lowerLetter"/>
      <w:start w:val="1"/>
    </w:lvl>
  </w:abstractNum>
  <w:abstractNum w:abstractNumId="26">
    <w:nsid w:val="15B5AF5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18"/>
    </w:lvl>
    <w:lvl w:ilvl="4">
      <w:lvlJc w:val="left"/>
      <w:lvlText w:val="%5"/>
      <w:numFmt w:val="lowerLetter"/>
      <w:start w:val="1"/>
    </w:lvl>
  </w:abstractNum>
  <w:abstractNum w:abstractNumId="27">
    <w:nsid w:val="741226BB"/>
    <w:multiLevelType w:val="hybridMultilevel"/>
    <w:lvl w:ilvl="0">
      <w:lvlJc w:val="left"/>
      <w:lvlText w:val="(%1)"/>
      <w:numFmt w:val="lowerLetter"/>
      <w:start w:val="19"/>
    </w:lvl>
    <w:lvl w:ilvl="1">
      <w:lvlJc w:val="left"/>
      <w:lvlText w:val="%2"/>
      <w:numFmt w:val="lowerLetter"/>
      <w:start w:val="1"/>
    </w:lvl>
    <w:lvl w:ilvl="2">
      <w:lvlJc w:val="left"/>
      <w:lvlText w:val="%3"/>
      <w:numFmt w:val="lowerRoman"/>
      <w:start w:val="1"/>
    </w:lvl>
    <w:lvl w:ilvl="3">
      <w:lvlJc w:val="left"/>
      <w:lvlText w:val="(%4)"/>
      <w:numFmt w:val="lowerLetter"/>
      <w:start w:val="21"/>
    </w:lvl>
    <w:lvl w:ilvl="4">
      <w:lvlJc w:val="left"/>
      <w:lvlText w:val="(%5)"/>
      <w:numFmt w:val="lowerLetter"/>
      <w:start w:val="22"/>
    </w:lvl>
  </w:abstractNum>
  <w:abstractNum w:abstractNumId="28">
    <w:nsid w:val="D34B6A8"/>
    <w:multiLevelType w:val="hybridMultilevel"/>
    <w:lvl w:ilvl="0">
      <w:lvlJc w:val="left"/>
      <w:lvlText w:val="(%1)"/>
      <w:numFmt w:val="lowerLetter"/>
      <w:start w:val="23"/>
    </w:lvl>
  </w:abstractNum>
  <w:abstractNum w:abstractNumId="29">
    <w:nsid w:val="10233C99"/>
    <w:multiLevelType w:val="hybridMultilevel"/>
    <w:lvl w:ilvl="0">
      <w:lvlJc w:val="left"/>
      <w:lvlText w:val="(%1)"/>
      <w:numFmt w:val="lowerLetter"/>
      <w:start w:val="27"/>
    </w:lvl>
  </w:abstractNum>
  <w:abstractNum w:abstractNumId="30">
    <w:nsid w:val="3F6AB60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9"/>
    </w:lvl>
  </w:abstractNum>
  <w:abstractNum w:abstractNumId="31">
    <w:nsid w:val="61574095"/>
    <w:multiLevelType w:val="hybridMultilevel"/>
    <w:lvl w:ilvl="0">
      <w:lvlJc w:val="left"/>
      <w:lvlText w:val="(%1)"/>
      <w:numFmt w:val="lowerLetter"/>
      <w:start w:val="30"/>
    </w:lvl>
    <w:lvl w:ilvl="1">
      <w:lvlJc w:val="left"/>
      <w:lvlText w:val="(%2)"/>
      <w:numFmt w:val="lowerLetter"/>
      <w:start w:val="32"/>
    </w:lvl>
    <w:lvl w:ilvl="2">
      <w:lvlJc w:val="left"/>
      <w:lvlText w:val="%3"/>
      <w:numFmt w:val="lowerLetter"/>
      <w:start w:val="1"/>
    </w:lvl>
  </w:abstractNum>
  <w:abstractNum w:abstractNumId="32">
    <w:nsid w:val="7E0C57B1"/>
    <w:multiLevelType w:val="hybridMultilevel"/>
    <w:lvl w:ilvl="0">
      <w:lvlJc w:val="left"/>
      <w:lvlText w:val="(%1)"/>
      <w:numFmt w:val="lowerLetter"/>
      <w:start w:val="34"/>
    </w:lvl>
  </w:abstractNum>
  <w:abstractNum w:abstractNumId="33">
    <w:nsid w:val="77AE35EB"/>
    <w:multiLevelType w:val="hybridMultilevel"/>
    <w:lvl w:ilvl="0">
      <w:lvlJc w:val="left"/>
      <w:lvlText w:val="(%1)"/>
      <w:numFmt w:val="lowerRoman"/>
      <w:start w:val="1"/>
    </w:lvl>
  </w:abstractNum>
  <w:abstractNum w:abstractNumId="34">
    <w:nsid w:val="579BE4F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upperLetter"/>
      <w:start w:val="2"/>
    </w:lvl>
  </w:abstractNum>
  <w:abstractNum w:abstractNumId="35">
    <w:nsid w:val="310C50B3"/>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36">
    <w:nsid w:val="5FF87E05"/>
    <w:multiLevelType w:val="hybridMultilevel"/>
    <w:lvl w:ilvl="0">
      <w:lvlJc w:val="left"/>
      <w:lvlText w:val="%1"/>
      <w:numFmt w:val="lowerLetter"/>
      <w:start w:val="1"/>
    </w:lvl>
    <w:lvl w:ilvl="1">
      <w:lvlJc w:val="left"/>
      <w:lvlText w:val="%2."/>
      <w:numFmt w:val="decimal"/>
      <w:start w:val="3"/>
    </w:lvl>
  </w:abstractNum>
  <w:abstractNum w:abstractNumId="37">
    <w:nsid w:val="2F305DEF"/>
    <w:multiLevelType w:val="hybridMultilevel"/>
    <w:lvl w:ilvl="0">
      <w:lvlJc w:val="left"/>
      <w:lvlText w:val="(%1)"/>
      <w:numFmt w:val="lowerLetter"/>
      <w:start w:val="1"/>
    </w:lvl>
    <w:lvl w:ilvl="1">
      <w:lvlJc w:val="left"/>
      <w:lvlText w:val="%2"/>
      <w:numFmt w:val="decimal"/>
      <w:start w:val="1"/>
    </w:lvl>
  </w:abstractNum>
  <w:abstractNum w:abstractNumId="38">
    <w:nsid w:val="25A70BF7"/>
    <w:multiLevelType w:val="hybridMultilevel"/>
    <w:lvl w:ilvl="0">
      <w:lvlJc w:val="left"/>
      <w:lvlText w:val="(%1)"/>
      <w:numFmt w:val="lowerLetter"/>
      <w:start w:val="2"/>
    </w:lvl>
  </w:abstractNum>
  <w:abstractNum w:abstractNumId="39">
    <w:nsid w:val="1DBABF00"/>
    <w:multiLevelType w:val="hybridMultilevel"/>
    <w:lvl w:ilvl="0">
      <w:lvlJc w:val="left"/>
      <w:lvlText w:val="(%1)"/>
      <w:numFmt w:val="lowerRoman"/>
      <w:start w:val="1"/>
    </w:lvl>
  </w:abstractNum>
  <w:abstractNum w:abstractNumId="40">
    <w:nsid w:val="4AD084E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41">
    <w:nsid w:val="1F48EAA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42">
    <w:nsid w:val="1381823A"/>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43">
    <w:nsid w:val="5DB70AE5"/>
    <w:multiLevelType w:val="hybridMultilevel"/>
    <w:lvl w:ilvl="0">
      <w:lvlJc w:val="left"/>
      <w:lvlText w:val="%1."/>
      <w:numFmt w:val="decimal"/>
      <w:start w:val="4"/>
    </w:lvl>
  </w:abstractNum>
  <w:abstractNum w:abstractNumId="44">
    <w:nsid w:val="100F8FC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5"/>
    </w:lvl>
  </w:abstractNum>
  <w:abstractNum w:abstractNumId="45">
    <w:nsid w:val="6590700B"/>
    <w:multiLevelType w:val="hybridMultilevel"/>
    <w:lvl w:ilvl="0">
      <w:lvlJc w:val="left"/>
      <w:lvlText w:val="%1."/>
      <w:numFmt w:val="decimal"/>
      <w:start w:val="6"/>
    </w:lvl>
    <w:lvl w:ilvl="1">
      <w:lvlJc w:val="left"/>
      <w:lvlText w:val="(%2)"/>
      <w:numFmt w:val="lowerLetter"/>
      <w:start w:val="1"/>
    </w:lvl>
  </w:abstractNum>
  <w:abstractNum w:abstractNumId="46">
    <w:nsid w:val="15014ACB"/>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4"/>
    </w:lvl>
  </w:abstractNum>
  <w:abstractNum w:abstractNumId="47">
    <w:nsid w:val="5F5E7FD0"/>
    <w:multiLevelType w:val="hybridMultilevel"/>
    <w:lvl w:ilvl="0">
      <w:lvlJc w:val="left"/>
      <w:lvlText w:val="(%1)"/>
      <w:numFmt w:val="lowerLetter"/>
      <w:start w:val="5"/>
    </w:lvl>
    <w:lvl w:ilvl="1">
      <w:lvlJc w:val="left"/>
      <w:lvlText w:val="(%2)"/>
      <w:numFmt w:val="lowerLetter"/>
      <w:start w:val="9"/>
    </w:lvl>
  </w:abstractNum>
  <w:abstractNum w:abstractNumId="48">
    <w:nsid w:val="98A314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lowerRoman"/>
      <w:start w:val="1"/>
    </w:lvl>
  </w:abstractNum>
  <w:abstractNum w:abstractNumId="49">
    <w:nsid w:val="799D0247"/>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lvl w:ilvl="3">
      <w:lvlJc w:val="left"/>
      <w:lvlText w:val="(%4)"/>
      <w:numFmt w:val="lowerRoman"/>
      <w:start w:val="4"/>
    </w:lvl>
  </w:abstractNum>
  <w:abstractNum w:abstractNumId="50">
    <w:nsid w:val="6B94764"/>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51">
    <w:nsid w:val="42C296BD"/>
    <w:multiLevelType w:val="hybridMultilevel"/>
    <w:lvl w:ilvl="0">
      <w:lvlJc w:val="left"/>
      <w:lvlText w:val="(%1)"/>
      <w:numFmt w:val="lowerLetter"/>
      <w:start w:val="8"/>
    </w:lvl>
    <w:lvl w:ilvl="1">
      <w:lvlJc w:val="left"/>
      <w:lvlText w:val="(%2)"/>
      <w:numFmt w:val="lowerRoman"/>
      <w:start w:val="1"/>
    </w:lvl>
    <w:lvl w:ilvl="2">
      <w:lvlJc w:val="left"/>
      <w:lvlText w:val="(%3)"/>
      <w:numFmt w:val="lowerLetter"/>
      <w:start w:val="35"/>
    </w:lvl>
  </w:abstractNum>
  <w:abstractNum w:abstractNumId="52">
    <w:nsid w:val="168E121F"/>
    <w:multiLevelType w:val="hybridMultilevel"/>
    <w:lvl w:ilvl="0">
      <w:lvlJc w:val="left"/>
      <w:lvlText w:val="(%1)"/>
      <w:numFmt w:val="upperLetter"/>
      <w:start w:val="1"/>
    </w:lvl>
    <w:lvl w:ilvl="1">
      <w:lvlJc w:val="left"/>
      <w:lvlText w:val="(%2)"/>
      <w:numFmt w:val="upperLetter"/>
      <w:start w:val="2"/>
    </w:lvl>
    <w:lvl w:ilvl="2">
      <w:lvlJc w:val="left"/>
      <w:lvlText w:val="(%3)"/>
      <w:numFmt w:val="upperLetter"/>
      <w:start w:val="2"/>
    </w:lvl>
  </w:abstractNum>
  <w:abstractNum w:abstractNumId="53">
    <w:nsid w:val="1EBA5D23"/>
    <w:multiLevelType w:val="hybridMultilevel"/>
    <w:lvl w:ilvl="0">
      <w:lvlJc w:val="left"/>
      <w:lvlText w:val="%1"/>
      <w:numFmt w:val="lowerLetter"/>
      <w:start w:val="1"/>
    </w:lvl>
    <w:lvl w:ilvl="1">
      <w:lvlJc w:val="left"/>
      <w:lvlText w:val="(%2)"/>
      <w:numFmt w:val="upperLetter"/>
      <w:start w:val="4"/>
    </w:lvl>
    <w:lvl w:ilvl="2">
      <w:lvlJc w:val="left"/>
      <w:lvlText w:val="%3"/>
      <w:numFmt w:val="lowerLetter"/>
      <w:start w:val="1"/>
    </w:lvl>
    <w:lvl w:ilvl="3">
      <w:lvlJc w:val="left"/>
      <w:lvlText w:val="%4"/>
      <w:numFmt w:val="lowerLetter"/>
      <w:start w:val="1"/>
    </w:lvl>
    <w:lvl w:ilvl="4">
      <w:lvlJc w:val="left"/>
      <w:lvlText w:val="%5"/>
      <w:numFmt w:val="decimal"/>
      <w:start w:val="1"/>
    </w:lvl>
    <w:lvl w:ilvl="5">
      <w:lvlJc w:val="left"/>
      <w:lvlText w:val="%6."/>
      <w:numFmt w:val="decimal"/>
      <w:start w:val="7"/>
    </w:lvl>
    <w:lvl w:ilvl="6">
      <w:lvlJc w:val="left"/>
      <w:lvlText w:val="%7"/>
      <w:numFmt w:val="decimal"/>
      <w:start w:val="1"/>
    </w:lvl>
  </w:abstractNum>
  <w:abstractNum w:abstractNumId="54">
    <w:nsid w:val="661E3F1E"/>
    <w:multiLevelType w:val="hybridMultilevel"/>
    <w:lvl w:ilvl="0">
      <w:lvlJc w:val="left"/>
      <w:lvlText w:val="(%1)"/>
      <w:numFmt w:val="lowerLetter"/>
      <w:start w:val="61"/>
    </w:lvl>
    <w:lvl w:ilvl="1">
      <w:lvlJc w:val="left"/>
      <w:lvlText w:val="%2"/>
      <w:numFmt w:val="upperLetter"/>
      <w:start w:val="1"/>
    </w:lvl>
    <w:lvl w:ilvl="2">
      <w:lvlJc w:val="left"/>
      <w:lvlText w:val="(%3)"/>
      <w:numFmt w:val="lowerLetter"/>
    </w:lvl>
    <w:lvl w:ilvl="3">
      <w:lvlJc w:val="left"/>
      <w:lvlText w:val="(%4)"/>
      <w:numFmt w:val="lowerLetter"/>
      <w:start w:val="2"/>
    </w:lvl>
    <w:lvl w:ilvl="4">
      <w:lvlJc w:val="left"/>
      <w:lvlText w:val="%5."/>
      <w:numFmt w:val="decimal"/>
      <w:start w:val="8"/>
    </w:lvl>
    <w:lvl w:ilvl="5">
      <w:lvlJc w:val="left"/>
      <w:lvlText w:val="%6"/>
      <w:numFmt w:val="decimal"/>
      <w:start w:val="1"/>
    </w:lvl>
    <w:lvl w:ilvl="6">
      <w:lvlJc w:val="left"/>
      <w:lvlText w:val="%7."/>
      <w:numFmt w:val="decimal"/>
      <w:start w:val="8"/>
    </w:lvl>
  </w:abstractNum>
  <w:abstractNum w:abstractNumId="55">
    <w:nsid w:val="5DC79EA8"/>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5"/>
    </w:lvl>
    <w:lvl w:ilvl="3">
      <w:lvlJc w:val="left"/>
      <w:lvlText w:val="%4."/>
      <w:numFmt w:val="decimal"/>
      <w:start w:val="10"/>
    </w:lvl>
  </w:abstractNum>
  <w:abstractNum w:abstractNumId="56">
    <w:nsid w:val="540A471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1"/>
    </w:lvl>
    <w:lvl w:ilvl="3">
      <w:lvlJc w:val="left"/>
      <w:lvlText w:val="%4"/>
      <w:numFmt w:val="lowerLetter"/>
      <w:start w:val="1"/>
    </w:lvl>
    <w:lvl w:ilvl="4">
      <w:lvlJc w:val="left"/>
      <w:lvlText w:val="(%5)"/>
      <w:numFmt w:val="lowerLetter"/>
      <w:start w:val="1"/>
    </w:lvl>
  </w:abstractNum>
  <w:abstractNum w:abstractNumId="57">
    <w:nsid w:val="7BD3EE7B"/>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1"/>
    </w:lvl>
    <w:lvl w:ilvl="3">
      <w:lvlJc w:val="left"/>
      <w:lvlText w:val="(%4)"/>
      <w:numFmt w:val="lowerLetter"/>
      <w:start w:val="3"/>
    </w:lvl>
    <w:lvl w:ilvl="4">
      <w:lvlJc w:val="left"/>
      <w:lvlText w:val="(%5)"/>
      <w:numFmt w:val="lowerLetter"/>
      <w:start w:val="1"/>
    </w:lvl>
  </w:abstractNum>
  <w:abstractNum w:abstractNumId="58">
    <w:nsid w:val="51D9C564"/>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59">
    <w:nsid w:val="613EFDC5"/>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5"/>
    </w:lvl>
    <w:lvl w:ilvl="3">
      <w:lvlJc w:val="left"/>
      <w:lvlText w:val="%4"/>
      <w:numFmt w:val="decimal"/>
      <w:start w:val="1"/>
    </w:lvl>
    <w:lvl w:ilvl="4">
      <w:lvlJc w:val="left"/>
      <w:lvlText w:val="%5"/>
      <w:numFmt w:val="decimal"/>
      <w:start w:val="1"/>
    </w:lvl>
  </w:abstractNum>
  <w:abstractNum w:abstractNumId="60">
    <w:nsid w:val="BF72B14"/>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lvl w:ilvl="3">
      <w:lvlJc w:val="left"/>
      <w:lvlText w:val="%4."/>
      <w:numFmt w:val="decimal"/>
      <w:start w:val="13"/>
    </w:lvl>
    <w:lvl w:ilvl="4">
      <w:lvlJc w:val="left"/>
      <w:lvlText w:val="%5."/>
      <w:numFmt w:val="decimal"/>
      <w:start w:val="14"/>
    </w:lvl>
  </w:abstractNum>
  <w:abstractNum w:abstractNumId="61">
    <w:nsid w:val="11447B7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decimal"/>
      <w:start w:val="15"/>
    </w:lvl>
  </w:abstractNum>
  <w:abstractNum w:abstractNumId="62">
    <w:nsid w:val="42963E5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63">
    <w:nsid w:val="A0382C5"/>
    <w:multiLevelType w:val="hybridMultilevel"/>
    <w:lvl w:ilvl="0">
      <w:lvlJc w:val="left"/>
      <w:lvlText w:val="(%1)"/>
      <w:numFmt w:val="decimal"/>
      <w:start w:val="1"/>
    </w:lvl>
    <w:lvl w:ilvl="1">
      <w:lvlJc w:val="left"/>
      <w:lvlText w:val="(%2)"/>
      <w:numFmt w:val="decimal"/>
      <w:start w:val="2"/>
    </w:lvl>
  </w:abstractNum>
  <w:abstractNum w:abstractNumId="64">
    <w:nsid w:val="8F2B15E"/>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6"/>
    </w:lvl>
  </w:abstractNum>
  <w:abstractNum w:abstractNumId="65">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66">
    <w:nsid w:val="3B0FD379"/>
    <w:multiLevelType w:val="hybridMultilevel"/>
    <w:lvl w:ilvl="0">
      <w:lvlJc w:val="left"/>
      <w:lvlText w:val="%1"/>
      <w:numFmt w:val="lowerRoman"/>
      <w:start w:val="1"/>
    </w:lvl>
    <w:lvl w:ilvl="1">
      <w:lvlJc w:val="left"/>
      <w:lvlText w:val="(%2)"/>
      <w:numFmt w:val="lowerRoman"/>
      <w:start w:val="1"/>
    </w:lvl>
  </w:abstractNum>
  <w:abstractNum w:abstractNumId="67">
    <w:nsid w:val="68EB2F63"/>
    <w:multiLevelType w:val="hybridMultilevel"/>
    <w:lvl w:ilvl="0">
      <w:lvlJc w:val="left"/>
      <w:lvlText w:val="(%1)"/>
      <w:numFmt w:val="lowerRoman"/>
      <w:start w:val="2"/>
    </w:lvl>
    <w:lvl w:ilvl="1">
      <w:lvlJc w:val="left"/>
      <w:lvlText w:val="%2"/>
      <w:numFmt w:val="lowerRoman"/>
      <w:start w:val="1"/>
    </w:lvl>
  </w:abstractNum>
  <w:abstractNum w:abstractNumId="68">
    <w:nsid w:val="4962813B"/>
    <w:multiLevelType w:val="hybridMultilevel"/>
    <w:lvl w:ilvl="0">
      <w:lvlJc w:val="left"/>
      <w:lvlText w:val="(%1)"/>
      <w:numFmt w:val="upperLetter"/>
      <w:start w:val="1"/>
    </w:lvl>
    <w:lvl w:ilvl="1">
      <w:lvlJc w:val="left"/>
      <w:lvlText w:val="(%2)"/>
      <w:numFmt w:val="upperLetter"/>
      <w:start w:val="2"/>
    </w:lvl>
  </w:abstractNum>
  <w:abstractNum w:abstractNumId="69">
    <w:nsid w:val="60B6DF70"/>
    <w:multiLevelType w:val="hybridMultilevel"/>
    <w:lvl w:ilvl="0">
      <w:lvlJc w:val="left"/>
      <w:lvlText w:val="%1"/>
      <w:numFmt w:val="lowerRoman"/>
      <w:start w:val="1"/>
    </w:lvl>
    <w:lvl w:ilvl="1">
      <w:lvlJc w:val="left"/>
      <w:lvlText w:val="(%2)"/>
      <w:numFmt w:val="upperLetter"/>
      <w:start w:val="3"/>
    </w:lvl>
  </w:abstractNum>
  <w:abstractNum w:abstractNumId="70">
    <w:nsid w:val="6A5EE64"/>
    <w:multiLevelType w:val="hybridMultilevel"/>
    <w:lvl w:ilvl="0">
      <w:lvlJc w:val="left"/>
      <w:lvlText w:val="(%1)"/>
      <w:numFmt w:val="lowerRoman"/>
      <w:start w:val="4"/>
    </w:lvl>
    <w:lvl w:ilvl="1">
      <w:lvlJc w:val="left"/>
      <w:lvlText w:val="%2"/>
      <w:numFmt w:val="upperLetter"/>
      <w:start w:val="1"/>
    </w:lvl>
  </w:abstractNum>
  <w:abstractNum w:abstractNumId="71">
    <w:nsid w:val="14330624"/>
    <w:multiLevelType w:val="hybridMultilevel"/>
    <w:lvl w:ilvl="0">
      <w:lvlJc w:val="left"/>
      <w:lvlText w:val="(%1)"/>
      <w:numFmt w:val="lowerLetter"/>
      <w:start w:val="2"/>
    </w:lvl>
    <w:lvl w:ilvl="1">
      <w:lvlJc w:val="left"/>
      <w:lvlText w:val="%2."/>
      <w:numFmt w:val="decimal"/>
      <w:start w:val="17"/>
    </w:lvl>
    <w:lvl w:ilvl="2">
      <w:lvlJc w:val="left"/>
      <w:lvlText w:val="%3."/>
      <w:numFmt w:val="decimal"/>
      <w:start w:val="18"/>
    </w:lvl>
    <w:lvl w:ilvl="3">
      <w:lvlJc w:val="left"/>
      <w:lvlText w:val="%4."/>
      <w:numFmt w:val="decimal"/>
      <w:start w:val="19"/>
    </w:lvl>
  </w:abstractNum>
  <w:abstractNum w:abstractNumId="72">
    <w:nsid w:val="7FFFCA1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20"/>
    </w:lvl>
    <w:lvl w:ilvl="4">
      <w:lvlJc w:val="left"/>
      <w:lvlText w:val="%5"/>
      <w:numFmt w:val="decimal"/>
      <w:start w:val="1"/>
    </w:lvl>
  </w:abstractNum>
  <w:abstractNum w:abstractNumId="73">
    <w:nsid w:val="1A27709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1"/>
    </w:lvl>
  </w:abstractNum>
  <w:abstractNum w:abstractNumId="74">
    <w:nsid w:val="71EA1109"/>
    <w:multiLevelType w:val="hybridMultilevel"/>
    <w:lvl w:ilvl="0">
      <w:lvlJc w:val="left"/>
      <w:lvlText w:val="(%1)"/>
      <w:numFmt w:val="lowerLetter"/>
      <w:start w:val="2"/>
    </w:lvl>
    <w:lvl w:ilvl="1">
      <w:lvlJc w:val="left"/>
      <w:lvlText w:val="(%2)"/>
      <w:numFmt w:val="lowerLetter"/>
      <w:start w:val="34"/>
    </w:lvl>
    <w:lvl w:ilvl="2">
      <w:lvlJc w:val="left"/>
      <w:lvlText w:val="(%3)"/>
      <w:numFmt w:val="lowerLetter"/>
      <w:start w:val="9"/>
    </w:lvl>
    <w:lvl w:ilvl="3">
      <w:lvlJc w:val="left"/>
      <w:lvlText w:val="%4"/>
      <w:numFmt w:val="decimal"/>
      <w:start w:val="1"/>
    </w:lvl>
    <w:lvl w:ilvl="4">
      <w:lvlJc w:val="left"/>
      <w:lvlText w:val="%5."/>
      <w:numFmt w:val="decimal"/>
      <w:start w:val="21"/>
    </w:lvl>
  </w:abstractNum>
  <w:abstractNum w:abstractNumId="75">
    <w:nsid w:val="100F59DC"/>
    <w:multiLevelType w:val="hybridMultilevel"/>
    <w:lvl w:ilvl="0">
      <w:lvlJc w:val="left"/>
      <w:lvlText w:val="%1."/>
      <w:numFmt w:val="decimal"/>
      <w:start w:val="22"/>
    </w:lvl>
    <w:lvl w:ilvl="1">
      <w:lvlJc w:val="left"/>
      <w:lvlText w:val="%2."/>
      <w:numFmt w:val="decimal"/>
      <w:start w:val="24"/>
    </w:lvl>
    <w:lvl w:ilvl="2">
      <w:lvlJc w:val="left"/>
      <w:lvlText w:val="%3."/>
      <w:numFmt w:val="decimal"/>
      <w:start w:val="23"/>
    </w:lvl>
    <w:lvl w:ilvl="3">
      <w:lvlJc w:val="left"/>
      <w:lvlText w:val="%4."/>
      <w:numFmt w:val="decimal"/>
      <w:start w:val="23"/>
    </w:lvl>
  </w:abstractNum>
  <w:abstractNum w:abstractNumId="76">
    <w:nsid w:val="7FB7E0A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7">
    <w:nsid w:val="6EB5BD4"/>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4"/>
    </w:lvl>
  </w:abstractNum>
  <w:abstractNum w:abstractNumId="78">
    <w:nsid w:val="6F6DD9A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79">
    <w:nsid w:val="94211F2"/>
    <w:multiLevelType w:val="hybridMultilevel"/>
    <w:lvl w:ilvl="0">
      <w:lvlJc w:val="left"/>
      <w:lvlText w:val="(%1)"/>
      <w:numFmt w:val="lowerLetter"/>
      <w:start w:val="10"/>
    </w:lvl>
  </w:abstractNum>
  <w:abstractNum w:abstractNumId="80">
    <w:nsid w:val="885E1B"/>
    <w:multiLevelType w:val="hybridMultilevel"/>
    <w:lvl w:ilvl="0">
      <w:lvlJc w:val="left"/>
      <w:lvlText w:val="(%1)"/>
      <w:numFmt w:val="lowerLetter"/>
      <w:start w:val="13"/>
    </w:lvl>
    <w:lvl w:ilvl="1">
      <w:lvlJc w:val="left"/>
      <w:lvlText w:val="(%2)"/>
      <w:numFmt w:val="lowerLetter"/>
      <w:start w:val="14"/>
    </w:lvl>
  </w:abstractNum>
  <w:abstractNum w:abstractNumId="81">
    <w:nsid w:val="76272110"/>
    <w:multiLevelType w:val="hybridMultilevel"/>
    <w:lvl w:ilvl="0">
      <w:lvlJc w:val="left"/>
      <w:lvlText w:val="(%1)"/>
      <w:numFmt w:val="lowerLetter"/>
      <w:start w:val="15"/>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decimal"/>
      <w:start w:val="2"/>
    </w:lvl>
  </w:abstractNum>
  <w:abstractNum w:abstractNumId="84">
    <w:nsid w:val="14E17E33"/>
    <w:multiLevelType w:val="hybridMultilevel"/>
    <w:lvl w:ilvl="0">
      <w:lvlJc w:val="left"/>
      <w:lvlText w:val="%1."/>
      <w:numFmt w:val="decimal"/>
      <w:start w:val="3"/>
    </w:lvl>
  </w:abstractNum>
  <w:abstractNum w:abstractNumId="85">
    <w:nsid w:val="3222E7CD"/>
    <w:multiLevelType w:val="hybridMultilevel"/>
    <w:lvl w:ilvl="0">
      <w:lvlJc w:val="left"/>
      <w:lvlText w:val="%1."/>
      <w:numFmt w:val="decimal"/>
      <w:start w:val="4"/>
    </w:lvl>
  </w:abstractNum>
  <w:abstractNum w:abstractNumId="86">
    <w:nsid w:val="74DE0EE3"/>
    <w:multiLevelType w:val="hybridMultilevel"/>
    <w:lvl w:ilvl="0">
      <w:lvlJc w:val="left"/>
      <w:lvlText w:val="%1."/>
      <w:numFmt w:val="decimal"/>
      <w:start w:val="5"/>
    </w:lvl>
  </w:abstractNum>
  <w:abstractNum w:abstractNumId="87">
    <w:nsid w:val="68EBC550"/>
    <w:multiLevelType w:val="hybridMultilevel"/>
    <w:lvl w:ilvl="0">
      <w:lvlJc w:val="left"/>
      <w:lvlText w:val="%1."/>
      <w:numFmt w:val="decimal"/>
      <w:start w:val="6"/>
    </w:lvl>
  </w:abstractNum>
  <w:abstractNum w:abstractNumId="88">
    <w:nsid w:val="2DF6D648"/>
    <w:multiLevelType w:val="hybridMultilevel"/>
    <w:lvl w:ilvl="0">
      <w:lvlJc w:val="left"/>
      <w:lvlText w:val="%1."/>
      <w:numFmt w:val="decimal"/>
      <w:start w:val="7"/>
    </w:lvl>
  </w:abstractNum>
  <w:abstractNum w:abstractNumId="89">
    <w:nsid w:val="46B7D447"/>
    <w:multiLevelType w:val="hybridMultilevel"/>
    <w:lvl w:ilvl="0">
      <w:lvlJc w:val="left"/>
      <w:lvlText w:val="%1."/>
      <w:numFmt w:val="decimal"/>
      <w:start w:val="8"/>
    </w:lvl>
  </w:abstractNum>
  <w:abstractNum w:abstractNumId="90">
    <w:nsid w:val="4A2AC315"/>
    <w:multiLevelType w:val="hybridMultilevel"/>
    <w:lvl w:ilvl="0">
      <w:lvlJc w:val="left"/>
      <w:lvlText w:val="%1."/>
      <w:numFmt w:val="decimal"/>
      <w:start w:val="9"/>
    </w:lvl>
  </w:abstractNum>
  <w:abstractNum w:abstractNumId="91">
    <w:nsid w:val="39EE015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128" Type="http://schemas.openxmlformats.org/officeDocument/2006/relationships/image" Target="media/image54.png"/><Relationship Id="rId129" Type="http://schemas.openxmlformats.org/officeDocument/2006/relationships/image" Target="media/image55.png"/><Relationship Id="rId130" Type="http://schemas.openxmlformats.org/officeDocument/2006/relationships/image" Target="media/image56.png"/><Relationship Id="rId131" Type="http://schemas.openxmlformats.org/officeDocument/2006/relationships/image" Target="media/image57.png"/><Relationship Id="rId132" Type="http://schemas.openxmlformats.org/officeDocument/2006/relationships/image" Target="media/image58.png"/><Relationship Id="rId133" Type="http://schemas.openxmlformats.org/officeDocument/2006/relationships/image" Target="media/image59.png"/><Relationship Id="rId134" Type="http://schemas.openxmlformats.org/officeDocument/2006/relationships/image" Target="media/image60.png"/><Relationship Id="rId135" Type="http://schemas.openxmlformats.org/officeDocument/2006/relationships/image" Target="media/image61.png"/><Relationship Id="rId136" Type="http://schemas.openxmlformats.org/officeDocument/2006/relationships/image" Target="media/image62.png"/><Relationship Id="rId137" Type="http://schemas.openxmlformats.org/officeDocument/2006/relationships/image" Target="media/image63.png"/><Relationship Id="rId138" Type="http://schemas.openxmlformats.org/officeDocument/2006/relationships/image" Target="media/image64.png"/><Relationship Id="rId139" Type="http://schemas.openxmlformats.org/officeDocument/2006/relationships/image" Target="media/image65.png"/><Relationship Id="rId140" Type="http://schemas.openxmlformats.org/officeDocument/2006/relationships/image" Target="media/image66.png"/><Relationship Id="rId141" Type="http://schemas.openxmlformats.org/officeDocument/2006/relationships/image" Target="media/image67.png"/><Relationship Id="rId142" Type="http://schemas.openxmlformats.org/officeDocument/2006/relationships/image" Target="media/image68.png"/><Relationship Id="rId143" Type="http://schemas.openxmlformats.org/officeDocument/2006/relationships/image" Target="media/image69.png"/><Relationship Id="rId144" Type="http://schemas.openxmlformats.org/officeDocument/2006/relationships/image" Target="media/image70.png"/><Relationship Id="rId145" Type="http://schemas.openxmlformats.org/officeDocument/2006/relationships/image" Target="media/image71.png"/><Relationship Id="rId146" Type="http://schemas.openxmlformats.org/officeDocument/2006/relationships/image" Target="media/image72.png"/><Relationship Id="rId147" Type="http://schemas.openxmlformats.org/officeDocument/2006/relationships/image" Target="media/image73.png"/><Relationship Id="rId148" Type="http://schemas.openxmlformats.org/officeDocument/2006/relationships/image" Target="media/image74.png"/><Relationship Id="rId149" Type="http://schemas.openxmlformats.org/officeDocument/2006/relationships/image" Target="media/image75.png"/><Relationship Id="rId150" Type="http://schemas.openxmlformats.org/officeDocument/2006/relationships/image" Target="media/image76.png"/><Relationship Id="rId151" Type="http://schemas.openxmlformats.org/officeDocument/2006/relationships/image" Target="media/image77.png"/><Relationship Id="rId152" Type="http://schemas.openxmlformats.org/officeDocument/2006/relationships/image" Target="media/image78.png"/><Relationship Id="rId153" Type="http://schemas.openxmlformats.org/officeDocument/2006/relationships/image" Target="media/image79.png"/><Relationship Id="rId154" Type="http://schemas.openxmlformats.org/officeDocument/2006/relationships/image" Target="media/image80.png"/><Relationship Id="rId155" Type="http://schemas.openxmlformats.org/officeDocument/2006/relationships/image" Target="media/image81.png"/><Relationship Id="rId156" Type="http://schemas.openxmlformats.org/officeDocument/2006/relationships/image" Target="media/image82.png"/><Relationship Id="rId157" Type="http://schemas.openxmlformats.org/officeDocument/2006/relationships/image" Target="media/image83.png"/><Relationship Id="rId158" Type="http://schemas.openxmlformats.org/officeDocument/2006/relationships/image" Target="media/image84.png"/><Relationship Id="rId159" Type="http://schemas.openxmlformats.org/officeDocument/2006/relationships/image" Target="media/image85.png"/><Relationship Id="rId160" Type="http://schemas.openxmlformats.org/officeDocument/2006/relationships/image" Target="media/image86.png"/><Relationship Id="rId161" Type="http://schemas.openxmlformats.org/officeDocument/2006/relationships/image" Target="media/image87.png"/><Relationship Id="rId162" Type="http://schemas.openxmlformats.org/officeDocument/2006/relationships/image" Target="media/image88.png"/><Relationship Id="rId163" Type="http://schemas.openxmlformats.org/officeDocument/2006/relationships/image" Target="media/image89.png"/><Relationship Id="rId164" Type="http://schemas.openxmlformats.org/officeDocument/2006/relationships/image" Target="media/image90.png"/><Relationship Id="rId165" Type="http://schemas.openxmlformats.org/officeDocument/2006/relationships/image" Target="media/image91.png"/><Relationship Id="rId166" Type="http://schemas.openxmlformats.org/officeDocument/2006/relationships/image" Target="media/image92.png"/><Relationship Id="rId167" Type="http://schemas.openxmlformats.org/officeDocument/2006/relationships/image" Target="media/image93.png"/><Relationship Id="rId168" Type="http://schemas.openxmlformats.org/officeDocument/2006/relationships/image" Target="media/image94.png"/><Relationship Id="rId169" Type="http://schemas.openxmlformats.org/officeDocument/2006/relationships/image" Target="media/image95.png"/><Relationship Id="rId170" Type="http://schemas.openxmlformats.org/officeDocument/2006/relationships/image" Target="media/image96.png"/><Relationship Id="rId171" Type="http://schemas.openxmlformats.org/officeDocument/2006/relationships/image" Target="media/image97.png"/><Relationship Id="rId172" Type="http://schemas.openxmlformats.org/officeDocument/2006/relationships/image" Target="media/image98.png"/><Relationship Id="rId173" Type="http://schemas.openxmlformats.org/officeDocument/2006/relationships/image" Target="media/image99.png"/><Relationship Id="rId174" Type="http://schemas.openxmlformats.org/officeDocument/2006/relationships/image" Target="media/image100.png"/><Relationship Id="rId175" Type="http://schemas.openxmlformats.org/officeDocument/2006/relationships/image" Target="media/image101.png"/><Relationship Id="rId176" Type="http://schemas.openxmlformats.org/officeDocument/2006/relationships/image" Target="media/image102.png"/><Relationship Id="rId177" Type="http://schemas.openxmlformats.org/officeDocument/2006/relationships/image" Target="media/image103.png"/><Relationship Id="rId178" Type="http://schemas.openxmlformats.org/officeDocument/2006/relationships/image" Target="media/image104.png"/><Relationship Id="rId179" Type="http://schemas.openxmlformats.org/officeDocument/2006/relationships/image" Target="media/image105.png"/><Relationship Id="rId180" Type="http://schemas.openxmlformats.org/officeDocument/2006/relationships/image" Target="media/image106.png"/><Relationship Id="rId181" Type="http://schemas.openxmlformats.org/officeDocument/2006/relationships/image" Target="media/image107.png"/><Relationship Id="rId182" Type="http://schemas.openxmlformats.org/officeDocument/2006/relationships/image" Target="media/image108.png"/><Relationship Id="rId183" Type="http://schemas.openxmlformats.org/officeDocument/2006/relationships/image" Target="media/image109.png"/><Relationship Id="rId184" Type="http://schemas.openxmlformats.org/officeDocument/2006/relationships/image" Target="media/image110.png"/><Relationship Id="rId185" Type="http://schemas.openxmlformats.org/officeDocument/2006/relationships/image" Target="media/image111.png"/><Relationship Id="rId186" Type="http://schemas.openxmlformats.org/officeDocument/2006/relationships/image" Target="media/image112.png"/><Relationship Id="rId187" Type="http://schemas.openxmlformats.org/officeDocument/2006/relationships/image" Target="media/image113.png"/><Relationship Id="rId188" Type="http://schemas.openxmlformats.org/officeDocument/2006/relationships/image" Target="media/image114.png"/><Relationship Id="rId189" Type="http://schemas.openxmlformats.org/officeDocument/2006/relationships/image" Target="media/image115.png"/><Relationship Id="rId190" Type="http://schemas.openxmlformats.org/officeDocument/2006/relationships/image" Target="media/image116.png"/><Relationship Id="rId191" Type="http://schemas.openxmlformats.org/officeDocument/2006/relationships/image" Target="media/image117.png"/><Relationship Id="rId192" Type="http://schemas.openxmlformats.org/officeDocument/2006/relationships/image" Target="media/image118.png"/><Relationship Id="rId193" Type="http://schemas.openxmlformats.org/officeDocument/2006/relationships/image" Target="media/image119.png"/><Relationship Id="rId194" Type="http://schemas.openxmlformats.org/officeDocument/2006/relationships/image" Target="media/image120.png"/><Relationship Id="rId195" Type="http://schemas.openxmlformats.org/officeDocument/2006/relationships/image" Target="media/image121.png"/><Relationship Id="rId196" Type="http://schemas.openxmlformats.org/officeDocument/2006/relationships/image" Target="media/image122.png"/><Relationship Id="rId197" Type="http://schemas.openxmlformats.org/officeDocument/2006/relationships/image" Target="media/image123.png"/><Relationship Id="rId198" Type="http://schemas.openxmlformats.org/officeDocument/2006/relationships/image" Target="media/image124.png"/><Relationship Id="rId199" Type="http://schemas.openxmlformats.org/officeDocument/2006/relationships/image" Target="media/image125.png"/><Relationship Id="rId200" Type="http://schemas.openxmlformats.org/officeDocument/2006/relationships/image" Target="media/image126.png"/><Relationship Id="rId201" Type="http://schemas.openxmlformats.org/officeDocument/2006/relationships/image" Target="media/image127.png"/><Relationship Id="rId202" Type="http://schemas.openxmlformats.org/officeDocument/2006/relationships/image" Target="media/image128.png"/><Relationship Id="rId203" Type="http://schemas.openxmlformats.org/officeDocument/2006/relationships/image" Target="media/image129.png"/><Relationship Id="rId204" Type="http://schemas.openxmlformats.org/officeDocument/2006/relationships/image" Target="media/image130.png"/><Relationship Id="rId205" Type="http://schemas.openxmlformats.org/officeDocument/2006/relationships/image" Target="media/image131.png"/><Relationship Id="rId61" Type="http://schemas.openxmlformats.org/officeDocument/2006/relationships/hyperlink" Target="https://www.sec.gov/Archives/edgar/data/103730/000010373012000031/exhhibit3-1.htm" TargetMode="External"/><Relationship Id="rId62" Type="http://schemas.openxmlformats.org/officeDocument/2006/relationships/hyperlink" Target="https://www.sec.gov/Archives/edgar/data/103730/000120677411001322/exhibit3-2.htm" TargetMode="External"/><Relationship Id="rId63" Type="http://schemas.openxmlformats.org/officeDocument/2006/relationships/hyperlink" Target="https://www.sec.gov/Archives/edgar/data/103730/000010373015000037/exhibit3-1.htm" TargetMode="External"/><Relationship Id="rId64" Type="http://schemas.openxmlformats.org/officeDocument/2006/relationships/hyperlink" Target="https://www.sec.gov/Archives/edgar/data/103730/000010373023000010/exhibit3-1.htm" TargetMode="External"/><Relationship Id="rId65" Type="http://schemas.openxmlformats.org/officeDocument/2006/relationships/hyperlink" Target="https://www.sec.gov/Archives/edgar/data/103730/000010373018000027/exhibit4-1.htm" TargetMode="External"/><Relationship Id="rId66" Type="http://schemas.openxmlformats.org/officeDocument/2006/relationships/hyperlink" Target="https://www.sec.gov/Archives/edgar/data/103730/000010373018000027/exhibit4-2.htm" TargetMode="External"/><Relationship Id="rId67" Type="http://schemas.openxmlformats.org/officeDocument/2006/relationships/hyperlink" Target="https://www.sec.gov/Archives/edgar/data/103730/000010373020000013/exhibit4-6.htm" TargetMode="External"/><Relationship Id="rId68" Type="http://schemas.openxmlformats.org/officeDocument/2006/relationships/hyperlink" Target="https://www.sec.gov/Archives/edgar/data/103730/000010373021000003/exhibit4-1.htm" TargetMode="External"/><Relationship Id="rId69" Type="http://schemas.openxmlformats.org/officeDocument/2006/relationships/hyperlink" Target="https://www.sec.gov/Archives/edgar/data/103730/000010373017000014/vishay_def14a.htm" TargetMode="External"/><Relationship Id="rId70" Type="http://schemas.openxmlformats.org/officeDocument/2006/relationships/hyperlink" Target="https://www.sec.gov/Archives/edgar/data/103730/000010373014000014/vishay_def14a.htm" TargetMode="External"/><Relationship Id="rId71" Type="http://schemas.openxmlformats.org/officeDocument/2006/relationships/hyperlink" Target="https://www.sec.gov/Archives/edgar/data/103730/000120677404001619/vi71325ex103.htm" TargetMode="External"/><Relationship Id="rId72" Type="http://schemas.openxmlformats.org/officeDocument/2006/relationships/hyperlink" Target="https://www.sec.gov/Archives/edgar/data/103730/000120677410001828/exhibit10-5.htm" TargetMode="External"/><Relationship Id="rId73" Type="http://schemas.openxmlformats.org/officeDocument/2006/relationships/hyperlink" Target="https://www.sec.gov/Archives/edgar/data/103730/000010373011000005/exhibit10-3.htm" TargetMode="External"/><Relationship Id="rId74" Type="http://schemas.openxmlformats.org/officeDocument/2006/relationships/hyperlink" Target="https://www.sec.gov/Archives/edgar/data/103730/000010373021000046/exhibit10-1.htm" TargetMode="External"/><Relationship Id="rId75" Type="http://schemas.openxmlformats.org/officeDocument/2006/relationships/hyperlink" Target="https://www.sec.gov/Archives/edgar/data/103730/000120677404001619/vi71325ex102.htm" TargetMode="External"/><Relationship Id="rId76" Type="http://schemas.openxmlformats.org/officeDocument/2006/relationships/hyperlink" Target="https://www.sec.gov/Archives/edgar/data/103730/000120677410001828/exhibit10-6.htm" TargetMode="External"/><Relationship Id="rId77" Type="http://schemas.openxmlformats.org/officeDocument/2006/relationships/hyperlink" Target="https://www.sec.gov/Archives/edgar/data/103730/000010373011000005/exhibit10-2.htm" TargetMode="External"/><Relationship Id="rId78" Type="http://schemas.openxmlformats.org/officeDocument/2006/relationships/hyperlink" Target="https://www.sec.gov/Archives/edgar/data/103730/000010373021000030/exhibit10-1.htm" TargetMode="External"/><Relationship Id="rId79" Type="http://schemas.openxmlformats.org/officeDocument/2006/relationships/hyperlink" Target="https://www.sec.gov/Archives/edgar/data/103730/000010373022000044/exhibit10-1.htm" TargetMode="External"/><Relationship Id="rId80" Type="http://schemas.openxmlformats.org/officeDocument/2006/relationships/hyperlink" Target="https://www.sec.gov/Archives/edgar/data/103730/000010373018000007/exhibit10-5.htm" TargetMode="External"/><Relationship Id="rId81" Type="http://schemas.openxmlformats.org/officeDocument/2006/relationships/hyperlink" Target="https://www.sec.gov/Archives/edgar/data/103730/000010373020000052/exhibit10-1.htm" TargetMode="External"/><Relationship Id="rId82" Type="http://schemas.openxmlformats.org/officeDocument/2006/relationships/hyperlink" Target="https://www.sec.gov/Archives/edgar/data/103730/000010373021000030/exhibit10-6.htm" TargetMode="External"/><Relationship Id="rId83" Type="http://schemas.openxmlformats.org/officeDocument/2006/relationships/hyperlink" Target="https://www.sec.gov/Archives/edgar/data/103730/000010373022000044/exhibit10-2.htm" TargetMode="External"/><Relationship Id="rId84" Type="http://schemas.openxmlformats.org/officeDocument/2006/relationships/hyperlink" Target="https://www.sec.gov/Archives/edgar/data/103730/000010373018000007/exhibit10-1.htm" TargetMode="External"/><Relationship Id="rId85" Type="http://schemas.openxmlformats.org/officeDocument/2006/relationships/hyperlink" Target="https://www.sec.gov/Archives/edgar/data/103730/000010373020000016/exhibit10-1.htm" TargetMode="External"/><Relationship Id="rId86" Type="http://schemas.openxmlformats.org/officeDocument/2006/relationships/hyperlink" Target="https://www.sec.gov/Archives/edgar/data/103730/000010373021000030/exhibit10-2.htm" TargetMode="External"/><Relationship Id="rId87" Type="http://schemas.openxmlformats.org/officeDocument/2006/relationships/hyperlink" Target="https://www.sec.gov/Archives/edgar/data/103730/000010373022000044/exhibit10-3.htm" TargetMode="External"/><Relationship Id="rId88" Type="http://schemas.openxmlformats.org/officeDocument/2006/relationships/hyperlink" Target="https://www.sec.gov/Archives/edgar/data/103730/000010373012000011/exhibit10-31.htm" TargetMode="External"/><Relationship Id="rId89" Type="http://schemas.openxmlformats.org/officeDocument/2006/relationships/hyperlink" Target="https://www.sec.gov/Archives/edgar/data/103730/000010373014000021/exhibit10-3.htm" TargetMode="External"/><Relationship Id="rId90" Type="http://schemas.openxmlformats.org/officeDocument/2006/relationships/hyperlink" Target="https://www.sec.gov/Archives/edgar/data/103730/000010373015000022/exhibit10-4.htm" TargetMode="External"/><Relationship Id="rId91" Type="http://schemas.openxmlformats.org/officeDocument/2006/relationships/hyperlink" Target="https://www.sec.gov/Archives/edgar/data/103730/000010373018000007/exhibit10-2.htm" TargetMode="External"/><Relationship Id="rId92" Type="http://schemas.openxmlformats.org/officeDocument/2006/relationships/hyperlink" Target="https://www.sec.gov/Archives/edgar/data/103730/000010373021000030/exhibit10-3.htm" TargetMode="External"/><Relationship Id="rId93" Type="http://schemas.openxmlformats.org/officeDocument/2006/relationships/hyperlink" Target="https://www.sec.gov/Archives/edgar/data/103730/000010373022000072/exhibit10-8.htm" TargetMode="External"/><Relationship Id="rId94" Type="http://schemas.openxmlformats.org/officeDocument/2006/relationships/hyperlink" Target="https://www.sec.gov/Archives/edgar/data/103730/000010373018000007/exhibit10-3.htm" TargetMode="External"/><Relationship Id="rId95" Type="http://schemas.openxmlformats.org/officeDocument/2006/relationships/hyperlink" Target="https://www.sec.gov/Archives/edgar/data/103730/000010373021000030/exhibit10-4.htm" TargetMode="External"/><Relationship Id="rId96" Type="http://schemas.openxmlformats.org/officeDocument/2006/relationships/hyperlink" Target="https://www.sec.gov/Archives/edgar/data/103730/000010373022000072/exhibit10-9.htm" TargetMode="External"/><Relationship Id="rId97" Type="http://schemas.openxmlformats.org/officeDocument/2006/relationships/hyperlink" Target="https://www.sec.gov/Archives/edgar/data/103730/000010373018000007/exhibit10-4.htm" TargetMode="External"/><Relationship Id="rId98" Type="http://schemas.openxmlformats.org/officeDocument/2006/relationships/hyperlink" Target="https://www.sec.gov/Archives/edgar/data/103730/000010373021000030/exhibit10-5.htm" TargetMode="External"/><Relationship Id="rId99" Type="http://schemas.openxmlformats.org/officeDocument/2006/relationships/hyperlink" Target="https://www.sec.gov/Archives/edgar/data/103730/000010373022000072/exhibit10-10.htm" TargetMode="External"/><Relationship Id="rId100" Type="http://schemas.openxmlformats.org/officeDocument/2006/relationships/hyperlink" Target="https://www.sec.gov/Archives/edgar/data/103730/000010373020000052/exhibit10-2.htm" TargetMode="External"/><Relationship Id="rId101" Type="http://schemas.openxmlformats.org/officeDocument/2006/relationships/hyperlink" Target="https://www.sec.gov/Archives/edgar/data/103730/000010373021000030/exhibit10-7.htm" TargetMode="External"/><Relationship Id="rId102" Type="http://schemas.openxmlformats.org/officeDocument/2006/relationships/hyperlink" Target="https://www.sec.gov/Archives/edgar/data/103730/000010373022000044/exhibit10-4.htm" TargetMode="External"/><Relationship Id="rId103" Type="http://schemas.openxmlformats.org/officeDocument/2006/relationships/hyperlink" Target="https://www.sec.gov/Archives/edgar/data/103730/000010373022000044/exhibit10-5.htm" TargetMode="External"/><Relationship Id="rId104" Type="http://schemas.openxmlformats.org/officeDocument/2006/relationships/hyperlink" Target="https://www.sec.gov/Archives/edgar/data/103730/000010373020000052/exhibit10-3.htm" TargetMode="External"/><Relationship Id="rId105" Type="http://schemas.openxmlformats.org/officeDocument/2006/relationships/hyperlink" Target="https://www.sec.gov/Archives/edgar/data/103730/000010373021000030/exhibit10-8.htm" TargetMode="External"/><Relationship Id="rId106" Type="http://schemas.openxmlformats.org/officeDocument/2006/relationships/hyperlink" Target="https://www.sec.gov/Archives/edgar/data/103730/000010373022000044/exhibit10-6.htm" TargetMode="External"/><Relationship Id="rId107" Type="http://schemas.openxmlformats.org/officeDocument/2006/relationships/hyperlink" Target="https://www.sec.gov/Archives/edgar/data/103730/000010373022000044/exhibit10-7.htm" TargetMode="External"/><Relationship Id="rId108" Type="http://schemas.openxmlformats.org/officeDocument/2006/relationships/hyperlink" Target="https://www.sec.gov/Archives/edgar/data/103730/000010373016000113/exhibit10-1.htm" TargetMode="External"/><Relationship Id="rId109" Type="http://schemas.openxmlformats.org/officeDocument/2006/relationships/hyperlink" Target="https://www.sec.gov/Archives/edgar/data/103730/000120677410001484/exhibit10-1.htm" TargetMode="External"/><Relationship Id="rId110" Type="http://schemas.openxmlformats.org/officeDocument/2006/relationships/hyperlink" Target="https://www.sec.gov/Archives/edgar/data/103730/000120677410001484/exhibit10-2.htm" TargetMode="External"/><Relationship Id="rId111" Type="http://schemas.openxmlformats.org/officeDocument/2006/relationships/hyperlink" Target="https://www.sec.gov/Archives/edgar/data/1487952/000120677410001567/exhibit10-1.htm" TargetMode="External"/><Relationship Id="rId112" Type="http://schemas.openxmlformats.org/officeDocument/2006/relationships/hyperlink" Target="https://www.sec.gov/Archives/edgar/data/1487952/000120677410001567/exhibit10-2.htm" TargetMode="External"/><Relationship Id="rId113" Type="http://schemas.openxmlformats.org/officeDocument/2006/relationships/hyperlink" Target="https://www.sec.gov/Archives/edgar/data/1487952/000120677410001567/exhibit10-4.htm" TargetMode="External"/><Relationship Id="rId114" Type="http://schemas.openxmlformats.org/officeDocument/2006/relationships/hyperlink" Target="https://www.sec.gov/Archives/edgar/data/1487952/000120677410001567/exhibit10-6.htm" TargetMode="External"/><Relationship Id="rId115" Type="http://schemas.openxmlformats.org/officeDocument/2006/relationships/hyperlink" Target="https://www.sec.gov/Archives/edgar/data/1487952/000120677410001567/exhibit10-8.htm" TargetMode="External"/><Relationship Id="rId116" Type="http://schemas.openxmlformats.org/officeDocument/2006/relationships/hyperlink" Target="https://www.sec.gov/Archives/edgar/data/1487952/000120677410001567/exhibit10-9.htm" TargetMode="External"/><Relationship Id="rId117" Type="http://schemas.openxmlformats.org/officeDocument/2006/relationships/hyperlink" Target="https://www.sec.gov/Archives/edgar/data/1487952/000120677410001567/exhibit10-10.htm" TargetMode="External"/><Relationship Id="rId118" Type="http://schemas.openxmlformats.org/officeDocument/2006/relationships/hyperlink" Target="https://www.sec.gov/Archives/edgar/data/1487952/000120677410001567/exhibit10-11.htm" TargetMode="External"/><Relationship Id="rId119" Type="http://schemas.openxmlformats.org/officeDocument/2006/relationships/hyperlink" Target="https://www.sec.gov/Archives/edgar/data/1487952/000120677410001567/exhibit10-12.htm" TargetMode="External"/><Relationship Id="rId120" Type="http://schemas.openxmlformats.org/officeDocument/2006/relationships/hyperlink" Target="https://www.sec.gov/Archives/edgar/data/1487952/000120677410001567/exhibit10-13.htm" TargetMode="External"/><Relationship Id="rId121" Type="http://schemas.openxmlformats.org/officeDocument/2006/relationships/hyperlink" Target="https://www.sec.gov/Archives/edgar/data/103730/000010373019000026/exhibit10-1.htm" TargetMode="External"/><Relationship Id="rId122" Type="http://schemas.openxmlformats.org/officeDocument/2006/relationships/hyperlink" Target="https://www.sec.gov/Archives/edgar/data/103730/000010373019000060/exhibit10-1.htm" TargetMode="External"/><Relationship Id="rId123" Type="http://schemas.openxmlformats.org/officeDocument/2006/relationships/hyperlink" Target="https://www.sec.gov/Archives/edgar/data/103730/000010373020000013/exhibit10-45.htm" TargetMode="External"/><Relationship Id="rId124" Type="http://schemas.openxmlformats.org/officeDocument/2006/relationships/hyperlink" Target="https://www.sec.gov/Archives/edgar/data/103730/000010373020000013/exhibit10-48.htm" TargetMode="External"/><Relationship Id="rId125" Type="http://schemas.openxmlformats.org/officeDocument/2006/relationships/hyperlink" Target="https://www.sec.gov/Archives/edgar/data/103730/000010373020000013/exhibit10-50.htm" TargetMode="External"/><Relationship Id="rId126" Type="http://schemas.openxmlformats.org/officeDocument/2006/relationships/hyperlink" Target="https://www.sec.gov/Archives/edgar/data/103730/000010373021000014/exhibit10-44.htm" TargetMode="External"/><Relationship Id="rId127" Type="http://schemas.openxmlformats.org/officeDocument/2006/relationships/hyperlink" Target="https://www.sec.gov/Archives/edgar/data/103730/000010373021000085/0000103730-21-000085-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2023-02-22T06:23:20Z</dcterms:created>
  <dcterms:modified xsi:type="dcterms:W3CDTF">2023-02-22T06:23:20Z</dcterms:modified>
</cp:coreProperties>
</file>