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Times;serif" w:hAnsi="Times New Roman;Times;serif"/>
          <w:b/>
          <w:color w:val="000000"/>
          <w:sz w:val="22"/>
        </w:rPr>
      </w:pPr>
      <w:bookmarkStart w:id="0" w:name="vsh-20260706.htm"/>
      <w:bookmarkStart w:id="1" w:name="ksvsh20260706"/>
      <w:bookmarkEnd w:id="0"/>
      <w:bookmarkEnd w:id="1"/>
      <w:r>
        <w:rPr>
          <w:rFonts w:ascii="Times New Roman;Times;serif" w:hAnsi="Times New Roman;Times;serif"/>
          <w:b/>
          <w:color w:val="000000"/>
          <w:sz w:val="22"/>
        </w:rPr>
        <w:t>UNITED STATES</w:t>
      </w:r>
    </w:p>
    <w:p>
      <w:pPr>
        <w:pStyle w:val="TextBody"/>
        <w:bidi w:val="0"/>
        <w:spacing w:before="0" w:after="0"/>
        <w:jc w:val="center"/>
        <w:rPr>
          <w:rFonts w:ascii="Times New Roman;Times;serif" w:hAnsi="Times New Roman;Times;serif"/>
          <w:b/>
          <w:color w:val="000000"/>
          <w:sz w:val="22"/>
        </w:rPr>
      </w:pPr>
      <w:r>
        <w:rPr>
          <w:rFonts w:ascii="Times New Roman;Times;serif" w:hAnsi="Times New Roman;Times;serif"/>
          <w:b/>
          <w:color w:val="000000"/>
          <w:sz w:val="22"/>
        </w:rPr>
        <w:t>SECURITIES AND EXCHANGE COMMISSION</w:t>
      </w:r>
    </w:p>
    <w:p>
      <w:pPr>
        <w:pStyle w:val="TextBody"/>
        <w:bidi w:val="0"/>
        <w:spacing w:before="0" w:after="0"/>
        <w:jc w:val="center"/>
        <w:rPr>
          <w:rFonts w:ascii="Times New Roman;Times;serif" w:hAnsi="Times New Roman;Times;serif"/>
          <w:b/>
          <w:color w:val="000000"/>
          <w:sz w:val="22"/>
        </w:rPr>
      </w:pPr>
      <w:r>
        <w:rPr>
          <w:rFonts w:ascii="Times New Roman;Times;serif" w:hAnsi="Times New Roman;Times;serif"/>
          <w:b/>
          <w:color w:val="000000"/>
          <w:sz w:val="22"/>
        </w:rPr>
        <w:t>Washington, D.C. 20549</w:t>
      </w:r>
    </w:p>
    <w:p>
      <w:pPr>
        <w:pStyle w:val="TextBody"/>
        <w:bidi w:val="0"/>
        <w:spacing w:before="0" w:after="0"/>
        <w:jc w:val="left"/>
        <w:rPr>
          <w:sz w:val="22"/>
        </w:rPr>
      </w:pPr>
      <w:r>
        <w:rPr>
          <w:sz w:val="22"/>
        </w:rPr>
      </w:r>
    </w:p>
    <w:p>
      <w:pPr>
        <w:pStyle w:val="TextBody"/>
        <w:bidi w:val="0"/>
        <w:spacing w:before="0" w:after="0"/>
        <w:jc w:val="center"/>
        <w:rPr>
          <w:rFonts w:ascii="Times New Roman;Times;serif" w:hAnsi="Times New Roman;Times;serif"/>
          <w:b/>
          <w:color w:val="000000"/>
          <w:sz w:val="22"/>
        </w:rPr>
      </w:pPr>
      <w:r>
        <w:rPr>
          <w:rFonts w:ascii="Times New Roman;Times;serif" w:hAnsi="Times New Roman;Times;serif"/>
          <w:b/>
          <w:color w:val="000000"/>
          <w:sz w:val="22"/>
        </w:rPr>
        <w:t>FORM 8-K</w:t>
      </w:r>
    </w:p>
    <w:p>
      <w:pPr>
        <w:pStyle w:val="TextBody"/>
        <w:bidi w:val="0"/>
        <w:spacing w:before="0" w:after="0"/>
        <w:jc w:val="left"/>
        <w:rPr>
          <w:sz w:val="22"/>
        </w:rPr>
      </w:pPr>
      <w:r>
        <w:rPr>
          <w:sz w:val="22"/>
        </w:rPr>
      </w:r>
    </w:p>
    <w:p>
      <w:pPr>
        <w:pStyle w:val="TextBody"/>
        <w:bidi w:val="0"/>
        <w:spacing w:before="0" w:after="0"/>
        <w:jc w:val="center"/>
        <w:rPr>
          <w:rFonts w:ascii="Times New Roman;Times;serif" w:hAnsi="Times New Roman;Times;serif"/>
          <w:b/>
          <w:color w:val="000000"/>
          <w:sz w:val="22"/>
        </w:rPr>
      </w:pPr>
      <w:r>
        <w:rPr>
          <w:rFonts w:ascii="Times New Roman;Times;serif" w:hAnsi="Times New Roman;Times;serif"/>
          <w:b/>
          <w:color w:val="000000"/>
          <w:sz w:val="22"/>
        </w:rPr>
        <w:t>CURRENT REPORT</w:t>
      </w:r>
    </w:p>
    <w:p>
      <w:pPr>
        <w:pStyle w:val="TextBody"/>
        <w:bidi w:val="0"/>
        <w:spacing w:before="0" w:after="0"/>
        <w:jc w:val="center"/>
        <w:rPr>
          <w:rFonts w:ascii="Times New Roman;Times;serif" w:hAnsi="Times New Roman;Times;serif"/>
          <w:b/>
          <w:color w:val="000000"/>
          <w:sz w:val="22"/>
        </w:rPr>
      </w:pPr>
      <w:r>
        <w:rPr>
          <w:rFonts w:ascii="Times New Roman;Times;serif" w:hAnsi="Times New Roman;Times;serif"/>
          <w:b/>
          <w:color w:val="000000"/>
          <w:sz w:val="22"/>
        </w:rPr>
        <w:t>Pursuant to Section 13 OR 15(d) of the Securities Exchange Act of 1934</w:t>
      </w:r>
    </w:p>
    <w:p>
      <w:pPr>
        <w:pStyle w:val="TextBody"/>
        <w:bidi w:val="0"/>
        <w:spacing w:before="0" w:after="0"/>
        <w:jc w:val="left"/>
        <w:rPr>
          <w:sz w:val="22"/>
        </w:rPr>
      </w:pPr>
      <w:r>
        <w:rPr>
          <w:sz w:val="22"/>
        </w:rPr>
      </w:r>
    </w:p>
    <w:p>
      <w:pPr>
        <w:pStyle w:val="TextBody"/>
        <w:bidi w:val="0"/>
        <w:spacing w:before="0" w:after="0"/>
        <w:jc w:val="left"/>
        <w:rPr>
          <w:sz w:val="22"/>
        </w:rPr>
      </w:pPr>
      <w:r>
        <w:rPr>
          <w:sz w:val="22"/>
        </w:rPr>
      </w:r>
    </w:p>
    <w:tbl>
      <w:tblPr>
        <w:tblW w:w="5825" w:type="dxa"/>
        <w:jc w:val="left"/>
        <w:tblInd w:w="0" w:type="dxa"/>
        <w:tblLayout w:type="fixed"/>
        <w:tblCellMar>
          <w:top w:w="0" w:type="dxa"/>
          <w:left w:w="0" w:type="dxa"/>
          <w:bottom w:w="0" w:type="dxa"/>
          <w:right w:w="0" w:type="dxa"/>
        </w:tblCellMar>
      </w:tblPr>
      <w:tblGrid>
        <w:gridCol w:w="105"/>
        <w:gridCol w:w="5720"/>
      </w:tblGrid>
      <w:tr>
        <w:trPr/>
        <w:tc>
          <w:tcPr>
            <w:tcW w:w="105" w:type="dxa"/>
            <w:tcBorders/>
            <w:vAlign w:val="center"/>
          </w:tcPr>
          <w:p>
            <w:pPr>
              <w:pStyle w:val="TableContents"/>
              <w:bidi w:val="0"/>
              <w:spacing w:before="0" w:after="283"/>
              <w:jc w:val="left"/>
              <w:rPr/>
            </w:pPr>
            <w:r>
              <w:rPr/>
              <w:t> </w:t>
            </w:r>
          </w:p>
        </w:tc>
        <w:tc>
          <w:tcPr>
            <w:tcW w:w="5720" w:type="dxa"/>
            <w:tcBorders/>
            <w:vAlign w:val="center"/>
          </w:tcPr>
          <w:p>
            <w:pPr>
              <w:pStyle w:val="TableContents"/>
              <w:bidi w:val="0"/>
              <w:spacing w:before="0" w:after="283"/>
              <w:jc w:val="left"/>
              <w:rPr/>
            </w:pPr>
            <w:r>
              <w:rPr/>
              <w:t>Date of Report (date of earliest event reported) </w:t>
            </w:r>
            <w:r>
              <w:rPr>
                <w:u w:val="single"/>
              </w:rPr>
              <w:t>July 6, 2026</w:t>
            </w:r>
          </w:p>
        </w:tc>
      </w:tr>
      <w:tr>
        <w:trPr/>
        <w:tc>
          <w:tcPr>
            <w:tcW w:w="105" w:type="dxa"/>
            <w:tcBorders/>
            <w:vAlign w:val="center"/>
          </w:tcPr>
          <w:p>
            <w:pPr>
              <w:pStyle w:val="TableContents"/>
              <w:bidi w:val="0"/>
              <w:spacing w:before="0" w:after="283"/>
              <w:jc w:val="left"/>
              <w:rPr/>
            </w:pPr>
            <w:r>
              <w:rPr/>
              <w:t> </w:t>
            </w:r>
          </w:p>
        </w:tc>
        <w:tc>
          <w:tcPr>
            <w:tcW w:w="5720" w:type="dxa"/>
            <w:tcBorders/>
            <w:vAlign w:val="center"/>
          </w:tcPr>
          <w:p>
            <w:pPr>
              <w:pStyle w:val="TableContents"/>
              <w:bidi w:val="0"/>
              <w:spacing w:before="0" w:after="283"/>
              <w:jc w:val="left"/>
              <w:rPr/>
            </w:pPr>
            <w:r>
              <w:rPr/>
              <w:t> </w:t>
            </w:r>
          </w:p>
        </w:tc>
      </w:tr>
    </w:tbl>
    <w:p>
      <w:pPr>
        <w:pStyle w:val="TextBody"/>
        <w:bidi w:val="0"/>
        <w:spacing w:before="0" w:after="0"/>
        <w:jc w:val="left"/>
        <w:rPr>
          <w:sz w:val="22"/>
        </w:rPr>
      </w:pPr>
      <w:r>
        <w:rPr>
          <w:sz w:val="22"/>
        </w:rPr>
      </w:r>
    </w:p>
    <w:tbl>
      <w:tblPr>
        <w:tblW w:w="5795" w:type="dxa"/>
        <w:jc w:val="left"/>
        <w:tblInd w:w="0" w:type="dxa"/>
        <w:tblLayout w:type="fixed"/>
        <w:tblCellMar>
          <w:top w:w="0" w:type="dxa"/>
          <w:left w:w="0" w:type="dxa"/>
          <w:bottom w:w="0" w:type="dxa"/>
          <w:right w:w="0" w:type="dxa"/>
        </w:tblCellMar>
      </w:tblPr>
      <w:tblGrid>
        <w:gridCol w:w="5795"/>
      </w:tblGrid>
      <w:tr>
        <w:trPr/>
        <w:tc>
          <w:tcPr>
            <w:tcW w:w="5795" w:type="dxa"/>
            <w:tcBorders/>
            <w:vAlign w:val="center"/>
          </w:tcPr>
          <w:p>
            <w:pPr>
              <w:pStyle w:val="TableContents"/>
              <w:bidi w:val="0"/>
              <w:spacing w:before="0" w:after="0"/>
              <w:ind w:left="360" w:right="0" w:hanging="0"/>
              <w:jc w:val="center"/>
              <w:rPr>
                <w:b/>
                <w:sz w:val="46"/>
              </w:rPr>
            </w:pPr>
            <w:r>
              <w:rPr>
                <w:b/>
                <w:sz w:val="46"/>
              </w:rPr>
              <w:t>Vishay Intertechnology, Inc.</w:t>
            </w:r>
          </w:p>
        </w:tc>
      </w:tr>
      <w:tr>
        <w:trPr/>
        <w:tc>
          <w:tcPr>
            <w:tcW w:w="5795" w:type="dxa"/>
            <w:tcBorders/>
            <w:vAlign w:val="center"/>
          </w:tcPr>
          <w:p>
            <w:pPr>
              <w:pStyle w:val="TableContents"/>
              <w:bidi w:val="0"/>
              <w:spacing w:before="0" w:after="283"/>
              <w:jc w:val="left"/>
              <w:rPr/>
            </w:pPr>
            <w:r>
              <w:rPr/>
              <w:t> </w:t>
            </w:r>
          </w:p>
        </w:tc>
      </w:tr>
      <w:tr>
        <w:trPr/>
        <w:tc>
          <w:tcPr>
            <w:tcW w:w="5795" w:type="dxa"/>
            <w:tcBorders/>
            <w:vAlign w:val="center"/>
          </w:tcPr>
          <w:p>
            <w:pPr>
              <w:pStyle w:val="TableContents"/>
              <w:bidi w:val="0"/>
              <w:spacing w:before="0" w:after="0"/>
              <w:ind w:left="360" w:right="0" w:hanging="0"/>
              <w:jc w:val="center"/>
              <w:rPr/>
            </w:pPr>
            <w:r>
              <w:rPr/>
              <w:t>(Exact name of registrant as specified in its charter)</w:t>
            </w:r>
          </w:p>
        </w:tc>
      </w:tr>
    </w:tbl>
    <w:p>
      <w:pPr>
        <w:pStyle w:val="TextBody"/>
        <w:bidi w:val="0"/>
        <w:spacing w:before="0" w:after="0"/>
        <w:jc w:val="left"/>
        <w:rPr>
          <w:sz w:val="22"/>
        </w:rPr>
      </w:pPr>
      <w:r>
        <w:rPr>
          <w:sz w:val="22"/>
        </w:rPr>
      </w:r>
    </w:p>
    <w:p>
      <w:pPr>
        <w:pStyle w:val="TextBody"/>
        <w:bidi w:val="0"/>
        <w:spacing w:before="0" w:after="0"/>
        <w:jc w:val="left"/>
        <w:rPr>
          <w:sz w:val="22"/>
        </w:rPr>
      </w:pPr>
      <w:r>
        <w:rPr>
          <w:sz w:val="22"/>
        </w:rPr>
      </w:r>
    </w:p>
    <w:tbl>
      <w:tblPr>
        <w:tblW w:w="10205" w:type="dxa"/>
        <w:jc w:val="left"/>
        <w:tblInd w:w="0" w:type="dxa"/>
        <w:tblLayout w:type="fixed"/>
        <w:tblCellMar>
          <w:top w:w="0" w:type="dxa"/>
          <w:left w:w="0" w:type="dxa"/>
          <w:bottom w:w="0" w:type="dxa"/>
          <w:right w:w="0" w:type="dxa"/>
        </w:tblCellMar>
      </w:tblPr>
      <w:tblGrid>
        <w:gridCol w:w="3991"/>
        <w:gridCol w:w="2520"/>
        <w:gridCol w:w="3694"/>
      </w:tblGrid>
      <w:tr>
        <w:trPr/>
        <w:tc>
          <w:tcPr>
            <w:tcW w:w="3991" w:type="dxa"/>
            <w:tcBorders/>
            <w:vAlign w:val="center"/>
          </w:tcPr>
          <w:p>
            <w:pPr>
              <w:pStyle w:val="TableContents"/>
              <w:bidi w:val="0"/>
              <w:spacing w:before="0" w:after="0"/>
              <w:ind w:left="360" w:right="0" w:hanging="0"/>
              <w:jc w:val="center"/>
              <w:rPr/>
            </w:pPr>
            <w:r>
              <w:rPr/>
              <w:t>Delaware</w:t>
            </w:r>
          </w:p>
        </w:tc>
        <w:tc>
          <w:tcPr>
            <w:tcW w:w="2520" w:type="dxa"/>
            <w:tcBorders/>
            <w:vAlign w:val="center"/>
          </w:tcPr>
          <w:p>
            <w:pPr>
              <w:pStyle w:val="TableContents"/>
              <w:bidi w:val="0"/>
              <w:spacing w:before="0" w:after="0"/>
              <w:ind w:left="360" w:right="0" w:hanging="0"/>
              <w:jc w:val="center"/>
              <w:rPr/>
            </w:pPr>
            <w:r>
              <w:rPr/>
              <w:t>1-7416</w:t>
            </w:r>
          </w:p>
        </w:tc>
        <w:tc>
          <w:tcPr>
            <w:tcW w:w="3694" w:type="dxa"/>
            <w:tcBorders/>
            <w:vAlign w:val="center"/>
          </w:tcPr>
          <w:p>
            <w:pPr>
              <w:pStyle w:val="TableContents"/>
              <w:bidi w:val="0"/>
              <w:spacing w:before="0" w:after="0"/>
              <w:ind w:left="360" w:right="0" w:hanging="0"/>
              <w:jc w:val="center"/>
              <w:rPr/>
            </w:pPr>
            <w:r>
              <w:rPr/>
              <w:t>38-1686453</w:t>
            </w:r>
          </w:p>
        </w:tc>
      </w:tr>
      <w:tr>
        <w:trPr/>
        <w:tc>
          <w:tcPr>
            <w:tcW w:w="3991" w:type="dxa"/>
            <w:tcBorders/>
            <w:vAlign w:val="center"/>
          </w:tcPr>
          <w:p>
            <w:pPr>
              <w:pStyle w:val="TableContents"/>
              <w:bidi w:val="0"/>
              <w:spacing w:before="0" w:after="0"/>
              <w:ind w:left="360" w:right="0" w:hanging="0"/>
              <w:jc w:val="center"/>
              <w:rPr/>
            </w:pPr>
            <w:r>
              <w:rPr/>
              <w:t>(State or Other Jurisdiction of Incorporation)</w:t>
            </w:r>
          </w:p>
        </w:tc>
        <w:tc>
          <w:tcPr>
            <w:tcW w:w="2520" w:type="dxa"/>
            <w:tcBorders/>
            <w:vAlign w:val="center"/>
          </w:tcPr>
          <w:p>
            <w:pPr>
              <w:pStyle w:val="TableContents"/>
              <w:bidi w:val="0"/>
              <w:spacing w:before="0" w:after="0"/>
              <w:ind w:left="360" w:right="0" w:hanging="0"/>
              <w:jc w:val="center"/>
              <w:rPr/>
            </w:pPr>
            <w:r>
              <w:rPr/>
              <w:t>(Commission File Number)</w:t>
            </w:r>
          </w:p>
        </w:tc>
        <w:tc>
          <w:tcPr>
            <w:tcW w:w="3694" w:type="dxa"/>
            <w:tcBorders/>
            <w:vAlign w:val="center"/>
          </w:tcPr>
          <w:p>
            <w:pPr>
              <w:pStyle w:val="TableContents"/>
              <w:bidi w:val="0"/>
              <w:spacing w:before="0" w:after="0"/>
              <w:ind w:left="360" w:right="0" w:hanging="0"/>
              <w:jc w:val="center"/>
              <w:rPr/>
            </w:pPr>
            <w:r>
              <w:rPr/>
              <w:t>(I.R.S. Employer Identification Number)</w:t>
            </w:r>
          </w:p>
        </w:tc>
      </w:tr>
    </w:tbl>
    <w:p>
      <w:pPr>
        <w:pStyle w:val="TextBody"/>
        <w:bidi w:val="0"/>
        <w:spacing w:before="0" w:after="0"/>
        <w:jc w:val="left"/>
        <w:rPr>
          <w:sz w:val="22"/>
        </w:rPr>
      </w:pPr>
      <w:r>
        <w:rPr>
          <w:sz w:val="22"/>
        </w:rPr>
      </w:r>
    </w:p>
    <w:tbl>
      <w:tblPr>
        <w:tblW w:w="6514" w:type="dxa"/>
        <w:jc w:val="left"/>
        <w:tblInd w:w="0" w:type="dxa"/>
        <w:tblLayout w:type="fixed"/>
        <w:tblCellMar>
          <w:top w:w="0" w:type="dxa"/>
          <w:left w:w="0" w:type="dxa"/>
          <w:bottom w:w="0" w:type="dxa"/>
          <w:right w:w="0" w:type="dxa"/>
        </w:tblCellMar>
      </w:tblPr>
      <w:tblGrid>
        <w:gridCol w:w="4935"/>
        <w:gridCol w:w="1579"/>
      </w:tblGrid>
      <w:tr>
        <w:trPr/>
        <w:tc>
          <w:tcPr>
            <w:tcW w:w="4935" w:type="dxa"/>
            <w:tcBorders/>
            <w:vAlign w:val="center"/>
          </w:tcPr>
          <w:p>
            <w:pPr>
              <w:pStyle w:val="TableContents"/>
              <w:bidi w:val="0"/>
              <w:spacing w:before="0" w:after="283"/>
              <w:jc w:val="left"/>
              <w:rPr/>
            </w:pPr>
            <w:r>
              <w:rPr/>
              <w:t> </w:t>
            </w:r>
          </w:p>
        </w:tc>
        <w:tc>
          <w:tcPr>
            <w:tcW w:w="1579" w:type="dxa"/>
            <w:tcBorders/>
            <w:vAlign w:val="center"/>
          </w:tcPr>
          <w:p>
            <w:pPr>
              <w:pStyle w:val="TableContents"/>
              <w:bidi w:val="0"/>
              <w:spacing w:before="0" w:after="283"/>
              <w:jc w:val="left"/>
              <w:rPr/>
            </w:pPr>
            <w:r>
              <w:rPr/>
              <w:t> </w:t>
            </w:r>
          </w:p>
        </w:tc>
      </w:tr>
      <w:tr>
        <w:trPr/>
        <w:tc>
          <w:tcPr>
            <w:tcW w:w="4935" w:type="dxa"/>
            <w:tcBorders/>
            <w:vAlign w:val="center"/>
          </w:tcPr>
          <w:p>
            <w:pPr>
              <w:pStyle w:val="TableContents"/>
              <w:bidi w:val="0"/>
              <w:spacing w:before="0" w:after="0"/>
              <w:ind w:left="360" w:right="0" w:hanging="0"/>
              <w:jc w:val="center"/>
              <w:rPr/>
            </w:pPr>
            <w:r>
              <w:rPr/>
              <w:t>63 Lancaster Avenue</w:t>
            </w:r>
          </w:p>
          <w:p>
            <w:pPr>
              <w:pStyle w:val="TableContents"/>
              <w:bidi w:val="0"/>
              <w:spacing w:before="0" w:after="0"/>
              <w:jc w:val="center"/>
              <w:rPr/>
            </w:pPr>
            <w:r>
              <w:rPr/>
              <w:t>Malvern, PA</w:t>
            </w:r>
          </w:p>
        </w:tc>
        <w:tc>
          <w:tcPr>
            <w:tcW w:w="1579" w:type="dxa"/>
            <w:tcBorders/>
            <w:vAlign w:val="center"/>
          </w:tcPr>
          <w:p>
            <w:pPr>
              <w:pStyle w:val="TableContents"/>
              <w:bidi w:val="0"/>
              <w:spacing w:before="0" w:after="0"/>
              <w:ind w:left="360" w:right="0" w:hanging="0"/>
              <w:jc w:val="center"/>
              <w:rPr/>
            </w:pPr>
            <w:r>
              <w:rPr/>
              <w:t>19355-2143</w:t>
            </w:r>
          </w:p>
        </w:tc>
      </w:tr>
      <w:tr>
        <w:trPr/>
        <w:tc>
          <w:tcPr>
            <w:tcW w:w="4935" w:type="dxa"/>
            <w:tcBorders/>
            <w:vAlign w:val="center"/>
          </w:tcPr>
          <w:p>
            <w:pPr>
              <w:pStyle w:val="TableContents"/>
              <w:bidi w:val="0"/>
              <w:spacing w:before="0" w:after="0"/>
              <w:ind w:left="360" w:right="0" w:hanging="0"/>
              <w:jc w:val="center"/>
              <w:rPr/>
            </w:pPr>
            <w:r>
              <w:rPr/>
              <w:t>(Address of Principal Executive Offices)</w:t>
            </w:r>
          </w:p>
        </w:tc>
        <w:tc>
          <w:tcPr>
            <w:tcW w:w="1579" w:type="dxa"/>
            <w:tcBorders/>
            <w:vAlign w:val="center"/>
          </w:tcPr>
          <w:p>
            <w:pPr>
              <w:pStyle w:val="TableContents"/>
              <w:bidi w:val="0"/>
              <w:spacing w:before="0" w:after="0"/>
              <w:ind w:left="360" w:right="0" w:hanging="0"/>
              <w:jc w:val="center"/>
              <w:rPr/>
            </w:pPr>
            <w:r>
              <w:rPr/>
              <w:t>Zip Code</w:t>
            </w:r>
          </w:p>
        </w:tc>
      </w:tr>
      <w:tr>
        <w:trPr/>
        <w:tc>
          <w:tcPr>
            <w:tcW w:w="6514" w:type="dxa"/>
            <w:gridSpan w:val="2"/>
            <w:tcBorders/>
            <w:vAlign w:val="center"/>
          </w:tcPr>
          <w:p>
            <w:pPr>
              <w:pStyle w:val="TableContents"/>
              <w:bidi w:val="0"/>
              <w:spacing w:before="0" w:after="283"/>
              <w:jc w:val="left"/>
              <w:rPr/>
            </w:pPr>
            <w:r>
              <w:rPr/>
              <w:t> </w:t>
            </w:r>
          </w:p>
        </w:tc>
      </w:tr>
      <w:tr>
        <w:trPr/>
        <w:tc>
          <w:tcPr>
            <w:tcW w:w="6514" w:type="dxa"/>
            <w:gridSpan w:val="2"/>
            <w:tcBorders/>
            <w:vAlign w:val="center"/>
          </w:tcPr>
          <w:p>
            <w:pPr>
              <w:pStyle w:val="TableContents"/>
              <w:bidi w:val="0"/>
              <w:spacing w:before="0" w:after="0"/>
              <w:ind w:left="360" w:right="0" w:hanging="0"/>
              <w:jc w:val="left"/>
              <w:rPr/>
            </w:pPr>
            <w:r>
              <w:rPr/>
              <w:t>Registrant's telephone number, including area code    610-644-1300</w:t>
            </w:r>
          </w:p>
        </w:tc>
      </w:tr>
    </w:tbl>
    <w:p>
      <w:pPr>
        <w:pStyle w:val="TextBody"/>
        <w:bidi w:val="0"/>
        <w:spacing w:before="0" w:after="0"/>
        <w:jc w:val="left"/>
        <w:rPr>
          <w:sz w:val="22"/>
        </w:rPr>
      </w:pPr>
      <w:r>
        <w:rPr>
          <w:sz w:val="22"/>
        </w:rPr>
      </w:r>
    </w:p>
    <w:tbl>
      <w:tblPr>
        <w:tblW w:w="5930" w:type="dxa"/>
        <w:jc w:val="left"/>
        <w:tblInd w:w="0" w:type="dxa"/>
        <w:tblLayout w:type="fixed"/>
        <w:tblCellMar>
          <w:top w:w="0" w:type="dxa"/>
          <w:left w:w="0" w:type="dxa"/>
          <w:bottom w:w="0" w:type="dxa"/>
          <w:right w:w="0" w:type="dxa"/>
        </w:tblCellMar>
      </w:tblPr>
      <w:tblGrid>
        <w:gridCol w:w="5930"/>
      </w:tblGrid>
      <w:tr>
        <w:trPr/>
        <w:tc>
          <w:tcPr>
            <w:tcW w:w="5930" w:type="dxa"/>
            <w:tcBorders/>
            <w:vAlign w:val="center"/>
          </w:tcPr>
          <w:p>
            <w:pPr>
              <w:pStyle w:val="TableContents"/>
              <w:bidi w:val="0"/>
              <w:spacing w:before="0" w:after="283"/>
              <w:jc w:val="left"/>
              <w:rPr/>
            </w:pPr>
            <w:r>
              <w:rPr/>
              <w:t> </w:t>
            </w:r>
          </w:p>
        </w:tc>
      </w:tr>
      <w:tr>
        <w:trPr/>
        <w:tc>
          <w:tcPr>
            <w:tcW w:w="5930" w:type="dxa"/>
            <w:tcBorders/>
            <w:vAlign w:val="center"/>
          </w:tcPr>
          <w:p>
            <w:pPr>
              <w:pStyle w:val="TableContents"/>
              <w:bidi w:val="0"/>
              <w:spacing w:before="0" w:after="0"/>
              <w:ind w:left="360" w:right="0" w:hanging="0"/>
              <w:jc w:val="center"/>
              <w:rPr/>
            </w:pPr>
            <w:r>
              <w:rPr/>
              <w:t>(Former name or former address, if changed since last report.)</w:t>
            </w:r>
          </w:p>
        </w:tc>
      </w:tr>
    </w:tbl>
    <w:p>
      <w:pPr>
        <w:pStyle w:val="TextBody"/>
        <w:bidi w:val="0"/>
        <w:spacing w:before="0" w:after="0"/>
        <w:jc w:val="left"/>
        <w:rPr>
          <w:sz w:val="22"/>
        </w:rPr>
      </w:pPr>
      <w:r>
        <w:rPr>
          <w:sz w:val="22"/>
        </w:rPr>
      </w:r>
    </w:p>
    <w:p>
      <w:pPr>
        <w:pStyle w:val="TextBody"/>
        <w:bidi w:val="0"/>
        <w:spacing w:before="40" w:after="40"/>
        <w:ind w:left="360" w:right="1062" w:hanging="0"/>
        <w:jc w:val="left"/>
        <w:rPr>
          <w:rFonts w:ascii="Times New Roman;Times;serif" w:hAnsi="Times New Roman;Times;serif"/>
          <w:color w:val="000000"/>
          <w:sz w:val="22"/>
        </w:rPr>
      </w:pPr>
      <w:r>
        <w:rPr>
          <w:rFonts w:ascii="Times New Roman;Times;serif" w:hAnsi="Times New Roman;Times;serif"/>
          <w:color w:val="000000"/>
          <w:sz w:val="22"/>
        </w:rPr>
        <w:t>Check the appropriate box below if the Form 8-K filing is intended to simultaneously satisfy the filing obligation of the registrant under any of the following provisions:</w:t>
      </w:r>
    </w:p>
    <w:p>
      <w:pPr>
        <w:pStyle w:val="TextBody"/>
        <w:bidi w:val="0"/>
        <w:spacing w:before="40" w:after="40"/>
        <w:jc w:val="left"/>
        <w:rPr>
          <w:sz w:val="22"/>
        </w:rPr>
      </w:pPr>
      <w:r>
        <w:rPr>
          <w:sz w:val="22"/>
        </w:rPr>
      </w:r>
    </w:p>
    <w:tbl>
      <w:tblPr>
        <w:tblW w:w="10205" w:type="dxa"/>
        <w:jc w:val="left"/>
        <w:tblInd w:w="0" w:type="dxa"/>
        <w:tblLayout w:type="fixed"/>
        <w:tblCellMar>
          <w:top w:w="0" w:type="dxa"/>
          <w:left w:w="0" w:type="dxa"/>
          <w:bottom w:w="0" w:type="dxa"/>
          <w:right w:w="0" w:type="dxa"/>
        </w:tblCellMar>
      </w:tblPr>
      <w:tblGrid>
        <w:gridCol w:w="1337"/>
        <w:gridCol w:w="8868"/>
      </w:tblGrid>
      <w:tr>
        <w:trPr/>
        <w:tc>
          <w:tcPr>
            <w:tcW w:w="1337" w:type="dxa"/>
            <w:tcBorders/>
            <w:vAlign w:val="center"/>
          </w:tcPr>
          <w:p>
            <w:pPr>
              <w:pStyle w:val="TableContents"/>
              <w:bidi w:val="0"/>
              <w:spacing w:before="0" w:after="0"/>
              <w:ind w:left="252" w:right="1062" w:hanging="0"/>
              <w:jc w:val="left"/>
              <w:rPr/>
            </w:pPr>
            <w:r>
              <w:rPr/>
              <w:t>☐</w:t>
            </w:r>
          </w:p>
        </w:tc>
        <w:tc>
          <w:tcPr>
            <w:tcW w:w="8868" w:type="dxa"/>
            <w:tcBorders/>
            <w:vAlign w:val="center"/>
          </w:tcPr>
          <w:p>
            <w:pPr>
              <w:pStyle w:val="TableContents"/>
              <w:bidi w:val="0"/>
              <w:spacing w:before="0" w:after="0"/>
              <w:ind w:left="252" w:right="1062" w:hanging="108"/>
              <w:jc w:val="left"/>
              <w:rPr/>
            </w:pPr>
            <w:r>
              <w:rPr/>
              <w:t> </w:t>
            </w:r>
            <w:r>
              <w:rPr/>
              <w:t>Written communications pursuant to Rule 425 under the Securities Act (17 CFR 230.425)</w:t>
            </w:r>
          </w:p>
        </w:tc>
      </w:tr>
      <w:tr>
        <w:trPr/>
        <w:tc>
          <w:tcPr>
            <w:tcW w:w="1337" w:type="dxa"/>
            <w:tcBorders/>
            <w:vAlign w:val="center"/>
          </w:tcPr>
          <w:p>
            <w:pPr>
              <w:pStyle w:val="TableContents"/>
              <w:bidi w:val="0"/>
              <w:spacing w:before="0" w:after="0"/>
              <w:ind w:left="252" w:right="1062" w:hanging="0"/>
              <w:jc w:val="left"/>
              <w:rPr/>
            </w:pPr>
            <w:r>
              <w:rPr/>
              <w:t>☐</w:t>
            </w:r>
          </w:p>
        </w:tc>
        <w:tc>
          <w:tcPr>
            <w:tcW w:w="8868" w:type="dxa"/>
            <w:tcBorders/>
            <w:vAlign w:val="center"/>
          </w:tcPr>
          <w:p>
            <w:pPr>
              <w:pStyle w:val="TableContents"/>
              <w:bidi w:val="0"/>
              <w:spacing w:before="0" w:after="0"/>
              <w:ind w:left="252" w:right="1062" w:hanging="108"/>
              <w:jc w:val="left"/>
              <w:rPr/>
            </w:pPr>
            <w:r>
              <w:rPr/>
              <w:t> </w:t>
            </w:r>
            <w:r>
              <w:rPr/>
              <w:t>Soliciting material pursuant to Rule 14a-12 under the Exchange Act (17 CFR 240.14a-12)</w:t>
            </w:r>
          </w:p>
        </w:tc>
      </w:tr>
      <w:tr>
        <w:trPr/>
        <w:tc>
          <w:tcPr>
            <w:tcW w:w="1337" w:type="dxa"/>
            <w:tcBorders/>
            <w:vAlign w:val="center"/>
          </w:tcPr>
          <w:p>
            <w:pPr>
              <w:pStyle w:val="TableContents"/>
              <w:bidi w:val="0"/>
              <w:spacing w:before="0" w:after="0"/>
              <w:ind w:left="252" w:right="1062" w:hanging="0"/>
              <w:jc w:val="left"/>
              <w:rPr/>
            </w:pPr>
            <w:r>
              <w:rPr/>
              <w:t>☐</w:t>
            </w:r>
          </w:p>
        </w:tc>
        <w:tc>
          <w:tcPr>
            <w:tcW w:w="8868" w:type="dxa"/>
            <w:tcBorders/>
            <w:vAlign w:val="center"/>
          </w:tcPr>
          <w:p>
            <w:pPr>
              <w:pStyle w:val="TableContents"/>
              <w:bidi w:val="0"/>
              <w:spacing w:before="0" w:after="0"/>
              <w:ind w:left="252" w:right="1062" w:hanging="108"/>
              <w:jc w:val="left"/>
              <w:rPr/>
            </w:pPr>
            <w:r>
              <w:rPr/>
              <w:t> </w:t>
            </w:r>
            <w:r>
              <w:rPr/>
              <w:t>Pre-commencement communications pursuant to Rule 14d-2(b) under the Exchange Act (17 CFR 240.14d-2(b))</w:t>
            </w:r>
          </w:p>
        </w:tc>
      </w:tr>
      <w:tr>
        <w:trPr/>
        <w:tc>
          <w:tcPr>
            <w:tcW w:w="1337" w:type="dxa"/>
            <w:tcBorders/>
            <w:vAlign w:val="center"/>
          </w:tcPr>
          <w:p>
            <w:pPr>
              <w:pStyle w:val="TableContents"/>
              <w:bidi w:val="0"/>
              <w:spacing w:before="0" w:after="0"/>
              <w:ind w:left="252" w:right="1062" w:hanging="0"/>
              <w:jc w:val="left"/>
              <w:rPr/>
            </w:pPr>
            <w:r>
              <w:rPr/>
              <w:t>☐</w:t>
            </w:r>
          </w:p>
        </w:tc>
        <w:tc>
          <w:tcPr>
            <w:tcW w:w="8868" w:type="dxa"/>
            <w:tcBorders/>
            <w:vAlign w:val="center"/>
          </w:tcPr>
          <w:p>
            <w:pPr>
              <w:pStyle w:val="TableContents"/>
              <w:bidi w:val="0"/>
              <w:spacing w:before="0" w:after="0"/>
              <w:ind w:left="252" w:right="1062" w:hanging="108"/>
              <w:jc w:val="left"/>
              <w:rPr/>
            </w:pPr>
            <w:r>
              <w:rPr/>
              <w:t> </w:t>
            </w:r>
            <w:r>
              <w:rPr/>
              <w:t>Pre-commencement communications pursuant to Rule 13e-4(c) under the Exchange Act (17 CFR 240.13e-4(c))</w:t>
            </w:r>
          </w:p>
        </w:tc>
      </w:tr>
    </w:tbl>
    <w:p>
      <w:pPr>
        <w:pStyle w:val="TextBody"/>
        <w:bidi w:val="0"/>
        <w:spacing w:before="40" w:after="40"/>
        <w:jc w:val="left"/>
        <w:rPr>
          <w:sz w:val="22"/>
        </w:rPr>
      </w:pPr>
      <w:r>
        <w:rPr>
          <w:sz w:val="22"/>
        </w:rPr>
      </w:r>
    </w:p>
    <w:p>
      <w:pPr>
        <w:pStyle w:val="TextBody"/>
        <w:bidi w:val="0"/>
        <w:spacing w:before="0" w:after="0"/>
        <w:jc w:val="both"/>
        <w:rPr>
          <w:rFonts w:ascii="Times New Roman;Times;serif" w:hAnsi="Times New Roman;Times;serif"/>
          <w:color w:val="000000"/>
          <w:sz w:val="22"/>
        </w:rPr>
      </w:pPr>
      <w:r>
        <w:rPr>
          <w:rFonts w:ascii="Times New Roman;Times;serif" w:hAnsi="Times New Roman;Times;serif"/>
          <w:color w:val="000000"/>
          <w:sz w:val="22"/>
        </w:rPr>
        <w:t>Indicate by check mark whether the registrant is an emerging growth company as defined in Rule 405 of the Securities Act of 1933 (§230.405 of this chapter) or Rule 12b-2 of the Securities Exchange Act of 1934 (§240.12b-2 of this chapter).</w:t>
      </w:r>
    </w:p>
    <w:tbl>
      <w:tblPr>
        <w:tblW w:w="3055" w:type="dxa"/>
        <w:jc w:val="left"/>
        <w:tblInd w:w="0" w:type="dxa"/>
        <w:tblLayout w:type="fixed"/>
        <w:tblCellMar>
          <w:top w:w="0" w:type="dxa"/>
          <w:left w:w="0" w:type="dxa"/>
          <w:bottom w:w="0" w:type="dxa"/>
          <w:right w:w="0" w:type="dxa"/>
        </w:tblCellMar>
      </w:tblPr>
      <w:tblGrid>
        <w:gridCol w:w="105"/>
        <w:gridCol w:w="2645"/>
        <w:gridCol w:w="305"/>
      </w:tblGrid>
      <w:tr>
        <w:trPr/>
        <w:tc>
          <w:tcPr>
            <w:tcW w:w="105" w:type="dxa"/>
            <w:tcBorders/>
            <w:vAlign w:val="center"/>
          </w:tcPr>
          <w:p>
            <w:pPr>
              <w:pStyle w:val="TableContents"/>
              <w:bidi w:val="0"/>
              <w:spacing w:before="0" w:after="0"/>
              <w:jc w:val="left"/>
              <w:rPr/>
            </w:pPr>
            <w:r>
              <w:rPr/>
              <w:t> </w:t>
            </w:r>
          </w:p>
        </w:tc>
        <w:tc>
          <w:tcPr>
            <w:tcW w:w="2645" w:type="dxa"/>
            <w:tcBorders/>
            <w:vAlign w:val="center"/>
          </w:tcPr>
          <w:p>
            <w:pPr>
              <w:pStyle w:val="TableContents"/>
              <w:bidi w:val="0"/>
              <w:spacing w:before="0" w:after="0"/>
              <w:jc w:val="right"/>
              <w:rPr/>
            </w:pPr>
            <w:r>
              <w:rPr/>
              <w:t>Emerging growth company</w:t>
            </w:r>
          </w:p>
        </w:tc>
        <w:tc>
          <w:tcPr>
            <w:tcW w:w="305" w:type="dxa"/>
            <w:tcBorders/>
            <w:vAlign w:val="center"/>
          </w:tcPr>
          <w:p>
            <w:pPr>
              <w:pStyle w:val="TableContents"/>
              <w:bidi w:val="0"/>
              <w:spacing w:before="0" w:after="0"/>
              <w:jc w:val="center"/>
              <w:rPr/>
            </w:pPr>
            <w:r>
              <w:rPr/>
              <w:t>☐</w:t>
            </w:r>
          </w:p>
        </w:tc>
      </w:tr>
    </w:tbl>
    <w:p>
      <w:pPr>
        <w:pStyle w:val="TextBody"/>
        <w:bidi w:val="0"/>
        <w:spacing w:before="0" w:after="0"/>
        <w:jc w:val="left"/>
        <w:rPr>
          <w:color w:val="000000"/>
        </w:rPr>
      </w:pPr>
      <w:r>
        <w:rPr>
          <w:color w:val="000000"/>
        </w:rPr>
        <w:t> </w:t>
      </w:r>
    </w:p>
    <w:p>
      <w:pPr>
        <w:pStyle w:val="TextBody"/>
        <w:bidi w:val="0"/>
        <w:spacing w:before="0" w:after="0"/>
        <w:jc w:val="both"/>
        <w:rPr>
          <w:rFonts w:ascii="Times New Roman;Times;serif" w:hAnsi="Times New Roman;Times;serif"/>
          <w:color w:val="000000"/>
          <w:sz w:val="22"/>
        </w:rPr>
      </w:pPr>
      <w:r>
        <w:rPr>
          <w:rFonts w:ascii="Times New Roman;Times;serif" w:hAnsi="Times New Roman;Times;serif"/>
          <w:color w:val="000000"/>
          <w:sz w:val="22"/>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both"/>
        <w:rPr>
          <w:rFonts w:ascii="Segoe UI Symbol;sans-serif" w:hAnsi="Segoe UI Symbol;sans-serif"/>
          <w:sz w:val="22"/>
        </w:rPr>
      </w:pPr>
      <w:r>
        <w:rPr>
          <w:rFonts w:ascii="Segoe UI Symbol;sans-serif" w:hAnsi="Segoe UI Symbol;sans-serif"/>
          <w:sz w:val="22"/>
        </w:rPr>
      </w:r>
    </w:p>
    <w:p>
      <w:pPr>
        <w:pStyle w:val="TextBody"/>
        <w:bidi w:val="0"/>
        <w:spacing w:before="0" w:after="0"/>
        <w:jc w:val="left"/>
        <w:rPr>
          <w:rFonts w:ascii="Times New Roman;Times;serif" w:hAnsi="Times New Roman;Times;serif"/>
          <w:color w:val="000000"/>
          <w:sz w:val="22"/>
        </w:rPr>
      </w:pPr>
      <w:r>
        <w:rPr>
          <w:rFonts w:ascii="Times New Roman;Times;serif" w:hAnsi="Times New Roman;Times;serif"/>
          <w:color w:val="000000"/>
          <w:sz w:val="22"/>
        </w:rPr>
        <w:t>Securities registered pursuant to Section 12(b) of the Act:</w:t>
      </w:r>
    </w:p>
    <w:p>
      <w:pPr>
        <w:pStyle w:val="TextBody"/>
        <w:bidi w:val="0"/>
        <w:spacing w:before="0" w:after="0"/>
        <w:jc w:val="left"/>
        <w:rPr/>
      </w:pPr>
      <w:r>
        <w:rPr/>
      </w:r>
    </w:p>
    <w:tbl>
      <w:tblPr>
        <w:tblW w:w="9330" w:type="dxa"/>
        <w:jc w:val="left"/>
        <w:tblInd w:w="0" w:type="dxa"/>
        <w:tblLayout w:type="fixed"/>
        <w:tblCellMar>
          <w:top w:w="0" w:type="dxa"/>
          <w:left w:w="0" w:type="dxa"/>
          <w:bottom w:w="0" w:type="dxa"/>
          <w:right w:w="0" w:type="dxa"/>
        </w:tblCellMar>
      </w:tblPr>
      <w:tblGrid>
        <w:gridCol w:w="3995"/>
        <w:gridCol w:w="1550"/>
        <w:gridCol w:w="3785"/>
      </w:tblGrid>
      <w:tr>
        <w:trPr/>
        <w:tc>
          <w:tcPr>
            <w:tcW w:w="3995" w:type="dxa"/>
            <w:tcBorders/>
            <w:vAlign w:val="center"/>
          </w:tcPr>
          <w:p>
            <w:pPr>
              <w:pStyle w:val="TableContents"/>
              <w:bidi w:val="0"/>
              <w:spacing w:before="0" w:after="0"/>
              <w:jc w:val="center"/>
              <w:rPr/>
            </w:pPr>
            <w:r>
              <w:rPr/>
              <w:t>Title of each class</w:t>
            </w:r>
          </w:p>
        </w:tc>
        <w:tc>
          <w:tcPr>
            <w:tcW w:w="1550" w:type="dxa"/>
            <w:tcBorders/>
            <w:vAlign w:val="center"/>
          </w:tcPr>
          <w:p>
            <w:pPr>
              <w:pStyle w:val="TableContents"/>
              <w:bidi w:val="0"/>
              <w:spacing w:before="0" w:after="0"/>
              <w:jc w:val="center"/>
              <w:rPr/>
            </w:pPr>
            <w:r>
              <w:rPr/>
              <w:t>Trading symbol</w:t>
            </w:r>
          </w:p>
        </w:tc>
        <w:tc>
          <w:tcPr>
            <w:tcW w:w="3785" w:type="dxa"/>
            <w:tcBorders/>
            <w:vAlign w:val="center"/>
          </w:tcPr>
          <w:p>
            <w:pPr>
              <w:pStyle w:val="TableContents"/>
              <w:bidi w:val="0"/>
              <w:spacing w:before="0" w:after="0"/>
              <w:jc w:val="center"/>
              <w:rPr/>
            </w:pPr>
            <w:r>
              <w:rPr/>
              <w:t>Name of exchange on which registered</w:t>
            </w:r>
          </w:p>
        </w:tc>
      </w:tr>
      <w:tr>
        <w:trPr/>
        <w:tc>
          <w:tcPr>
            <w:tcW w:w="3995" w:type="dxa"/>
            <w:tcBorders>
              <w:top w:val="single" w:sz="2" w:space="0" w:color="000000"/>
              <w:left w:val="single" w:sz="2" w:space="0" w:color="000000"/>
              <w:bottom w:val="single" w:sz="2" w:space="0" w:color="000000"/>
            </w:tcBorders>
            <w:tcMar>
              <w:top w:w="28" w:type="dxa"/>
              <w:left w:w="28" w:type="dxa"/>
              <w:bottom w:w="28" w:type="dxa"/>
            </w:tcMar>
            <w:vAlign w:val="center"/>
          </w:tcPr>
          <w:p>
            <w:pPr>
              <w:pStyle w:val="TableContents"/>
              <w:bidi w:val="0"/>
              <w:spacing w:before="0" w:after="0"/>
              <w:jc w:val="center"/>
              <w:rPr/>
            </w:pPr>
            <w:r>
              <w:rPr/>
              <w:t>Common stock, par value $0.10 per share</w:t>
            </w:r>
          </w:p>
        </w:tc>
        <w:tc>
          <w:tcPr>
            <w:tcW w:w="1550" w:type="dxa"/>
            <w:tcBorders/>
            <w:vAlign w:val="center"/>
          </w:tcPr>
          <w:p>
            <w:pPr>
              <w:pStyle w:val="TableContents"/>
              <w:bidi w:val="0"/>
              <w:spacing w:before="0" w:after="0"/>
              <w:jc w:val="center"/>
              <w:rPr/>
            </w:pPr>
            <w:r>
              <w:rPr/>
              <w:t xml:space="preserve">VSH </w:t>
            </w:r>
          </w:p>
        </w:tc>
        <w:tc>
          <w:tcPr>
            <w:tcW w:w="378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jc w:val="center"/>
              <w:rPr>
                <w:sz w:val="22"/>
              </w:rPr>
            </w:pPr>
            <w:r>
              <w:rPr>
                <w:sz w:val="22"/>
              </w:rPr>
              <w:t>New York Stock Exchange</w:t>
            </w:r>
          </w:p>
        </w:tc>
      </w:tr>
    </w:tbl>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color w:val="000000"/>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color w:val="000000"/>
          <w:sz w:val="15"/>
          <w:u w:val="none"/>
          <w:effect w:val="none"/>
        </w:rPr>
        <w:t>1</w:t>
      </w:r>
    </w:p>
    <w:p>
      <w:pPr>
        <w:pStyle w:val="HorizontalLine"/>
        <w:bidi w:val="0"/>
        <w:spacing w:before="0" w:after="0"/>
        <w:jc w:val="left"/>
        <w:rPr/>
      </w:pPr>
      <w:r>
        <w:rPr/>
      </w:r>
    </w:p>
    <w:p>
      <w:pPr>
        <w:pStyle w:val="TextBody"/>
        <w:bidi w:val="0"/>
        <w:spacing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p>
      <w:pPr>
        <w:pStyle w:val="TextBody"/>
        <w:bidi w:val="0"/>
        <w:spacing w:before="0" w:after="0"/>
        <w:jc w:val="both"/>
        <w:rPr>
          <w:rFonts w:ascii="Times New Roman;Times;serif" w:hAnsi="Times New Roman;Times;serif"/>
          <w:b w:val="false"/>
          <w:sz w:val="24"/>
        </w:rPr>
      </w:pPr>
      <w:r>
        <w:rPr>
          <w:rFonts w:ascii="Times New Roman;Times;serif" w:hAnsi="Times New Roman;Times;serif"/>
          <w:b w:val="false"/>
          <w:sz w:val="24"/>
        </w:rPr>
      </w:r>
    </w:p>
    <w:p>
      <w:pPr>
        <w:pStyle w:val="TextBody"/>
        <w:bidi w:val="0"/>
        <w:spacing w:before="60" w:after="60"/>
        <w:jc w:val="both"/>
        <w:rPr>
          <w:rFonts w:ascii="Times New Roman;Times;serif" w:hAnsi="Times New Roman;Times;serif"/>
          <w:b/>
          <w:color w:val="000000"/>
          <w:sz w:val="22"/>
        </w:rPr>
      </w:pPr>
      <w:r>
        <w:rPr>
          <w:rFonts w:ascii="Times New Roman;Times;serif" w:hAnsi="Times New Roman;Times;serif"/>
          <w:b/>
          <w:color w:val="000000"/>
          <w:sz w:val="22"/>
        </w:rPr>
        <w:t>Item 8.01 – Other Events</w:t>
      </w:r>
    </w:p>
    <w:p>
      <w:pPr>
        <w:pStyle w:val="TextBody"/>
        <w:bidi w:val="0"/>
        <w:spacing w:before="60" w:after="60"/>
        <w:jc w:val="both"/>
        <w:rPr/>
      </w:pPr>
      <w:r>
        <w:rPr/>
      </w:r>
    </w:p>
    <w:p>
      <w:pPr>
        <w:pStyle w:val="TextBody"/>
        <w:bidi w:val="0"/>
        <w:spacing w:before="60" w:after="60"/>
        <w:jc w:val="both"/>
        <w:rPr>
          <w:rFonts w:ascii="Times New Roman;Times;serif" w:hAnsi="Times New Roman;Times;serif"/>
          <w:b w:val="false"/>
          <w:color w:val="000000"/>
          <w:sz w:val="22"/>
        </w:rPr>
      </w:pPr>
      <w:r>
        <w:rPr>
          <w:rFonts w:ascii="Times New Roman;Times;serif" w:hAnsi="Times New Roman;Times;serif"/>
          <w:b w:val="false"/>
          <w:color w:val="000000"/>
          <w:sz w:val="22"/>
        </w:rPr>
        <w:t>On July 6, 2026, Vishay Intertechnology, Inc. (the "Company") announced that it had notified the holders of its 2.25% convertible senior notes due 2030 (the "Notes") that the Notes have become convertible, at the option of the holders during the calendar quarter ending October 3, 2026.  The Notes are convertible into cash, up to the aggregate principal amount of the Notes, and in cash, shares of the Company's common stock or a combination thereof, at the Company's election, in respect of the remainder, if any, of the Company's conversion obligation in excess of the aggregate principal amount of the Notes being converted.</w:t>
      </w:r>
    </w:p>
    <w:p>
      <w:pPr>
        <w:pStyle w:val="TextBody"/>
        <w:bidi w:val="0"/>
        <w:spacing w:before="60" w:after="60"/>
        <w:jc w:val="both"/>
        <w:rPr>
          <w:color w:val="000000"/>
        </w:rPr>
      </w:pPr>
      <w:r>
        <w:rPr>
          <w:color w:val="000000"/>
        </w:rPr>
        <w:t> </w:t>
      </w:r>
    </w:p>
    <w:p>
      <w:pPr>
        <w:pStyle w:val="TextBody"/>
        <w:bidi w:val="0"/>
        <w:spacing w:before="60" w:after="60"/>
        <w:jc w:val="both"/>
        <w:rPr>
          <w:rFonts w:ascii="Times New Roman;Times;serif" w:hAnsi="Times New Roman;Times;serif"/>
          <w:b w:val="false"/>
          <w:color w:val="000000"/>
          <w:sz w:val="22"/>
        </w:rPr>
      </w:pPr>
      <w:r>
        <w:rPr>
          <w:rFonts w:ascii="Times New Roman;Times;serif" w:hAnsi="Times New Roman;Times;serif"/>
          <w:b w:val="false"/>
          <w:color w:val="000000"/>
          <w:sz w:val="22"/>
        </w:rPr>
        <w:t>A copy of the Company's press release, dated July 6, 2026, is attached hereto as Exhibit 99.1 and is incorporated by reference into this Item 8.01.  A copy of the notice provided to the holders of the Notes in accordance with the terms of the indenture governing the Notes is attached hereto as Exhibit 99.2 and is incorporated by reference into this Item 8.01.</w:t>
      </w:r>
    </w:p>
    <w:p>
      <w:pPr>
        <w:pStyle w:val="TextBody"/>
        <w:bidi w:val="0"/>
        <w:spacing w:before="60" w:after="60"/>
        <w:jc w:val="both"/>
        <w:rPr/>
      </w:pPr>
      <w:r>
        <w:rPr/>
      </w:r>
    </w:p>
    <w:p>
      <w:pPr>
        <w:pStyle w:val="TextBody"/>
        <w:bidi w:val="0"/>
        <w:spacing w:before="60" w:after="60"/>
        <w:jc w:val="both"/>
        <w:rPr>
          <w:rFonts w:ascii="Times New Roman;Times;serif" w:hAnsi="Times New Roman;Times;serif"/>
          <w:b/>
          <w:color w:val="000000"/>
          <w:sz w:val="22"/>
        </w:rPr>
      </w:pPr>
      <w:r>
        <w:rPr>
          <w:rFonts w:ascii="Times New Roman;Times;serif" w:hAnsi="Times New Roman;Times;serif"/>
          <w:b/>
          <w:color w:val="000000"/>
          <w:sz w:val="22"/>
        </w:rPr>
        <w:t>Item 9.01 – Financial Statements and Exhibits</w:t>
      </w:r>
    </w:p>
    <w:p>
      <w:pPr>
        <w:pStyle w:val="TextBody"/>
        <w:bidi w:val="0"/>
        <w:spacing w:before="0" w:after="0"/>
        <w:jc w:val="both"/>
        <w:rPr>
          <w:color w:val="000000"/>
        </w:rPr>
      </w:pPr>
      <w:r>
        <w:rPr>
          <w:color w:val="000000"/>
        </w:rPr>
        <w:t> </w:t>
      </w:r>
    </w:p>
    <w:p>
      <w:pPr>
        <w:pStyle w:val="TextBody"/>
        <w:bidi w:val="0"/>
        <w:spacing w:before="60" w:after="283"/>
        <w:jc w:val="both"/>
        <w:rPr>
          <w:rFonts w:ascii="Times New Roman;Times;serif" w:hAnsi="Times New Roman;Times;serif"/>
          <w:b/>
          <w:color w:val="000000"/>
          <w:sz w:val="22"/>
        </w:rPr>
      </w:pPr>
      <w:r>
        <w:rPr>
          <w:rFonts w:ascii="Times New Roman;Times;serif" w:hAnsi="Times New Roman;Times;serif"/>
          <w:b/>
          <w:color w:val="000000"/>
          <w:sz w:val="22"/>
        </w:rPr>
        <w:t>(d) Exhibits</w:t>
      </w:r>
    </w:p>
    <w:p>
      <w:pPr>
        <w:pStyle w:val="TextBody"/>
        <w:bidi w:val="0"/>
        <w:spacing w:before="60" w:after="283"/>
        <w:jc w:val="left"/>
        <w:rPr>
          <w:rFonts w:ascii="Times New Roman;Times;serif" w:hAnsi="Times New Roman;Times;serif"/>
          <w:sz w:val="24"/>
        </w:rPr>
      </w:pPr>
      <w:r>
        <w:rPr>
          <w:rFonts w:ascii="Times New Roman;Times;serif" w:hAnsi="Times New Roman;Times;serif"/>
          <w:sz w:val="24"/>
        </w:rPr>
      </w:r>
    </w:p>
    <w:tbl>
      <w:tblPr>
        <w:tblW w:w="10205" w:type="dxa"/>
        <w:jc w:val="left"/>
        <w:tblInd w:w="0" w:type="dxa"/>
        <w:tblLayout w:type="fixed"/>
        <w:tblCellMar>
          <w:top w:w="0" w:type="dxa"/>
          <w:left w:w="0" w:type="dxa"/>
          <w:bottom w:w="28" w:type="dxa"/>
          <w:right w:w="0" w:type="dxa"/>
        </w:tblCellMar>
      </w:tblPr>
      <w:tblGrid>
        <w:gridCol w:w="194"/>
        <w:gridCol w:w="875"/>
        <w:gridCol w:w="90"/>
        <w:gridCol w:w="9046"/>
      </w:tblGrid>
      <w:tr>
        <w:trPr/>
        <w:tc>
          <w:tcPr>
            <w:tcW w:w="1069" w:type="dxa"/>
            <w:gridSpan w:val="2"/>
            <w:tcBorders>
              <w:bottom w:val="single" w:sz="12" w:space="0" w:color="000000"/>
            </w:tcBorders>
            <w:vAlign w:val="center"/>
          </w:tcPr>
          <w:p>
            <w:pPr>
              <w:pStyle w:val="TableContents"/>
              <w:bidi w:val="0"/>
              <w:spacing w:before="0" w:after="283"/>
              <w:jc w:val="both"/>
              <w:rPr/>
            </w:pPr>
            <w:r>
              <w:rPr/>
              <w:t>Exhibit No.</w:t>
            </w:r>
          </w:p>
        </w:tc>
        <w:tc>
          <w:tcPr>
            <w:tcW w:w="90" w:type="dxa"/>
            <w:tcBorders/>
            <w:tcMar>
              <w:bottom w:w="0" w:type="dxa"/>
            </w:tcMar>
            <w:vAlign w:val="center"/>
          </w:tcPr>
          <w:p>
            <w:pPr>
              <w:pStyle w:val="TableContents"/>
              <w:bidi w:val="0"/>
              <w:spacing w:before="0" w:after="283"/>
              <w:jc w:val="both"/>
              <w:rPr/>
            </w:pPr>
            <w:r>
              <w:rPr/>
              <w:t> </w:t>
            </w:r>
          </w:p>
        </w:tc>
        <w:tc>
          <w:tcPr>
            <w:tcW w:w="9046" w:type="dxa"/>
            <w:tcBorders>
              <w:bottom w:val="single" w:sz="12" w:space="0" w:color="000000"/>
            </w:tcBorders>
            <w:vAlign w:val="center"/>
          </w:tcPr>
          <w:p>
            <w:pPr>
              <w:pStyle w:val="TableContents"/>
              <w:bidi w:val="0"/>
              <w:spacing w:before="0" w:after="283"/>
              <w:jc w:val="both"/>
              <w:rPr/>
            </w:pPr>
            <w:r>
              <w:rPr/>
              <w:t>Description</w:t>
            </w:r>
          </w:p>
        </w:tc>
      </w:tr>
      <w:tr>
        <w:trPr/>
        <w:tc>
          <w:tcPr>
            <w:tcW w:w="1069" w:type="dxa"/>
            <w:gridSpan w:val="2"/>
            <w:tcBorders/>
            <w:tcMar>
              <w:bottom w:w="0" w:type="dxa"/>
            </w:tcMar>
            <w:vAlign w:val="center"/>
          </w:tcPr>
          <w:p>
            <w:pPr>
              <w:pStyle w:val="TableContents"/>
              <w:bidi w:val="0"/>
              <w:spacing w:before="0" w:after="283"/>
              <w:jc w:val="both"/>
              <w:rPr/>
            </w:pPr>
            <w:r>
              <w:rPr/>
              <w:t> </w:t>
            </w:r>
          </w:p>
        </w:tc>
        <w:tc>
          <w:tcPr>
            <w:tcW w:w="90" w:type="dxa"/>
            <w:tcBorders/>
            <w:tcMar>
              <w:bottom w:w="0" w:type="dxa"/>
            </w:tcMar>
            <w:vAlign w:val="center"/>
          </w:tcPr>
          <w:p>
            <w:pPr>
              <w:pStyle w:val="TableContents"/>
              <w:bidi w:val="0"/>
              <w:spacing w:before="0" w:after="283"/>
              <w:jc w:val="both"/>
              <w:rPr/>
            </w:pPr>
            <w:r>
              <w:rPr/>
              <w:t> </w:t>
            </w:r>
          </w:p>
        </w:tc>
        <w:tc>
          <w:tcPr>
            <w:tcW w:w="9046" w:type="dxa"/>
            <w:tcBorders/>
            <w:tcMar>
              <w:bottom w:w="0" w:type="dxa"/>
            </w:tcMar>
            <w:vAlign w:val="center"/>
          </w:tcPr>
          <w:p>
            <w:pPr>
              <w:pStyle w:val="TableContents"/>
              <w:bidi w:val="0"/>
              <w:spacing w:before="0" w:after="283"/>
              <w:jc w:val="both"/>
              <w:rPr/>
            </w:pPr>
            <w:r>
              <w:rPr/>
              <w:t> </w:t>
            </w:r>
          </w:p>
        </w:tc>
      </w:tr>
      <w:tr>
        <w:trPr/>
        <w:tc>
          <w:tcPr>
            <w:tcW w:w="194" w:type="dxa"/>
            <w:tcBorders/>
            <w:shd w:fill="CCEEFF" w:val="clear"/>
            <w:tcMar>
              <w:bottom w:w="0" w:type="dxa"/>
            </w:tcMar>
            <w:vAlign w:val="center"/>
          </w:tcPr>
          <w:p>
            <w:pPr>
              <w:pStyle w:val="TableContents"/>
              <w:bidi w:val="0"/>
              <w:spacing w:before="0" w:after="283"/>
              <w:jc w:val="both"/>
              <w:rPr/>
            </w:pPr>
            <w:r>
              <w:rPr/>
              <w:t> </w:t>
            </w:r>
          </w:p>
        </w:tc>
        <w:tc>
          <w:tcPr>
            <w:tcW w:w="875" w:type="dxa"/>
            <w:tcBorders/>
            <w:shd w:fill="CCEEFF" w:val="clear"/>
            <w:tcMar>
              <w:bottom w:w="0" w:type="dxa"/>
            </w:tcMar>
            <w:vAlign w:val="center"/>
          </w:tcPr>
          <w:p>
            <w:pPr>
              <w:pStyle w:val="TableContents"/>
              <w:bidi w:val="0"/>
              <w:spacing w:before="0" w:after="283"/>
              <w:jc w:val="right"/>
              <w:rPr/>
            </w:pPr>
            <w:hyperlink w:anchor="exhibit99-1.htm">
              <w:r>
                <w:rPr>
                  <w:rStyle w:val="InternetLink"/>
                </w:rPr>
                <w:t>99.1</w:t>
              </w:r>
            </w:hyperlink>
          </w:p>
        </w:tc>
        <w:tc>
          <w:tcPr>
            <w:tcW w:w="90" w:type="dxa"/>
            <w:tcBorders/>
            <w:shd w:fill="CCEEFF" w:val="clear"/>
            <w:tcMar>
              <w:bottom w:w="0" w:type="dxa"/>
            </w:tcMar>
            <w:vAlign w:val="center"/>
          </w:tcPr>
          <w:p>
            <w:pPr>
              <w:pStyle w:val="TableContents"/>
              <w:bidi w:val="0"/>
              <w:spacing w:before="0" w:after="283"/>
              <w:jc w:val="both"/>
              <w:rPr/>
            </w:pPr>
            <w:r>
              <w:rPr/>
              <w:t> </w:t>
            </w:r>
          </w:p>
        </w:tc>
        <w:tc>
          <w:tcPr>
            <w:tcW w:w="9046" w:type="dxa"/>
            <w:tcBorders/>
            <w:shd w:fill="CCEEFF" w:val="clear"/>
            <w:tcMar>
              <w:bottom w:w="0" w:type="dxa"/>
            </w:tcMar>
            <w:vAlign w:val="center"/>
          </w:tcPr>
          <w:p>
            <w:pPr>
              <w:pStyle w:val="TableContents"/>
              <w:bidi w:val="0"/>
              <w:spacing w:before="0" w:after="283"/>
              <w:jc w:val="both"/>
              <w:rPr/>
            </w:pPr>
            <w:hyperlink w:anchor="exhibit99-1.htm">
              <w:r>
                <w:rPr>
                  <w:rStyle w:val="InternetLink"/>
                </w:rPr>
                <w:t>Press release dated July 6, 2026.</w:t>
              </w:r>
            </w:hyperlink>
          </w:p>
        </w:tc>
      </w:tr>
      <w:tr>
        <w:trPr/>
        <w:tc>
          <w:tcPr>
            <w:tcW w:w="194" w:type="dxa"/>
            <w:tcBorders/>
            <w:tcMar>
              <w:bottom w:w="0" w:type="dxa"/>
            </w:tcMar>
            <w:vAlign w:val="center"/>
          </w:tcPr>
          <w:p>
            <w:pPr>
              <w:pStyle w:val="TableContents"/>
              <w:bidi w:val="0"/>
              <w:spacing w:before="0" w:after="283"/>
              <w:jc w:val="left"/>
              <w:rPr/>
            </w:pPr>
            <w:r>
              <w:rPr/>
              <w:t> </w:t>
            </w:r>
          </w:p>
        </w:tc>
        <w:tc>
          <w:tcPr>
            <w:tcW w:w="875" w:type="dxa"/>
            <w:tcBorders/>
            <w:tcMar>
              <w:bottom w:w="0" w:type="dxa"/>
            </w:tcMar>
            <w:vAlign w:val="center"/>
          </w:tcPr>
          <w:p>
            <w:pPr>
              <w:pStyle w:val="TableContents"/>
              <w:bidi w:val="0"/>
              <w:spacing w:before="0" w:after="283"/>
              <w:jc w:val="right"/>
              <w:rPr/>
            </w:pPr>
            <w:hyperlink w:anchor="exhibit99-2.htm">
              <w:r>
                <w:rPr>
                  <w:rStyle w:val="InternetLink"/>
                </w:rPr>
                <w:t>99.2</w:t>
              </w:r>
            </w:hyperlink>
          </w:p>
        </w:tc>
        <w:tc>
          <w:tcPr>
            <w:tcW w:w="90" w:type="dxa"/>
            <w:tcBorders/>
            <w:tcMar>
              <w:bottom w:w="0" w:type="dxa"/>
            </w:tcMar>
            <w:vAlign w:val="center"/>
          </w:tcPr>
          <w:p>
            <w:pPr>
              <w:pStyle w:val="TableContents"/>
              <w:bidi w:val="0"/>
              <w:spacing w:before="0" w:after="283"/>
              <w:jc w:val="left"/>
              <w:rPr/>
            </w:pPr>
            <w:r>
              <w:rPr/>
              <w:t> </w:t>
            </w:r>
          </w:p>
        </w:tc>
        <w:tc>
          <w:tcPr>
            <w:tcW w:w="9046" w:type="dxa"/>
            <w:tcBorders/>
            <w:tcMar>
              <w:bottom w:w="0" w:type="dxa"/>
            </w:tcMar>
            <w:vAlign w:val="center"/>
          </w:tcPr>
          <w:p>
            <w:pPr>
              <w:pStyle w:val="TableContents"/>
              <w:bidi w:val="0"/>
              <w:spacing w:before="0" w:after="283"/>
              <w:jc w:val="both"/>
              <w:rPr/>
            </w:pPr>
            <w:hyperlink w:anchor="exhibit99-2.htm">
              <w:r>
                <w:rPr>
                  <w:rStyle w:val="InternetLink"/>
                </w:rPr>
                <w:t>Form of Notice of Convertibility to Holders of Vishay Intertechnology, Inc.'s 2.25% Convertible Senior Notes due 2030.</w:t>
              </w:r>
            </w:hyperlink>
          </w:p>
        </w:tc>
      </w:tr>
      <w:tr>
        <w:trPr/>
        <w:tc>
          <w:tcPr>
            <w:tcW w:w="194" w:type="dxa"/>
            <w:tcBorders/>
            <w:shd w:fill="CCEEFF" w:val="clear"/>
            <w:tcMar>
              <w:bottom w:w="0" w:type="dxa"/>
            </w:tcMar>
            <w:vAlign w:val="center"/>
          </w:tcPr>
          <w:p>
            <w:pPr>
              <w:pStyle w:val="TableContents"/>
              <w:bidi w:val="0"/>
              <w:spacing w:before="0" w:after="283"/>
              <w:jc w:val="both"/>
              <w:rPr/>
            </w:pPr>
            <w:r>
              <w:rPr/>
              <w:t> </w:t>
            </w:r>
          </w:p>
        </w:tc>
        <w:tc>
          <w:tcPr>
            <w:tcW w:w="875" w:type="dxa"/>
            <w:tcBorders/>
            <w:shd w:fill="CCEEFF" w:val="clear"/>
            <w:tcMar>
              <w:bottom w:w="0" w:type="dxa"/>
            </w:tcMar>
            <w:vAlign w:val="center"/>
          </w:tcPr>
          <w:p>
            <w:pPr>
              <w:pStyle w:val="TableContents"/>
              <w:bidi w:val="0"/>
              <w:spacing w:before="0" w:after="283"/>
              <w:jc w:val="right"/>
              <w:rPr/>
            </w:pPr>
            <w:r>
              <w:rPr/>
              <w:t> </w:t>
            </w:r>
            <w:r>
              <w:rPr/>
              <w:t>104</w:t>
            </w:r>
          </w:p>
        </w:tc>
        <w:tc>
          <w:tcPr>
            <w:tcW w:w="90" w:type="dxa"/>
            <w:tcBorders/>
            <w:shd w:fill="CCEEFF" w:val="clear"/>
            <w:tcMar>
              <w:bottom w:w="0" w:type="dxa"/>
            </w:tcMar>
            <w:vAlign w:val="center"/>
          </w:tcPr>
          <w:p>
            <w:pPr>
              <w:pStyle w:val="TableContents"/>
              <w:bidi w:val="0"/>
              <w:spacing w:before="0" w:after="283"/>
              <w:jc w:val="both"/>
              <w:rPr/>
            </w:pPr>
            <w:r>
              <w:rPr/>
              <w:t> </w:t>
            </w:r>
          </w:p>
        </w:tc>
        <w:tc>
          <w:tcPr>
            <w:tcW w:w="9046" w:type="dxa"/>
            <w:tcBorders/>
            <w:shd w:fill="CCEEFF" w:val="clear"/>
            <w:tcMar>
              <w:bottom w:w="0" w:type="dxa"/>
            </w:tcMar>
            <w:vAlign w:val="center"/>
          </w:tcPr>
          <w:p>
            <w:pPr>
              <w:pStyle w:val="TableContents"/>
              <w:bidi w:val="0"/>
              <w:spacing w:before="0" w:after="283"/>
              <w:jc w:val="both"/>
              <w:rPr/>
            </w:pPr>
            <w:r>
              <w:rPr/>
              <w:t>Cover Page Interactive Data File (embedded within the Inline XBRL document).</w:t>
            </w:r>
          </w:p>
        </w:tc>
      </w:tr>
    </w:tbl>
    <w:p>
      <w:pPr>
        <w:pStyle w:val="TextBody"/>
        <w:bidi w:val="0"/>
        <w:spacing w:before="0" w:after="0"/>
        <w:ind w:left="720" w:right="0" w:hanging="0"/>
        <w:jc w:val="both"/>
        <w:rPr>
          <w:color w:val="000000"/>
        </w:rPr>
      </w:pPr>
      <w:r>
        <w:rPr>
          <w:color w:val="000000"/>
        </w:rPr>
        <w:t> </w:t>
      </w:r>
    </w:p>
    <w:p>
      <w:pPr>
        <w:pStyle w:val="TextBody"/>
        <w:bidi w:val="0"/>
        <w:spacing w:before="0" w:after="0"/>
        <w:jc w:val="left"/>
        <w:rPr/>
      </w:pPr>
      <w:r>
        <w:rPr/>
      </w:r>
    </w:p>
    <w:p>
      <w:pPr>
        <w:pStyle w:val="TextBody"/>
        <w:bidi w:val="0"/>
        <w:spacing w:before="0" w:after="60"/>
        <w:jc w:val="left"/>
        <w:rPr>
          <w:rFonts w:ascii="Times New Roman;Times;serif" w:hAnsi="Times New Roman;Times;serif"/>
          <w:sz w:val="24"/>
        </w:rPr>
      </w:pPr>
      <w:r>
        <w:rPr>
          <w:rFonts w:ascii="Times New Roman;Times;serif" w:hAnsi="Times New Roman;Times;serif"/>
          <w:sz w:val="24"/>
        </w:rPr>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color w:val="000000"/>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color w:val="000000"/>
          <w:sz w:val="15"/>
          <w:u w:val="none"/>
          <w:effect w:val="none"/>
        </w:rPr>
        <w:t>2</w:t>
      </w:r>
    </w:p>
    <w:p>
      <w:pPr>
        <w:pStyle w:val="HorizontalLine"/>
        <w:bidi w:val="0"/>
        <w:spacing w:before="0" w:after="0"/>
        <w:jc w:val="left"/>
        <w:rPr/>
      </w:pPr>
      <w:r>
        <w:rPr/>
      </w:r>
    </w:p>
    <w:p>
      <w:pPr>
        <w:pStyle w:val="TextBody"/>
        <w:bidi w:val="0"/>
        <w:spacing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p>
      <w:pPr>
        <w:pStyle w:val="TextBody"/>
        <w:bidi w:val="0"/>
        <w:spacing w:before="0" w:after="60"/>
        <w:jc w:val="both"/>
        <w:rPr>
          <w:color w:val="000000"/>
        </w:rPr>
      </w:pPr>
      <w:r>
        <w:rPr>
          <w:color w:val="000000"/>
        </w:rPr>
        <w:t> </w:t>
      </w:r>
    </w:p>
    <w:p>
      <w:pPr>
        <w:pStyle w:val="TextBody"/>
        <w:bidi w:val="0"/>
        <w:spacing w:before="0" w:after="60"/>
        <w:jc w:val="center"/>
        <w:rPr>
          <w:rFonts w:ascii="Times New Roman;Times;serif" w:hAnsi="Times New Roman;Times;serif"/>
          <w:b/>
          <w:color w:val="000000"/>
          <w:sz w:val="22"/>
        </w:rPr>
      </w:pPr>
      <w:r>
        <w:rPr>
          <w:rFonts w:ascii="Times New Roman;Times;serif" w:hAnsi="Times New Roman;Times;serif"/>
          <w:b/>
          <w:color w:val="000000"/>
          <w:sz w:val="22"/>
        </w:rPr>
        <w:t>Signature</w:t>
      </w:r>
    </w:p>
    <w:p>
      <w:pPr>
        <w:pStyle w:val="TextBody"/>
        <w:bidi w:val="0"/>
        <w:spacing w:before="0" w:after="60"/>
        <w:jc w:val="both"/>
        <w:rPr>
          <w:color w:val="000000"/>
        </w:rPr>
      </w:pPr>
      <w:r>
        <w:rPr>
          <w:color w:val="000000"/>
        </w:rPr>
        <w:t> </w:t>
      </w:r>
    </w:p>
    <w:p>
      <w:pPr>
        <w:pStyle w:val="TextBody"/>
        <w:bidi w:val="0"/>
        <w:spacing w:before="0" w:after="60"/>
        <w:jc w:val="both"/>
        <w:rPr>
          <w:rFonts w:ascii="Times New Roman;Times;serif" w:hAnsi="Times New Roman;Times;serif"/>
          <w:color w:val="000000"/>
          <w:sz w:val="22"/>
        </w:rPr>
      </w:pPr>
      <w:r>
        <w:rPr>
          <w:rFonts w:ascii="Times New Roman;Times;serif" w:hAnsi="Times New Roman;Times;serif"/>
          <w:color w:val="000000"/>
          <w:sz w:val="22"/>
        </w:rPr>
        <w:t>Pursuant to the requirements of the Securities Exchange Act of 1934, the registrant has duly caused this report to be signed on its behalf by the undersigned hereunto duly authorized.</w:t>
      </w:r>
    </w:p>
    <w:p>
      <w:pPr>
        <w:pStyle w:val="TextBody"/>
        <w:bidi w:val="0"/>
        <w:spacing w:before="0" w:after="60"/>
        <w:jc w:val="left"/>
        <w:rPr/>
      </w:pPr>
      <w:r>
        <w:rPr/>
      </w:r>
    </w:p>
    <w:p>
      <w:pPr>
        <w:pStyle w:val="TextBody"/>
        <w:bidi w:val="0"/>
        <w:spacing w:before="0" w:after="60"/>
        <w:jc w:val="both"/>
        <w:rPr>
          <w:rFonts w:ascii="Times New Roman;Times;serif" w:hAnsi="Times New Roman;Times;serif"/>
          <w:color w:val="000000"/>
          <w:sz w:val="22"/>
        </w:rPr>
      </w:pPr>
      <w:r>
        <w:rPr>
          <w:rFonts w:ascii="Times New Roman;Times;serif" w:hAnsi="Times New Roman;Times;serif"/>
          <w:color w:val="000000"/>
          <w:sz w:val="22"/>
        </w:rPr>
        <w:t>Date: July 6, 2026</w:t>
      </w:r>
    </w:p>
    <w:p>
      <w:pPr>
        <w:pStyle w:val="TextBody"/>
        <w:bidi w:val="0"/>
        <w:spacing w:before="0" w:after="60"/>
        <w:jc w:val="left"/>
        <w:rPr/>
      </w:pPr>
      <w:r>
        <w:rPr/>
      </w:r>
    </w:p>
    <w:tbl>
      <w:tblPr>
        <w:tblW w:w="5725" w:type="dxa"/>
        <w:jc w:val="left"/>
        <w:tblInd w:w="0" w:type="dxa"/>
        <w:tblLayout w:type="fixed"/>
        <w:tblCellMar>
          <w:top w:w="0" w:type="dxa"/>
          <w:left w:w="0" w:type="dxa"/>
          <w:bottom w:w="0" w:type="dxa"/>
          <w:right w:w="0" w:type="dxa"/>
        </w:tblCellMar>
      </w:tblPr>
      <w:tblGrid>
        <w:gridCol w:w="105"/>
        <w:gridCol w:w="680"/>
        <w:gridCol w:w="90"/>
        <w:gridCol w:w="4715"/>
        <w:gridCol w:w="135"/>
      </w:tblGrid>
      <w:tr>
        <w:trPr/>
        <w:tc>
          <w:tcPr>
            <w:tcW w:w="105" w:type="dxa"/>
            <w:tcBorders/>
            <w:vAlign w:val="center"/>
          </w:tcPr>
          <w:p>
            <w:pPr>
              <w:pStyle w:val="TableContents"/>
              <w:bidi w:val="0"/>
              <w:spacing w:before="0" w:after="283"/>
              <w:jc w:val="left"/>
              <w:rPr/>
            </w:pPr>
            <w:r>
              <w:rPr/>
              <w:t> </w:t>
            </w:r>
          </w:p>
        </w:tc>
        <w:tc>
          <w:tcPr>
            <w:tcW w:w="5485" w:type="dxa"/>
            <w:gridSpan w:val="3"/>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VISHAY INTERTECHNOLOGY, INC.</w:t>
            </w:r>
          </w:p>
        </w:tc>
        <w:tc>
          <w:tcPr>
            <w:tcW w:w="135"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50" w:type="dxa"/>
            <w:gridSpan w:val="2"/>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0"/>
              <w:jc w:val="right"/>
              <w:rPr>
                <w:rFonts w:ascii="Times New Roman;Times;serif" w:hAnsi="Times New Roman;Times;serif"/>
              </w:rPr>
            </w:pPr>
            <w:r>
              <w:rPr>
                <w:rFonts w:ascii="Times New Roman;Times;serif" w:hAnsi="Times New Roman;Times;serif"/>
              </w:rPr>
              <w:t>By:</w:t>
            </w:r>
          </w:p>
        </w:tc>
        <w:tc>
          <w:tcPr>
            <w:tcW w:w="90" w:type="dxa"/>
            <w:tcBorders/>
            <w:vAlign w:val="center"/>
          </w:tcPr>
          <w:p>
            <w:pPr>
              <w:pStyle w:val="TableContents"/>
              <w:bidi w:val="0"/>
              <w:spacing w:before="0" w:after="283"/>
              <w:jc w:val="left"/>
              <w:rPr/>
            </w:pPr>
            <w:r>
              <w:rPr/>
              <w:t> </w:t>
            </w:r>
          </w:p>
        </w:tc>
        <w:tc>
          <w:tcPr>
            <w:tcW w:w="4715" w:type="dxa"/>
            <w:tcBorders/>
            <w:vAlign w:val="center"/>
          </w:tcPr>
          <w:p>
            <w:pPr>
              <w:pStyle w:val="TableContents"/>
              <w:bidi w:val="0"/>
              <w:spacing w:before="0" w:after="283"/>
              <w:jc w:val="left"/>
              <w:rPr>
                <w:u w:val="single"/>
              </w:rPr>
            </w:pPr>
            <w:r>
              <w:rPr>
                <w:u w:val="single"/>
              </w:rPr>
              <w:t xml:space="preserve">/s/ David L. Tomlinson                                         </w:t>
            </w:r>
          </w:p>
        </w:tc>
        <w:tc>
          <w:tcPr>
            <w:tcW w:w="135"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50" w:type="dxa"/>
            <w:gridSpan w:val="2"/>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0"/>
              <w:jc w:val="right"/>
              <w:rPr>
                <w:rFonts w:ascii="Times New Roman;Times;serif" w:hAnsi="Times New Roman;Times;serif"/>
              </w:rPr>
            </w:pPr>
            <w:r>
              <w:rPr>
                <w:rFonts w:ascii="Times New Roman;Times;serif" w:hAnsi="Times New Roman;Times;serif"/>
              </w:rPr>
              <w:t>Name:</w:t>
            </w:r>
          </w:p>
        </w:tc>
        <w:tc>
          <w:tcPr>
            <w:tcW w:w="90" w:type="dxa"/>
            <w:tcBorders/>
            <w:vAlign w:val="center"/>
          </w:tcPr>
          <w:p>
            <w:pPr>
              <w:pStyle w:val="TableContents"/>
              <w:bidi w:val="0"/>
              <w:spacing w:before="0" w:after="283"/>
              <w:jc w:val="left"/>
              <w:rPr/>
            </w:pPr>
            <w:r>
              <w:rPr/>
              <w:t> </w:t>
            </w:r>
          </w:p>
        </w:tc>
        <w:tc>
          <w:tcPr>
            <w:tcW w:w="4850" w:type="dxa"/>
            <w:gridSpan w:val="2"/>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David L. Tomlinson</w:t>
            </w:r>
          </w:p>
        </w:tc>
      </w:tr>
      <w:tr>
        <w:trPr/>
        <w:tc>
          <w:tcPr>
            <w:tcW w:w="105"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0"/>
              <w:jc w:val="right"/>
              <w:rPr>
                <w:rFonts w:ascii="Times New Roman;Times;serif" w:hAnsi="Times New Roman;Times;serif"/>
              </w:rPr>
            </w:pPr>
            <w:r>
              <w:rPr>
                <w:rFonts w:ascii="Times New Roman;Times;serif" w:hAnsi="Times New Roman;Times;serif"/>
              </w:rPr>
              <w:t>Title:</w:t>
            </w:r>
          </w:p>
        </w:tc>
        <w:tc>
          <w:tcPr>
            <w:tcW w:w="90" w:type="dxa"/>
            <w:tcBorders/>
            <w:vAlign w:val="center"/>
          </w:tcPr>
          <w:p>
            <w:pPr>
              <w:pStyle w:val="TableContents"/>
              <w:bidi w:val="0"/>
              <w:spacing w:before="0" w:after="283"/>
              <w:jc w:val="left"/>
              <w:rPr/>
            </w:pPr>
            <w:r>
              <w:rPr/>
              <w:t> </w:t>
            </w:r>
          </w:p>
        </w:tc>
        <w:tc>
          <w:tcPr>
            <w:tcW w:w="4850" w:type="dxa"/>
            <w:gridSpan w:val="2"/>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Senior Vice President – Chief Accounting Officer</w:t>
            </w:r>
          </w:p>
        </w:tc>
      </w:tr>
    </w:tbl>
    <w:p>
      <w:pPr>
        <w:pStyle w:val="TextBody"/>
        <w:bidi w:val="0"/>
        <w:spacing w:before="0" w:after="60"/>
        <w:jc w:val="left"/>
        <w:rPr>
          <w:rFonts w:ascii="Times New Roman;Times;serif" w:hAnsi="Times New Roman;Times;serif"/>
          <w:sz w:val="24"/>
        </w:rPr>
      </w:pPr>
      <w:r>
        <w:rPr>
          <w:rFonts w:ascii="Times New Roman;Times;serif" w:hAnsi="Times New Roman;Times;serif"/>
          <w:sz w:val="24"/>
        </w:rPr>
      </w:r>
    </w:p>
    <w:p>
      <w:pPr>
        <w:pStyle w:val="TextBody"/>
        <w:bidi w:val="0"/>
        <w:spacing w:before="0" w:after="0"/>
        <w:jc w:val="right"/>
        <w:rPr>
          <w:rFonts w:ascii="Times New Roman" w:hAnsi="Times New Roman"/>
          <w:b/>
          <w:sz w:val="24"/>
        </w:rPr>
      </w:pPr>
      <w:bookmarkStart w:id="2" w:name="exhibit99-1.htm"/>
      <w:bookmarkStart w:id="3" w:name="ksexhibit991"/>
      <w:bookmarkEnd w:id="2"/>
      <w:bookmarkEnd w:id="3"/>
      <w:r>
        <w:rPr>
          <w:rFonts w:ascii="Times New Roman" w:hAnsi="Times New Roman"/>
          <w:b/>
          <w:sz w:val="24"/>
        </w:rPr>
        <w:t>Exhibit 99.1</w:t>
      </w:r>
      <w:r>
        <w:br w:type="page"/>
      </w:r>
    </w:p>
    <w:p>
      <w:pPr>
        <w:pStyle w:val="TextBody"/>
        <w:bidi w:val="0"/>
        <w:spacing w:before="0" w:after="0"/>
        <w:jc w:val="right"/>
        <w:rPr/>
      </w:pPr>
      <w:r>
        <w:rPr/>
        <w:t> </w:t>
      </w:r>
    </w:p>
    <w:p>
      <w:pPr>
        <w:pStyle w:val="TextBody"/>
        <w:bidi w:val="0"/>
        <w:spacing w:before="0" w:after="0"/>
        <w:jc w:val="center"/>
        <w:rPr>
          <w:b/>
          <w:sz w:val="28"/>
        </w:rPr>
      </w:pPr>
      <w:r>
        <w:rPr>
          <w:b/>
          <w:sz w:val="28"/>
        </w:rPr>
        <w:t xml:space="preserve">Vishay Intertechnology, Inc.  Announces Conversion Period </w:t>
      </w:r>
    </w:p>
    <w:p>
      <w:pPr>
        <w:pStyle w:val="TextBody"/>
        <w:bidi w:val="0"/>
        <w:spacing w:before="0" w:after="0"/>
        <w:jc w:val="center"/>
        <w:rPr>
          <w:b/>
          <w:sz w:val="28"/>
        </w:rPr>
      </w:pPr>
      <w:r>
        <w:rPr>
          <w:b/>
          <w:sz w:val="28"/>
        </w:rPr>
        <w:t>for 2.25% Convertible Senior Notes due 2030</w:t>
      </w:r>
    </w:p>
    <w:p>
      <w:pPr>
        <w:pStyle w:val="TextBody"/>
        <w:bidi w:val="0"/>
        <w:spacing w:before="0" w:after="0"/>
        <w:jc w:val="center"/>
        <w:rPr/>
      </w:pPr>
      <w:r>
        <w:rPr/>
        <w:t> </w:t>
      </w:r>
    </w:p>
    <w:p>
      <w:pPr>
        <w:pStyle w:val="TextBody"/>
        <w:bidi w:val="0"/>
        <w:spacing w:before="0" w:after="0"/>
        <w:jc w:val="both"/>
        <w:rPr>
          <w:sz w:val="24"/>
        </w:rPr>
      </w:pPr>
      <w:r>
        <w:rPr>
          <w:sz w:val="24"/>
        </w:rPr>
        <w:t>MALVERN, Pa., July 6, 2026 - Vishay Intertechnology, Inc. (NYSE: VSH), one of the world's largest manufacturers of discrete semiconductors and passive components, today notified holders of its 2.25% convertible senior notes due 2030 (the "Notes") that the Notes are convertible, at the option of the holders (the "Conversion Option"), beginning July 5, 2026 and ending at the close of business on October 3, 2026.  The Notes are convertible into cash, up to the aggregate principal amount of the Notes, and in cash, shares of the Company's common stock or a combination thereof, at the Company's election, in respect of the remainder, if any, of the Company's conversion obligation in excess of the aggregate principal amount of the Notes being converted.  Any determination regarding the convertibility of the Notes during future periods will be made in accordance with the terms of the Indenture governing the Notes.</w:t>
      </w:r>
    </w:p>
    <w:p>
      <w:pPr>
        <w:pStyle w:val="TextBody"/>
        <w:bidi w:val="0"/>
        <w:spacing w:before="0" w:after="0"/>
        <w:jc w:val="both"/>
        <w:rPr/>
      </w:pPr>
      <w:r>
        <w:rPr/>
        <w:t> </w:t>
      </w:r>
    </w:p>
    <w:p>
      <w:pPr>
        <w:pStyle w:val="TextBody"/>
        <w:bidi w:val="0"/>
        <w:spacing w:before="0" w:after="0"/>
        <w:jc w:val="both"/>
        <w:rPr>
          <w:sz w:val="24"/>
        </w:rPr>
      </w:pPr>
      <w:r>
        <w:rPr>
          <w:sz w:val="24"/>
        </w:rPr>
        <w:t>The Notes became convertible as a result of the last reported sale price of shares of the Company's common stock, for at least 20 trading days (whether or not consecutive) during the period of 30 consecutive trading days (including the last trading day of such period) ending on, and including, the last trading day of the fiscal quarter ended July 4, 2026, was greater than 130% of the conversion price in effect on each applicable trading day.</w:t>
      </w:r>
    </w:p>
    <w:p>
      <w:pPr>
        <w:pStyle w:val="TextBody"/>
        <w:bidi w:val="0"/>
        <w:spacing w:before="0" w:after="0"/>
        <w:jc w:val="both"/>
        <w:rPr/>
      </w:pPr>
      <w:r>
        <w:rPr/>
        <w:t> </w:t>
      </w:r>
    </w:p>
    <w:p>
      <w:pPr>
        <w:pStyle w:val="TextBody"/>
        <w:bidi w:val="0"/>
        <w:spacing w:before="0" w:after="0"/>
        <w:jc w:val="both"/>
        <w:rPr>
          <w:sz w:val="24"/>
        </w:rPr>
      </w:pPr>
      <w:r>
        <w:rPr>
          <w:sz w:val="24"/>
        </w:rPr>
        <w:t>The Notes are convertible at a conversion rate of 33.1609 shares of common stock per $1,000 principal amount of Notes, which is equivalent to a conversion price of approximately $30.16 per share of common stock.</w:t>
      </w:r>
    </w:p>
    <w:p>
      <w:pPr>
        <w:pStyle w:val="TextBody"/>
        <w:bidi w:val="0"/>
        <w:spacing w:before="0" w:after="0"/>
        <w:jc w:val="both"/>
        <w:rPr/>
      </w:pPr>
      <w:r>
        <w:rPr/>
        <w:t> </w:t>
      </w:r>
    </w:p>
    <w:p>
      <w:pPr>
        <w:pStyle w:val="TextBody"/>
        <w:bidi w:val="0"/>
        <w:spacing w:before="0" w:after="0"/>
        <w:jc w:val="both"/>
        <w:rPr>
          <w:sz w:val="24"/>
        </w:rPr>
      </w:pPr>
      <w:r>
        <w:rPr>
          <w:sz w:val="24"/>
        </w:rPr>
        <w:t>The Company has issued a notice to holders with respect to the Conversion Option specifying the applicable terms, conditions and procedures.  The notice is available through HSBC Bank USA, National Association or by requesting a copy from HSBC Bank USA, National Association, which is serving as the conversion agent, at:</w:t>
      </w:r>
    </w:p>
    <w:p>
      <w:pPr>
        <w:pStyle w:val="TextBody"/>
        <w:bidi w:val="0"/>
        <w:spacing w:before="0" w:after="0"/>
        <w:jc w:val="both"/>
        <w:rPr/>
      </w:pPr>
      <w:r>
        <w:rPr/>
        <w:t> </w:t>
      </w:r>
    </w:p>
    <w:p>
      <w:pPr>
        <w:pStyle w:val="TextBody"/>
        <w:bidi w:val="0"/>
        <w:spacing w:before="0" w:after="0"/>
        <w:jc w:val="both"/>
        <w:rPr>
          <w:sz w:val="24"/>
        </w:rPr>
      </w:pPr>
      <w:r>
        <w:rPr>
          <w:sz w:val="24"/>
        </w:rPr>
        <w:t>HSBC Bank USA, National Association</w:t>
      </w:r>
    </w:p>
    <w:p>
      <w:pPr>
        <w:pStyle w:val="TextBody"/>
        <w:bidi w:val="0"/>
        <w:spacing w:before="0" w:after="0"/>
        <w:jc w:val="both"/>
        <w:rPr>
          <w:sz w:val="24"/>
        </w:rPr>
      </w:pPr>
      <w:r>
        <w:rPr>
          <w:sz w:val="24"/>
        </w:rPr>
        <w:t>Attention: CTLANY Client Service Delivery Team / Vishay Intertechnology, Inc.</w:t>
      </w:r>
    </w:p>
    <w:p>
      <w:pPr>
        <w:pStyle w:val="TextBody"/>
        <w:bidi w:val="0"/>
        <w:spacing w:before="0" w:after="0"/>
        <w:jc w:val="both"/>
        <w:rPr>
          <w:sz w:val="24"/>
        </w:rPr>
      </w:pPr>
      <w:r>
        <w:rPr>
          <w:sz w:val="24"/>
        </w:rPr>
        <w:t>66 Hudson Blvd East, 545W9</w:t>
      </w:r>
    </w:p>
    <w:p>
      <w:pPr>
        <w:pStyle w:val="TextBody"/>
        <w:bidi w:val="0"/>
        <w:spacing w:before="0" w:after="0"/>
        <w:jc w:val="both"/>
        <w:rPr>
          <w:sz w:val="24"/>
        </w:rPr>
      </w:pPr>
      <w:r>
        <w:rPr>
          <w:sz w:val="24"/>
        </w:rPr>
        <w:t>New York, NY 10001</w:t>
      </w:r>
    </w:p>
    <w:p>
      <w:pPr>
        <w:pStyle w:val="TextBody"/>
        <w:bidi w:val="0"/>
        <w:spacing w:before="0" w:after="0"/>
        <w:jc w:val="both"/>
        <w:rPr/>
      </w:pPr>
      <w:r>
        <w:rPr/>
        <w:t> </w:t>
      </w:r>
    </w:p>
    <w:p>
      <w:pPr>
        <w:pStyle w:val="TextBody"/>
        <w:bidi w:val="0"/>
        <w:spacing w:before="0" w:after="0"/>
        <w:jc w:val="both"/>
        <w:rPr>
          <w:sz w:val="24"/>
        </w:rPr>
      </w:pPr>
      <w:r>
        <w:rPr>
          <w:sz w:val="24"/>
        </w:rPr>
        <w:t>None of the Company, its Board of Directors or its employees has made or is making any representation or recommendation to any holder as to whether to exercise or refrain from exercising the Conversion Option.</w:t>
      </w:r>
    </w:p>
    <w:p>
      <w:pPr>
        <w:pStyle w:val="TextBody"/>
        <w:bidi w:val="0"/>
        <w:spacing w:before="0" w:after="0"/>
        <w:jc w:val="both"/>
        <w:rPr/>
      </w:pPr>
      <w:r>
        <w:rPr/>
        <w:t> </w:t>
      </w:r>
    </w:p>
    <w:p>
      <w:pPr>
        <w:pStyle w:val="TextBody"/>
        <w:bidi w:val="0"/>
        <w:spacing w:before="0" w:after="0"/>
        <w:jc w:val="both"/>
        <w:rPr>
          <w:sz w:val="24"/>
        </w:rPr>
      </w:pPr>
      <w:r>
        <w:rPr>
          <w:sz w:val="24"/>
        </w:rPr>
        <w:t>This press release is not an offer to sell, nor a solicitation of an offer to buy securities, nor shall there be any sale of these securities in any jurisdiction in which the offer, solicitation or sale would be unlawful prior to registration or qualification under the securities laws of such state or jurisdiction.</w:t>
      </w:r>
    </w:p>
    <w:p>
      <w:pPr>
        <w:pStyle w:val="TextBody"/>
        <w:bidi w:val="0"/>
        <w:spacing w:before="0" w:after="0"/>
        <w:jc w:val="both"/>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1</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160"/>
        <w:ind w:left="0" w:right="0" w:hanging="0"/>
        <w:jc w:val="both"/>
        <w:rPr>
          <w:color w:val="000000"/>
        </w:rPr>
      </w:pPr>
      <w:r>
        <w:rPr>
          <w:color w:val="000000"/>
        </w:rPr>
        <w:t> </w:t>
      </w:r>
    </w:p>
    <w:p>
      <w:pPr>
        <w:pStyle w:val="TextBody"/>
        <w:bidi w:val="0"/>
        <w:spacing w:before="0" w:after="160"/>
        <w:ind w:left="0" w:right="0" w:hanging="0"/>
        <w:jc w:val="both"/>
        <w:rPr>
          <w:rFonts w:ascii="TimesNewRoman;Times New Roman;Times;Baskerville;Georgia;serif" w:hAnsi="TimesNewRoman;Times New Roman;Times;Baskerville;Georgia;serif"/>
          <w:b/>
          <w:color w:val="000000"/>
          <w:sz w:val="24"/>
        </w:rPr>
      </w:pPr>
      <w:r>
        <w:rPr>
          <w:rFonts w:ascii="TimesNewRoman;Times New Roman;Times;Baskerville;Georgia;serif" w:hAnsi="TimesNewRoman;Times New Roman;Times;Baskerville;Georgia;serif"/>
          <w:b/>
          <w:color w:val="000000"/>
          <w:sz w:val="24"/>
        </w:rPr>
        <w:t>About Vishay</w:t>
      </w:r>
    </w:p>
    <w:p>
      <w:pPr>
        <w:pStyle w:val="TextBody"/>
        <w:bidi w:val="0"/>
        <w:spacing w:before="0" w:after="160"/>
        <w:ind w:left="0" w:right="0" w:hanging="0"/>
        <w:jc w:val="both"/>
        <w:rPr>
          <w:rFonts w:ascii="TimesNewRoman;Times New Roman;Times;Baskerville;Georgia;serif" w:hAnsi="TimesNewRoman;Times New Roman;Times;Baskerville;Georgia;serif"/>
          <w:color w:val="000000"/>
          <w:sz w:val="24"/>
        </w:rPr>
      </w:pPr>
      <w:r>
        <w:rPr>
          <w:rFonts w:ascii="TimesNewRoman;Times New Roman;Times;Baskerville;Georgia;serif" w:hAnsi="TimesNewRoman;Times New Roman;Times;Baskerville;Georgia;serif"/>
          <w:color w:val="000000"/>
          <w:sz w:val="24"/>
        </w:rPr>
        <w:t xml:space="preserve">Vishay manufactures one of the world’s largest portfolios of discrete semiconductors and passive electronic components that are essential to innovative designs in the automotive, industrial, computing, consumer, telecommunications, military, aerospace, and healthcare markets. Serving customers worldwide, </w:t>
      </w:r>
      <w:r>
        <w:rPr>
          <w:rFonts w:ascii="TimesNewRoman;Times New Roman;Times;Baskerville;Georgia;serif" w:hAnsi="TimesNewRoman;Times New Roman;Times;Baskerville;Georgia;serif"/>
          <w:b/>
          <w:color w:val="000000"/>
          <w:sz w:val="24"/>
        </w:rPr>
        <w:t xml:space="preserve">Vishay is The DNA of tech.® </w:t>
      </w:r>
      <w:r>
        <w:rPr>
          <w:rFonts w:ascii="TimesNewRoman;Times New Roman;Times;Baskerville;Georgia;serif" w:hAnsi="TimesNewRoman;Times New Roman;Times;Baskerville;Georgia;serif"/>
          <w:color w:val="000000"/>
          <w:sz w:val="24"/>
        </w:rPr>
        <w:t>Vishay Intertechnology, Inc. is a Fortune 1,000 Company listed on the NYSE (VSH). More on Vishay at www.vishay.com.</w:t>
      </w:r>
    </w:p>
    <w:p>
      <w:pPr>
        <w:pStyle w:val="TextBody"/>
        <w:bidi w:val="0"/>
        <w:spacing w:before="0" w:after="160"/>
        <w:ind w:left="0" w:right="0" w:hanging="0"/>
        <w:jc w:val="both"/>
        <w:rPr>
          <w:rFonts w:ascii="TimesNewRoman;Times New Roman;Times;Baskerville;Georgia;serif" w:hAnsi="TimesNewRoman;Times New Roman;Times;Baskerville;Georgia;serif"/>
          <w:b/>
          <w:color w:val="000000"/>
          <w:sz w:val="24"/>
        </w:rPr>
      </w:pPr>
      <w:r>
        <w:rPr>
          <w:rFonts w:ascii="TimesNewRoman;Times New Roman;Times;Baskerville;Georgia;serif" w:hAnsi="TimesNewRoman;Times New Roman;Times;Baskerville;Georgia;serif"/>
          <w:b/>
          <w:color w:val="000000"/>
          <w:sz w:val="24"/>
        </w:rPr>
        <w:t>Forward-Looking Statements</w:t>
      </w:r>
    </w:p>
    <w:p>
      <w:pPr>
        <w:pStyle w:val="TextBody"/>
        <w:bidi w:val="0"/>
        <w:spacing w:before="0" w:after="160"/>
        <w:ind w:left="0" w:right="0" w:hanging="0"/>
        <w:jc w:val="both"/>
        <w:rPr>
          <w:rFonts w:ascii="TimesNewRoman;Times New Roman;Times;Baskerville;Georgia;serif" w:hAnsi="TimesNewRoman;Times New Roman;Times;Baskerville;Georgia;serif"/>
          <w:color w:val="000000"/>
          <w:sz w:val="24"/>
        </w:rPr>
      </w:pPr>
      <w:r>
        <w:rPr>
          <w:rFonts w:ascii="TimesNewRoman;Times New Roman;Times;Baskerville;Georgia;serif" w:hAnsi="TimesNewRoman;Times New Roman;Times;Baskerville;Georgia;serif"/>
          <w:color w:val="000000"/>
          <w:sz w:val="24"/>
        </w:rPr>
        <w:t>Statements contained herein that relate to the Company's future cash dividends on its common stock and Class B common stock are forward-looking statements within the safe harbor provisions of Private Securities Litigation Reform Act of 1995. Words such as “to be,” "will be," or other similar words or expressions often identify forward-looking statements. Such statements are based on current expectations only, and are subject to certain risks, uncertainties and assumptions, many of which are beyond our control. Should one or more of these risks or uncertainties materialize, or should underlying assumptions prove incorrect, actual results, performance, or achievements may vary materially from those anticipated, estimated or projected. Among the factors that could cause actual results to materially differ include: general business and economic conditions; manufacturing or supply chain interruptions or changes in customer demand due to political, economic, and health instability and military conflicts and hostilities; delays or difficulties in implementing our cost reduction strategies; delays or difficulties in expanding our manufacturing capacities; an inability to attract and retain highly qualified personnel; changes in foreign currency exchange rates; uncertainty related to the effects of changes in foreign currency exchange rates; competition and technological changes in our industries; difficulties in new product development; difficulties in identifying suitable acquisition candidates, consummating a transaction on terms which we consider acceptable, and integration and performance of acquired businesses; changes in U.S. and foreign trade regulations and tariffs, and uncertainty regarding the same; volatility in prices for metals and materials; changes in applicable domestic and foreign tax regulations, and uncertainty regarding the same; changes in applicable accounting standards and other factors affecting our operations that are set forth in our filings with the Securities and Exchange Commission, including our annual reports on Form 10-K and our quarterly reports on Form 10-Q. We undertake no obligation to publicly update or revise any forward-looking statements, whether as a result of new information, future events or otherwise.</w:t>
      </w:r>
    </w:p>
    <w:p>
      <w:pPr>
        <w:pStyle w:val="TextBody"/>
        <w:bidi w:val="0"/>
        <w:spacing w:before="0" w:after="160"/>
        <w:ind w:left="0" w:right="0" w:hanging="0"/>
        <w:jc w:val="both"/>
        <w:rPr>
          <w:color w:val="000000"/>
        </w:rPr>
      </w:pPr>
      <w:r>
        <w:rPr>
          <w:color w:val="000000"/>
        </w:rPr>
        <w:t> </w:t>
      </w:r>
    </w:p>
    <w:p>
      <w:pPr>
        <w:pStyle w:val="TextBody"/>
        <w:bidi w:val="0"/>
        <w:spacing w:before="0" w:after="160"/>
        <w:ind w:left="0" w:right="0" w:hanging="0"/>
        <w:jc w:val="both"/>
        <w:rPr>
          <w:rFonts w:ascii="TimesNewRoman;Times New Roman;Times;Baskerville;Georgia;serif" w:hAnsi="TimesNewRoman;Times New Roman;Times;Baskerville;Georgia;serif"/>
          <w:color w:val="000000"/>
          <w:sz w:val="24"/>
        </w:rPr>
      </w:pPr>
      <w:r>
        <w:rPr>
          <w:rFonts w:ascii="TimesNewRoman;Times New Roman;Times;Baskerville;Georgia;serif" w:hAnsi="TimesNewRoman;Times New Roman;Times;Baskerville;Georgia;serif"/>
          <w:b/>
          <w:i/>
          <w:color w:val="000000"/>
          <w:sz w:val="24"/>
        </w:rPr>
        <w:t>The DNA of tech</w:t>
      </w:r>
      <w:r>
        <w:rPr>
          <w:rFonts w:ascii="TimesNewRoman;Times New Roman;Times;Baskerville;Georgia;serif" w:hAnsi="TimesNewRoman;Times New Roman;Times;Baskerville;Georgia;serif"/>
          <w:color w:val="000000"/>
          <w:sz w:val="24"/>
        </w:rPr>
        <w:t xml:space="preserve">® </w:t>
      </w:r>
      <w:r>
        <w:rPr>
          <w:rFonts w:ascii="TimesNewRoman;Times New Roman;Times;Baskerville;Georgia;serif" w:hAnsi="TimesNewRoman;Times New Roman;Times;Baskerville;Georgia;serif"/>
          <w:i/>
          <w:color w:val="000000"/>
          <w:sz w:val="24"/>
        </w:rPr>
        <w:t>is a trademark of Vishay Intertechnology.</w:t>
      </w:r>
    </w:p>
    <w:p>
      <w:pPr>
        <w:pStyle w:val="TextBody"/>
        <w:bidi w:val="0"/>
        <w:spacing w:lineRule="auto" w:line="256" w:before="0" w:after="160"/>
        <w:ind w:left="0" w:right="0" w:hanging="0"/>
        <w:jc w:val="left"/>
        <w:rPr>
          <w:color w:val="606060"/>
        </w:rPr>
      </w:pPr>
      <w:r>
        <w:rPr>
          <w:color w:val="606060"/>
        </w:rPr>
        <w:t> </w:t>
      </w:r>
    </w:p>
    <w:p>
      <w:pPr>
        <w:pStyle w:val="TextBody"/>
        <w:bidi w:val="0"/>
        <w:spacing w:before="0" w:after="160"/>
        <w:ind w:left="0" w:right="0" w:hanging="0"/>
        <w:jc w:val="left"/>
        <w:rPr>
          <w:rFonts w:ascii="TimesNewRoman;Times New Roman;Times;Baskerville;Georgia;serif" w:hAnsi="TimesNewRoman;Times New Roman;Times;Baskerville;Georgia;serif"/>
          <w:color w:val="000000"/>
          <w:sz w:val="24"/>
        </w:rPr>
      </w:pPr>
      <w:r>
        <w:rPr>
          <w:rFonts w:ascii="TimesNewRoman;Times New Roman;Times;Baskerville;Georgia;serif" w:hAnsi="TimesNewRoman;Times New Roman;Times;Baskerville;Georgia;serif"/>
          <w:color w:val="000000"/>
          <w:sz w:val="24"/>
        </w:rPr>
        <w:t>Contact:                                                   </w:t>
      </w:r>
    </w:p>
    <w:p>
      <w:pPr>
        <w:pStyle w:val="TextBody"/>
        <w:bidi w:val="0"/>
        <w:spacing w:before="0" w:after="160"/>
        <w:ind w:left="0" w:right="0" w:hanging="0"/>
        <w:jc w:val="left"/>
        <w:rPr>
          <w:rFonts w:ascii="TimesNewRoman;Times New Roman;Times;Baskerville;Georgia;serif" w:hAnsi="TimesNewRoman;Times New Roman;Times;Baskerville;Georgia;serif"/>
          <w:color w:val="000000"/>
          <w:sz w:val="24"/>
        </w:rPr>
      </w:pPr>
      <w:r>
        <w:rPr>
          <w:rFonts w:ascii="TimesNewRoman;Times New Roman;Times;Baskerville;Georgia;serif" w:hAnsi="TimesNewRoman;Times New Roman;Times;Baskerville;Georgia;serif"/>
          <w:color w:val="000000"/>
          <w:sz w:val="24"/>
        </w:rPr>
        <w:t>Vishay Intertechnology, Inc.</w:t>
        <w:br/>
        <w:t>Peter Henrici</w:t>
        <w:br/>
        <w:t>Executive Vice President, Corporate Development</w:t>
        <w:br/>
        <w:t>+1-610-644-1300</w:t>
      </w:r>
    </w:p>
    <w:p>
      <w:pPr>
        <w:pStyle w:val="TextBody"/>
        <w:bidi w:val="0"/>
        <w:jc w:val="both"/>
        <w:rPr/>
      </w:pPr>
      <w:r>
        <w:rPr/>
        <w:t> </w:t>
      </w:r>
    </w:p>
    <w:p>
      <w:pPr>
        <w:pStyle w:val="TextBody"/>
        <w:bidi w:val="0"/>
        <w:spacing w:before="0" w:after="0"/>
        <w:jc w:val="right"/>
        <w:rPr>
          <w:rFonts w:ascii="Times New Roman" w:hAnsi="Times New Roman"/>
          <w:b/>
          <w:sz w:val="24"/>
        </w:rPr>
      </w:pPr>
      <w:bookmarkStart w:id="4" w:name="exhibit99-2.htm"/>
      <w:bookmarkStart w:id="5" w:name="ksexhibit992"/>
      <w:bookmarkEnd w:id="4"/>
      <w:bookmarkEnd w:id="5"/>
      <w:r>
        <w:rPr>
          <w:rFonts w:ascii="Times New Roman" w:hAnsi="Times New Roman"/>
          <w:b/>
          <w:sz w:val="24"/>
        </w:rPr>
        <w:t>Exhibit 99.2</w:t>
      </w:r>
      <w:r>
        <w:br w:type="page"/>
      </w:r>
    </w:p>
    <w:p>
      <w:pPr>
        <w:pStyle w:val="TextBody"/>
        <w:bidi w:val="0"/>
        <w:spacing w:before="0" w:after="0"/>
        <w:jc w:val="right"/>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sz w:val="22"/>
        </w:rPr>
      </w:pPr>
      <w:r>
        <w:rPr>
          <w:rFonts w:ascii="TimesNewRoman;Times New Roman;Times;Baskerville;Georgia;serif" w:hAnsi="TimesNewRoman;Times New Roman;Times;Baskerville;Georgia;serif"/>
          <w:sz w:val="22"/>
        </w:rPr>
        <w:t>Vishay Intertechnology, Inc.</w:t>
      </w:r>
    </w:p>
    <w:p>
      <w:pPr>
        <w:pStyle w:val="TextBody"/>
        <w:bidi w:val="0"/>
        <w:spacing w:before="0" w:after="0"/>
        <w:ind w:left="0" w:right="0" w:hanging="0"/>
        <w:jc w:val="center"/>
        <w:rPr>
          <w:rFonts w:ascii="TimesNewRoman;Times New Roman;Times;Baskerville;Georgia;serif" w:hAnsi="TimesNewRoman;Times New Roman;Times;Baskerville;Georgia;serif"/>
          <w:sz w:val="22"/>
        </w:rPr>
      </w:pPr>
      <w:r>
        <w:rPr>
          <w:rFonts w:ascii="TimesNewRoman;Times New Roman;Times;Baskerville;Georgia;serif" w:hAnsi="TimesNewRoman;Times New Roman;Times;Baskerville;Georgia;serif"/>
          <w:sz w:val="22"/>
        </w:rPr>
        <w:t>63 Lancaster Avenue</w:t>
      </w:r>
    </w:p>
    <w:p>
      <w:pPr>
        <w:pStyle w:val="TextBody"/>
        <w:bidi w:val="0"/>
        <w:spacing w:before="0" w:after="0"/>
        <w:ind w:left="0" w:right="0" w:hanging="0"/>
        <w:jc w:val="center"/>
        <w:rPr>
          <w:rFonts w:ascii="TimesNewRoman;Times New Roman;Times;Baskerville;Georgia;serif" w:hAnsi="TimesNewRoman;Times New Roman;Times;Baskerville;Georgia;serif"/>
          <w:sz w:val="22"/>
        </w:rPr>
      </w:pPr>
      <w:r>
        <w:rPr>
          <w:rFonts w:ascii="TimesNewRoman;Times New Roman;Times;Baskerville;Georgia;serif" w:hAnsi="TimesNewRoman;Times New Roman;Times;Baskerville;Georgia;serif"/>
          <w:sz w:val="22"/>
        </w:rPr>
        <w:t>Malvern, PA 19355</w:t>
      </w:r>
    </w:p>
    <w:p>
      <w:pPr>
        <w:pStyle w:val="TextBody"/>
        <w:bidi w:val="0"/>
        <w:spacing w:before="0" w:after="0"/>
        <w:ind w:left="0" w:right="0" w:hanging="0"/>
        <w:jc w:val="center"/>
        <w:rPr/>
      </w:pPr>
      <w:r>
        <w:rPr/>
        <w:t> </w:t>
      </w:r>
    </w:p>
    <w:p>
      <w:pPr>
        <w:pStyle w:val="TextBody"/>
        <w:bidi w:val="0"/>
        <w:spacing w:before="0" w:after="0"/>
        <w:ind w:left="0" w:right="0" w:hanging="0"/>
        <w:jc w:val="both"/>
        <w:rPr>
          <w:rFonts w:ascii="TimesNewRoman;Times New Roman;Times;Baskerville;Georgia;serif" w:hAnsi="TimesNewRoman;Times New Roman;Times;Baskerville;Georgia;serif"/>
          <w:sz w:val="22"/>
        </w:rPr>
      </w:pPr>
      <w:r>
        <w:rPr>
          <w:rFonts w:ascii="TimesNewRoman;Times New Roman;Times;Baskerville;Georgia;serif" w:hAnsi="TimesNewRoman;Times New Roman;Times;Baskerville;Georgia;serif"/>
          <w:sz w:val="22"/>
        </w:rPr>
        <w:t>To: Holder of Vishay Intertechnology, Inc. 2.25% Convertible Senior Notes due 2030 (CUSIP: 928298 AR9) (the "</w:t>
      </w:r>
      <w:r>
        <w:rPr>
          <w:rFonts w:ascii="TimesNewRoman;Times New Roman;Times;Baskerville;Georgia;serif" w:hAnsi="TimesNewRoman;Times New Roman;Times;Baskerville;Georgia;serif"/>
          <w:sz w:val="22"/>
          <w:u w:val="single"/>
        </w:rPr>
        <w:t>Notes</w:t>
      </w:r>
      <w:r>
        <w:rPr>
          <w:rFonts w:ascii="TimesNewRoman;Times New Roman;Times;Baskerville;Georgia;serif" w:hAnsi="TimesNewRoman;Times New Roman;Times;Baskerville;Georgia;serif"/>
          <w:sz w:val="22"/>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NewRoman;Times New Roman;Times;Baskerville;Georgia;serif" w:hAnsi="TimesNewRoman;Times New Roman;Times;Baskerville;Georgia;serif"/>
          <w:sz w:val="22"/>
        </w:rPr>
      </w:pPr>
      <w:r>
        <w:rPr>
          <w:rFonts w:ascii="TimesNewRoman;Times New Roman;Times;Baskerville;Georgia;serif" w:hAnsi="TimesNewRoman;Times New Roman;Times;Baskerville;Georgia;serif"/>
          <w:sz w:val="22"/>
        </w:rPr>
        <w:t>HSBC Bank USA, National Association</w:t>
      </w:r>
    </w:p>
    <w:p>
      <w:pPr>
        <w:pStyle w:val="TextBody"/>
        <w:bidi w:val="0"/>
        <w:spacing w:before="0" w:after="0"/>
        <w:ind w:left="0" w:right="0" w:hanging="0"/>
        <w:jc w:val="both"/>
        <w:rPr>
          <w:rFonts w:ascii="TimesNewRoman;Times New Roman;Times;Baskerville;Georgia;serif" w:hAnsi="TimesNewRoman;Times New Roman;Times;Baskerville;Georgia;serif"/>
          <w:sz w:val="22"/>
        </w:rPr>
      </w:pPr>
      <w:r>
        <w:rPr>
          <w:rFonts w:ascii="TimesNewRoman;Times New Roman;Times;Baskerville;Georgia;serif" w:hAnsi="TimesNewRoman;Times New Roman;Times;Baskerville;Georgia;serif"/>
          <w:sz w:val="22"/>
        </w:rPr>
        <w:t>Issuer Services</w:t>
      </w:r>
    </w:p>
    <w:p>
      <w:pPr>
        <w:pStyle w:val="TextBody"/>
        <w:bidi w:val="0"/>
        <w:spacing w:before="0" w:after="0"/>
        <w:ind w:left="0" w:right="0" w:hanging="0"/>
        <w:jc w:val="both"/>
        <w:rPr>
          <w:rFonts w:ascii="TimesNewRoman;Times New Roman;Times;Baskerville;Georgia;serif" w:hAnsi="TimesNewRoman;Times New Roman;Times;Baskerville;Georgia;serif"/>
          <w:sz w:val="22"/>
        </w:rPr>
      </w:pPr>
      <w:r>
        <w:rPr>
          <w:rFonts w:ascii="TimesNewRoman;Times New Roman;Times;Baskerville;Georgia;serif" w:hAnsi="TimesNewRoman;Times New Roman;Times;Baskerville;Georgia;serif"/>
          <w:sz w:val="22"/>
        </w:rPr>
        <w:t>66 Hudson Boulevard East 545W9</w:t>
      </w:r>
    </w:p>
    <w:p>
      <w:pPr>
        <w:pStyle w:val="TextBody"/>
        <w:bidi w:val="0"/>
        <w:spacing w:before="0" w:after="0"/>
        <w:ind w:left="0" w:right="0" w:hanging="0"/>
        <w:jc w:val="both"/>
        <w:rPr>
          <w:rFonts w:ascii="TimesNewRoman;Times New Roman;Times;Baskerville;Georgia;serif" w:hAnsi="TimesNewRoman;Times New Roman;Times;Baskerville;Georgia;serif"/>
          <w:sz w:val="22"/>
        </w:rPr>
      </w:pPr>
      <w:r>
        <w:rPr>
          <w:rFonts w:ascii="TimesNewRoman;Times New Roman;Times;Baskerville;Georgia;serif" w:hAnsi="TimesNewRoman;Times New Roman;Times;Baskerville;Georgia;serif"/>
          <w:sz w:val="22"/>
        </w:rPr>
        <w:t>New York, NY 10001</w:t>
      </w:r>
    </w:p>
    <w:p>
      <w:pPr>
        <w:pStyle w:val="TextBody"/>
        <w:bidi w:val="0"/>
        <w:spacing w:before="0" w:after="0"/>
        <w:ind w:left="0" w:right="0" w:hanging="0"/>
        <w:jc w:val="both"/>
        <w:rPr>
          <w:rFonts w:ascii="TimesNewRoman;Times New Roman;Times;Baskerville;Georgia;serif" w:hAnsi="TimesNewRoman;Times New Roman;Times;Baskerville;Georgia;serif"/>
          <w:sz w:val="22"/>
        </w:rPr>
      </w:pPr>
      <w:r>
        <w:rPr>
          <w:rFonts w:ascii="TimesNewRoman;Times New Roman;Times;Baskerville;Georgia;serif" w:hAnsi="TimesNewRoman;Times New Roman;Times;Baskerville;Georgia;serif"/>
          <w:sz w:val="22"/>
        </w:rPr>
        <w:t>Attention: Client Service Delivery</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NewRoman;Times New Roman;Times;Baskerville;Georgia;serif" w:hAnsi="TimesNewRoman;Times New Roman;Times;Baskerville;Georgia;serif"/>
          <w:b/>
          <w:sz w:val="22"/>
        </w:rPr>
      </w:pPr>
      <w:r>
        <w:rPr>
          <w:rFonts w:ascii="TimesNewRoman;Times New Roman;Times;Baskerville;Georgia;serif" w:hAnsi="TimesNewRoman;Times New Roman;Times;Baskerville;Georgia;serif"/>
          <w:b/>
          <w:sz w:val="22"/>
        </w:rPr>
        <w:t>Re: Notice of Convertibility of Notes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NewRoman;Times New Roman;Times;Baskerville;Georgia;serif" w:hAnsi="TimesNewRoman;Times New Roman;Times;Baskerville;Georgia;serif"/>
          <w:sz w:val="22"/>
        </w:rPr>
      </w:pPr>
      <w:r>
        <w:rPr>
          <w:rFonts w:ascii="TimesNewRoman;Times New Roman;Times;Baskerville;Georgia;serif" w:hAnsi="TimesNewRoman;Times New Roman;Times;Baskerville;Georgia;serif"/>
          <w:sz w:val="22"/>
        </w:rPr>
        <w:t>Ladies and Gentlemen:</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NewRoman;Times New Roman;Times;Baskerville;Georgia;serif" w:hAnsi="TimesNewRoman;Times New Roman;Times;Baskerville;Georgia;serif"/>
          <w:sz w:val="22"/>
        </w:rPr>
      </w:pPr>
      <w:r>
        <w:rPr>
          <w:rFonts w:ascii="TimesNewRoman;Times New Roman;Times;Baskerville;Georgia;serif" w:hAnsi="TimesNewRoman;Times New Roman;Times;Baskerville;Georgia;serif"/>
          <w:sz w:val="22"/>
        </w:rPr>
        <w:t>Reference is hereby made to the Indenture, dated as of September 12, 2023 (the "</w:t>
      </w:r>
      <w:r>
        <w:rPr>
          <w:rFonts w:ascii="TimesNewRoman;Times New Roman;Times;Baskerville;Georgia;serif" w:hAnsi="TimesNewRoman;Times New Roman;Times;Baskerville;Georgia;serif"/>
          <w:sz w:val="22"/>
          <w:u w:val="single"/>
        </w:rPr>
        <w:t>Indenture</w:t>
      </w:r>
      <w:r>
        <w:rPr>
          <w:rFonts w:ascii="TimesNewRoman;Times New Roman;Times;Baskerville;Georgia;serif" w:hAnsi="TimesNewRoman;Times New Roman;Times;Baskerville;Georgia;serif"/>
          <w:sz w:val="22"/>
        </w:rPr>
        <w:t>"), by and between Vishay Intertechnology, Inc. (the "</w:t>
      </w:r>
      <w:r>
        <w:rPr>
          <w:rFonts w:ascii="TimesNewRoman;Times New Roman;Times;Baskerville;Georgia;serif" w:hAnsi="TimesNewRoman;Times New Roman;Times;Baskerville;Georgia;serif"/>
          <w:sz w:val="22"/>
          <w:u w:val="single"/>
        </w:rPr>
        <w:t>Company</w:t>
      </w:r>
      <w:r>
        <w:rPr>
          <w:rFonts w:ascii="TimesNewRoman;Times New Roman;Times;Baskerville;Georgia;serif" w:hAnsi="TimesNewRoman;Times New Roman;Times;Baskerville;Georgia;serif"/>
          <w:sz w:val="22"/>
        </w:rPr>
        <w:t>") and HSBC Bank USA, National Association, as trustee (in such capacity, the "</w:t>
      </w:r>
      <w:r>
        <w:rPr>
          <w:rFonts w:ascii="TimesNewRoman;Times New Roman;Times;Baskerville;Georgia;serif" w:hAnsi="TimesNewRoman;Times New Roman;Times;Baskerville;Georgia;serif"/>
          <w:sz w:val="22"/>
          <w:u w:val="single"/>
        </w:rPr>
        <w:t>Trustee</w:t>
      </w:r>
      <w:r>
        <w:rPr>
          <w:rFonts w:ascii="TimesNewRoman;Times New Roman;Times;Baskerville;Georgia;serif" w:hAnsi="TimesNewRoman;Times New Roman;Times;Baskerville;Georgia;serif"/>
          <w:sz w:val="22"/>
        </w:rPr>
        <w:t>").  Capitalized terms used herein without definition shall have meanings assigned to them in the Indenture.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NewRoman;Times New Roman;Times;Baskerville;Georgia;serif" w:hAnsi="TimesNewRoman;Times New Roman;Times;Baskerville;Georgia;serif"/>
          <w:sz w:val="22"/>
        </w:rPr>
      </w:pPr>
      <w:r>
        <w:rPr>
          <w:rFonts w:ascii="TimesNewRoman;Times New Roman;Times;Baskerville;Georgia;serif" w:hAnsi="TimesNewRoman;Times New Roman;Times;Baskerville;Georgia;serif"/>
          <w:sz w:val="22"/>
        </w:rPr>
        <w:t>Pursuant to Section 14.01(b)(iv) of the Indenture, the Notes shall become convertible at any time during any fiscal quarter (and only during such fiscal quarter) commencing after the fiscal quarter ending December 31, 2023 and prior to the close of business on the Business Day immediately preceding March 15, 2030, if the Last Reported Sale Price of the Common Stock for at least 20 Trading Days during the period of 30 consecutive Trading Days ending on, and including, the last Trading Day of the immediately preceding fiscal quarter is greater than or equal to 130% of the Conversion Price on each applicable Trading Day (the "</w:t>
      </w:r>
      <w:r>
        <w:rPr>
          <w:rFonts w:ascii="TimesNewRoman;Times New Roman;Times;Baskerville;Georgia;serif" w:hAnsi="TimesNewRoman;Times New Roman;Times;Baskerville;Georgia;serif"/>
          <w:sz w:val="22"/>
          <w:u w:val="single"/>
        </w:rPr>
        <w:t>Sale Price Conversion Condition</w:t>
      </w:r>
      <w:r>
        <w:rPr>
          <w:rFonts w:ascii="TimesNewRoman;Times New Roman;Times;Baskerville;Georgia;serif" w:hAnsi="TimesNewRoman;Times New Roman;Times;Baskerville;Georgia;serif"/>
          <w:sz w:val="22"/>
        </w:rPr>
        <w:t>").</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NewRoman;Times New Roman;Times;Baskerville;Georgia;serif" w:hAnsi="TimesNewRoman;Times New Roman;Times;Baskerville;Georgia;serif"/>
          <w:sz w:val="22"/>
        </w:rPr>
      </w:pPr>
      <w:r>
        <w:rPr>
          <w:rFonts w:ascii="TimesNewRoman;Times New Roman;Times;Baskerville;Georgia;serif" w:hAnsi="TimesNewRoman;Times New Roman;Times;Baskerville;Georgia;serif"/>
          <w:sz w:val="22"/>
        </w:rPr>
        <w:t>The Company hereby provides notice that the Sale Price Conversion Condition has been satisfied with respect to the fiscal quarter ended July 4, 2026 and, accordingly, Holders may convert all or any portion (if the portion to be converted is $1,000 principal amount or an integral multiple thereof) of their Notes during the fiscal quarter ending October 3, 2026 in accordance with the requirements of the Indenture, including with respect to Section 14.02 of the Indenture, at the Conversion Rate of 33.1609 shares of Common Stock per $1,000 principal amount of Notes, subject to the terms of the Indenture.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NewRoman;Times New Roman;Times;Baskerville;Georgia;serif" w:hAnsi="TimesNewRoman;Times New Roman;Times;Baskerville;Georgia;serif"/>
          <w:sz w:val="22"/>
        </w:rPr>
      </w:pPr>
      <w:r>
        <w:rPr>
          <w:rFonts w:ascii="TimesNewRoman;Times New Roman;Times;Baskerville;Georgia;serif" w:hAnsi="TimesNewRoman;Times New Roman;Times;Baskerville;Georgia;serif"/>
          <w:sz w:val="22"/>
        </w:rPr>
        <w:t>No adjustment to the Conversion Rate pursuant to Section 14.03 of the Indenture has taken effect as a result of the satisfaction of the Sale Price Conversion Condition.</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NewRoman;Times New Roman;Times;Baskerville;Georgia;serif" w:hAnsi="TimesNewRoman;Times New Roman;Times;Baskerville;Georgia;serif"/>
          <w:b/>
          <w:sz w:val="22"/>
        </w:rPr>
      </w:pPr>
      <w:r>
        <w:rPr>
          <w:rFonts w:ascii="TimesNewRoman;Times New Roman;Times;Baskerville;Georgia;serif" w:hAnsi="TimesNewRoman;Times New Roman;Times;Baskerville;Georgia;serif"/>
          <w:b/>
          <w:sz w:val="22"/>
        </w:rPr>
        <w:t>Conversion Procedures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NewRoman;Times New Roman;Times;Baskerville;Georgia;serif" w:hAnsi="TimesNewRoman;Times New Roman;Times;Baskerville;Georgia;serif"/>
          <w:sz w:val="22"/>
        </w:rPr>
      </w:pPr>
      <w:r>
        <w:rPr>
          <w:rFonts w:ascii="TimesNewRoman;Times New Roman;Times;Baskerville;Georgia;serif" w:hAnsi="TimesNewRoman;Times New Roman;Times;Baskerville;Georgia;serif"/>
          <w:sz w:val="22"/>
        </w:rPr>
        <w:t>The following sets forth the procedures a Holder must follow to convert their Notes: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NewRoman;Times New Roman;Times;Baskerville;Georgia;serif" w:hAnsi="TimesNewRoman;Times New Roman;Times;Baskerville;Georgia;serif"/>
          <w:sz w:val="22"/>
        </w:rPr>
      </w:pPr>
      <w:r>
        <w:rPr>
          <w:rFonts w:ascii="TimesNewRoman;Times New Roman;Times;Baskerville;Georgia;serif" w:hAnsi="TimesNewRoman;Times New Roman;Times;Baskerville;Georgia;serif"/>
          <w:i/>
          <w:sz w:val="22"/>
        </w:rPr>
        <w:t>Holders of beneficial interests in a Global Note.</w:t>
      </w:r>
      <w:r>
        <w:rPr>
          <w:rFonts w:ascii="TimesNewRoman;Times New Roman;Times;Baskerville;Georgia;serif" w:hAnsi="TimesNewRoman;Times New Roman;Times;Baskerville;Georgia;serif"/>
          <w:sz w:val="22"/>
        </w:rPr>
        <w:t>  Holders of a beneficial interest in a Global Note need only comply with the procedures of the Depository in effect at that time and, if required, pay funds equal to interest payable on the next Interest Payment Date to which such Holder is not entitled as set forth in Section 14.02(h).</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NewRoman;Times New Roman;Times;Baskerville;Georgia;serif" w:hAnsi="TimesNewRoman;Times New Roman;Times;Baskerville;Georgia;serif"/>
          <w:sz w:val="22"/>
        </w:rPr>
      </w:pPr>
      <w:r>
        <w:rPr>
          <w:rFonts w:ascii="TimesNewRoman;Times New Roman;Times;Baskerville;Georgia;serif" w:hAnsi="TimesNewRoman;Times New Roman;Times;Baskerville;Georgia;serif"/>
          <w:i/>
          <w:sz w:val="22"/>
        </w:rPr>
        <w:t>Holders of Physical Notes.</w:t>
      </w:r>
      <w:r>
        <w:rPr>
          <w:rFonts w:ascii="TimesNewRoman;Times New Roman;Times;Baskerville;Georgia;serif" w:hAnsi="TimesNewRoman;Times New Roman;Times;Baskerville;Georgia;serif"/>
          <w:sz w:val="22"/>
        </w:rPr>
        <w:t>  Holders of Physical Notes must (a) complete, manually sign and deliver </w:t>
      </w:r>
      <w:r>
        <w:rPr>
          <w:rFonts w:ascii="TimesNewRoman;Times New Roman;Times;Baskerville;Georgia;serif" w:hAnsi="TimesNewRoman;Times New Roman;Times;Baskerville;Georgia;serif"/>
          <w:spacing w:val="0"/>
          <w:sz w:val="22"/>
        </w:rPr>
        <w:t>an irrevocable notice to the Conversion Agent as set forth in the Form of Notice of Conversion (or a facsimile thereof) (a “</w:t>
      </w:r>
      <w:r>
        <w:rPr>
          <w:rFonts w:ascii="TimesNewRoman;Times New Roman;Times;Baskerville;Georgia;serif" w:hAnsi="TimesNewRoman;Times New Roman;Times;Baskerville;Georgia;serif"/>
          <w:spacing w:val="0"/>
          <w:sz w:val="22"/>
          <w:u w:val="single"/>
        </w:rPr>
        <w:t>Notice of Conversion</w:t>
      </w:r>
      <w:r>
        <w:rPr>
          <w:rFonts w:ascii="TimesNewRoman;Times New Roman;Times;Baskerville;Georgia;serif" w:hAnsi="TimesNewRoman;Times New Roman;Times;Baskerville;Georgia;serif"/>
          <w:spacing w:val="0"/>
          <w:sz w:val="22"/>
        </w:rPr>
        <w:t>”) at the office of the Conversion Agent and state in writing therein the principal amount of Notes to be converted and the name or names (with addresses) in which such Holder wishes the certificate or certificates for any shares of Common Stock to be delivered upon settlement of the Conversion Obligation to be registered, (2) surrender such Notes, duly endorsed to the Company or in blank (and accompanied by appropriate endorsement and transfer documents), at the office of the Conversion Agent, (3) if required, furnish appropriate endorsements and transfer documents and (4) if required, pay funds equal to interest payable on the next Interest Payment Date to which such Holder is not entitled as set forth in Section 14.02(h).</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1</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NewRoman;Times New Roman;Times;Baskerville;Georgia;serif" w:hAnsi="TimesNewRoman;Times New Roman;Times;Baskerville;Georgia;serif"/>
          <w:sz w:val="22"/>
        </w:rPr>
      </w:pPr>
      <w:r>
        <w:rPr>
          <w:rFonts w:ascii="TimesNewRoman;Times New Roman;Times;Baskerville;Georgia;serif" w:hAnsi="TimesNewRoman;Times New Roman;Times;Baskerville;Georgia;serif"/>
          <w:i/>
          <w:sz w:val="22"/>
        </w:rPr>
        <w:t>Conversion Date.</w:t>
      </w:r>
      <w:r>
        <w:rPr>
          <w:rFonts w:ascii="TimesNewRoman;Times New Roman;Times;Baskerville;Georgia;serif" w:hAnsi="TimesNewRoman;Times New Roman;Times;Baskerville;Georgia;serif"/>
          <w:sz w:val="22"/>
        </w:rPr>
        <w:t>  A Holder's Conversion Date means the date that such Holder has complied with the requirements summarized above pursuant to Section 14.02(b) of the Indenture.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NewRoman;Times New Roman;Times;Baskerville;Georgia;serif" w:hAnsi="TimesNewRoman;Times New Roman;Times;Baskerville;Georgia;serif"/>
          <w:sz w:val="22"/>
        </w:rPr>
      </w:pPr>
      <w:r>
        <w:rPr>
          <w:rFonts w:ascii="TimesNewRoman;Times New Roman;Times;Baskerville;Georgia;serif" w:hAnsi="TimesNewRoman;Times New Roman;Times;Baskerville;Georgia;serif"/>
          <w:i/>
          <w:sz w:val="22"/>
        </w:rPr>
        <w:t xml:space="preserve">Conversion Agent.  </w:t>
      </w:r>
      <w:r>
        <w:rPr>
          <w:rFonts w:ascii="TimesNewRoman;Times New Roman;Times;Baskerville;Georgia;serif" w:hAnsi="TimesNewRoman;Times New Roman;Times;Baskerville;Georgia;serif"/>
          <w:sz w:val="22"/>
        </w:rPr>
        <w:t>The Trustee is acting as the Conversion Agent.</w:t>
      </w:r>
    </w:p>
    <w:p>
      <w:pPr>
        <w:pStyle w:val="TextBody"/>
        <w:bidi w:val="0"/>
        <w:spacing w:before="0" w:after="0"/>
        <w:ind w:left="0" w:right="0" w:hanging="0"/>
        <w:jc w:val="both"/>
        <w:rPr/>
      </w:pPr>
      <w:r>
        <w:rPr/>
        <w:t> </w:t>
      </w:r>
    </w:p>
    <w:p>
      <w:pPr>
        <w:pStyle w:val="TextBody"/>
        <w:bidi w:val="0"/>
        <w:spacing w:before="0" w:after="0"/>
        <w:ind w:left="0" w:right="0" w:firstLine="930"/>
        <w:jc w:val="both"/>
        <w:rPr>
          <w:rFonts w:ascii="TimesNewRoman;Times New Roman;Times;Baskerville;Georgia;serif" w:hAnsi="TimesNewRoman;Times New Roman;Times;Baskerville;Georgia;serif"/>
          <w:sz w:val="22"/>
        </w:rPr>
      </w:pPr>
      <w:r>
        <w:rPr>
          <w:rFonts w:ascii="TimesNewRoman;Times New Roman;Times;Baskerville;Georgia;serif" w:hAnsi="TimesNewRoman;Times New Roman;Times;Baskerville;Georgia;serif"/>
          <w:i/>
          <w:spacing w:val="0"/>
          <w:sz w:val="22"/>
        </w:rPr>
        <w:t>Interest for the Notes</w:t>
      </w:r>
      <w:r>
        <w:rPr>
          <w:rFonts w:ascii="TimesNewRoman;Times New Roman;Times;Baskerville;Georgia;serif" w:hAnsi="TimesNewRoman;Times New Roman;Times;Baskerville;Georgia;serif"/>
          <w:spacing w:val="0"/>
          <w:sz w:val="22"/>
        </w:rPr>
        <w:t>.  Upon conversion, a Holder shall not receive any separate payment for accrued and unpaid interest, if any, except as set forth below.  The Company’s settlement of the full Conversion Obligation shall be deemed to satisfy in full its obligation to pay the principal amount of the Note and accrued and unpaid interest, if any, to, but not including, the relevant Conversion Date. As a result, accrued and unpaid interest, if any, to, but not including, the relevant Conversion Date shall be deemed to be paid in full rather than cancelled, extinguished or forfeited.</w:t>
      </w:r>
    </w:p>
    <w:p>
      <w:pPr>
        <w:pStyle w:val="TextBody"/>
        <w:bidi w:val="0"/>
        <w:spacing w:before="0" w:after="0"/>
        <w:ind w:left="0" w:right="0" w:hanging="0"/>
        <w:jc w:val="both"/>
        <w:rPr/>
      </w:pPr>
      <w:r>
        <w:rPr/>
        <w:t> </w:t>
      </w:r>
    </w:p>
    <w:p>
      <w:pPr>
        <w:pStyle w:val="TextBody"/>
        <w:bidi w:val="0"/>
        <w:spacing w:before="0" w:after="0"/>
        <w:ind w:left="0" w:right="0" w:firstLine="930"/>
        <w:jc w:val="both"/>
        <w:rPr>
          <w:rFonts w:ascii="TimesNewRoman;Times New Roman;Times;Baskerville;Georgia;serif" w:hAnsi="TimesNewRoman;Times New Roman;Times;Baskerville;Georgia;serif"/>
          <w:sz w:val="22"/>
        </w:rPr>
      </w:pPr>
      <w:r>
        <w:rPr>
          <w:rFonts w:ascii="TimesNewRoman;Times New Roman;Times;Baskerville;Georgia;serif" w:hAnsi="TimesNewRoman;Times New Roman;Times;Baskerville;Georgia;serif"/>
          <w:i/>
          <w:sz w:val="22"/>
        </w:rPr>
        <w:t>Stock Taxes. </w:t>
      </w:r>
      <w:r>
        <w:rPr>
          <w:rFonts w:ascii="TimesNewRoman;Times New Roman;Times;Baskerville;Georgia;serif" w:hAnsi="TimesNewRoman;Times New Roman;Times;Baskerville;Georgia;serif"/>
          <w:sz w:val="22"/>
        </w:rPr>
        <w:t> </w:t>
      </w:r>
      <w:r>
        <w:rPr>
          <w:rFonts w:ascii="TimesNewRoman;Times New Roman;Times;Baskerville;Georgia;serif" w:hAnsi="TimesNewRoman;Times New Roman;Times;Baskerville;Georgia;serif"/>
          <w:spacing w:val="0"/>
          <w:sz w:val="22"/>
        </w:rPr>
        <w:t>If a Holder submits a Note for conversion, the Company shall pay any documentary, stamp or similar issue or transfer tax due on the issue of any shares of Common Stock upon conversion, unless the tax is due because the Holder requests such shares to be issued in a name other than the Holder’s name, in which case the Holder shall pay that tax.</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NewRoman;Times New Roman;Times;Baskerville;Georgia;serif" w:hAnsi="TimesNewRoman;Times New Roman;Times;Baskerville;Georgia;serif"/>
          <w:b/>
          <w:sz w:val="22"/>
        </w:rPr>
      </w:pPr>
      <w:r>
        <w:rPr>
          <w:rFonts w:ascii="TimesNewRoman;Times New Roman;Times;Baskerville;Georgia;serif" w:hAnsi="TimesNewRoman;Times New Roman;Times;Baskerville;Georgia;serif"/>
          <w:b/>
          <w:sz w:val="22"/>
        </w:rPr>
        <w:t>Settlement Upon Conversion</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NewRoman;Times New Roman;Times;Baskerville;Georgia;serif" w:hAnsi="TimesNewRoman;Times New Roman;Times;Baskerville;Georgia;serif"/>
          <w:sz w:val="22"/>
        </w:rPr>
      </w:pPr>
      <w:r>
        <w:rPr>
          <w:rFonts w:ascii="TimesNewRoman;Times New Roman;Times;Baskerville;Georgia;serif" w:hAnsi="TimesNewRoman;Times New Roman;Times;Baskerville;Georgia;serif"/>
          <w:i/>
          <w:sz w:val="22"/>
        </w:rPr>
        <w:t>Method of Settlement. </w:t>
      </w:r>
      <w:r>
        <w:rPr>
          <w:rFonts w:ascii="TimesNewRoman;Times New Roman;Times;Baskerville;Georgia;serif" w:hAnsi="TimesNewRoman;Times New Roman;Times;Baskerville;Georgia;serif"/>
          <w:sz w:val="22"/>
        </w:rPr>
        <w:t xml:space="preserve"> The Notes are convertible into cash, up to the aggregate principal amount of the Notes, and in cash, shares of the Company's common stock or a combination thereof, at the Company's election, in respect of the remainder, if any, of the Company's conversion obligation in excess of the aggregate principal amount of the Notes being converted.</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NewRoman;Times New Roman;Times;Baskerville;Georgia;serif" w:hAnsi="TimesNewRoman;Times New Roman;Times;Baskerville;Georgia;serif"/>
          <w:sz w:val="22"/>
        </w:rPr>
      </w:pPr>
      <w:r>
        <w:rPr>
          <w:rFonts w:ascii="TimesNewRoman;Times New Roman;Times;Baskerville;Georgia;serif" w:hAnsi="TimesNewRoman;Times New Roman;Times;Baskerville;Georgia;serif"/>
          <w:i/>
          <w:sz w:val="22"/>
        </w:rPr>
        <w:t>Delivery of Consideration. </w:t>
      </w:r>
      <w:r>
        <w:rPr>
          <w:rFonts w:ascii="TimesNewRoman;Times New Roman;Times;Baskerville;Georgia;serif" w:hAnsi="TimesNewRoman;Times New Roman;Times;Baskerville;Georgia;serif"/>
          <w:sz w:val="22"/>
        </w:rPr>
        <w:t> </w:t>
      </w:r>
      <w:r>
        <w:rPr>
          <w:rFonts w:ascii="TimesNewRoman;Times New Roman;Times;Baskerville;Georgia;serif" w:hAnsi="TimesNewRoman;Times New Roman;Times;Baskerville;Georgia;serif"/>
          <w:spacing w:val="0"/>
          <w:sz w:val="22"/>
        </w:rPr>
        <w:t>The Company will deliver the consideration due in respect of the Conversion Obligation no later than the second Business Day immediately following last Trading Day of the relevant Observation Period.</w:t>
      </w:r>
    </w:p>
    <w:p>
      <w:pPr>
        <w:pStyle w:val="TextBody"/>
        <w:bidi w:val="0"/>
        <w:spacing w:before="0" w:after="0"/>
        <w:ind w:left="0" w:right="0" w:hanging="0"/>
        <w:jc w:val="both"/>
        <w:rPr/>
      </w:pPr>
      <w:r>
        <w:rPr/>
        <w:t> </w:t>
      </w:r>
    </w:p>
    <w:p>
      <w:pPr>
        <w:pStyle w:val="TextBody"/>
        <w:bidi w:val="0"/>
        <w:spacing w:before="0" w:after="0"/>
        <w:ind w:left="0" w:right="0" w:firstLine="930"/>
        <w:jc w:val="both"/>
        <w:rPr>
          <w:rFonts w:ascii="TimesNewRoman;Times New Roman;Times;Baskerville;Georgia;serif" w:hAnsi="TimesNewRoman;Times New Roman;Times;Baskerville;Georgia;serif"/>
          <w:sz w:val="22"/>
        </w:rPr>
      </w:pPr>
      <w:r>
        <w:rPr>
          <w:rFonts w:ascii="TimesNewRoman;Times New Roman;Times;Baskerville;Georgia;serif" w:hAnsi="TimesNewRoman;Times New Roman;Times;Baskerville;Georgia;serif"/>
          <w:i/>
          <w:sz w:val="22"/>
        </w:rPr>
        <w:t>Fractional Shares.</w:t>
      </w:r>
      <w:r>
        <w:rPr>
          <w:rFonts w:ascii="TimesNewRoman;Times New Roman;Times;Baskerville;Georgia;serif" w:hAnsi="TimesNewRoman;Times New Roman;Times;Baskerville;Georgia;serif"/>
          <w:sz w:val="22"/>
        </w:rPr>
        <w:t>  </w:t>
      </w:r>
      <w:r>
        <w:rPr>
          <w:rFonts w:ascii="TimesNewRoman;Times New Roman;Times;Baskerville;Georgia;serif" w:hAnsi="TimesNewRoman;Times New Roman;Times;Baskerville;Georgia;serif"/>
          <w:spacing w:val="0"/>
          <w:sz w:val="22"/>
        </w:rPr>
        <w:t>The Company shall not issue any fractional share of Common Stock upon conversion of the Notes and shall instead pay cash in lieu of delivering any fractional share of Common Stock issuable upon conversion based on the Daily VWAP for the last Trading Day of the relevant Observation Period.  For each Note surrendered for conversion, the full number of shares that shall be issued upon conversion thereof shall be computed on the basis of the aggregate Daily Settlement Amounts for the relevant Observation Period and any fractional shares remaining after such computation shall be paid in cash.</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NewRoman;Times New Roman;Times;Baskerville;Georgia;serif" w:hAnsi="TimesNewRoman;Times New Roman;Times;Baskerville;Georgia;serif"/>
          <w:sz w:val="22"/>
        </w:rPr>
      </w:pPr>
      <w:r>
        <w:rPr>
          <w:rFonts w:ascii="TimesNewRoman;Times New Roman;Times;Baskerville;Georgia;serif" w:hAnsi="TimesNewRoman;Times New Roman;Times;Baskerville;Georgia;serif"/>
          <w:sz w:val="22"/>
        </w:rPr>
        <w:t>Vishay Intertechnology, Inc.</w:t>
      </w:r>
    </w:p>
    <w:p>
      <w:pPr>
        <w:pStyle w:val="TextBody"/>
        <w:bidi w:val="0"/>
        <w:spacing w:before="0" w:after="0"/>
        <w:ind w:left="0" w:right="0" w:hanging="0"/>
        <w:jc w:val="left"/>
        <w:rPr>
          <w:rFonts w:ascii="TimesNewRoman;Times New Roman;Times;Baskerville;Georgia;serif" w:hAnsi="TimesNewRoman;Times New Roman;Times;Baskerville;Georgia;serif"/>
          <w:sz w:val="22"/>
        </w:rPr>
      </w:pPr>
      <w:r>
        <w:rPr>
          <w:rFonts w:ascii="TimesNewRoman;Times New Roman;Times;Baskerville;Georgia;serif" w:hAnsi="TimesNewRoman;Times New Roman;Times;Baskerville;Georgia;serif"/>
          <w:sz w:val="22"/>
        </w:rPr>
        <w:t>July 6, 2026 </w:t>
      </w:r>
    </w:p>
    <w:p>
      <w:pPr>
        <w:pStyle w:val="TextBody"/>
        <w:bidi w:val="0"/>
        <w:spacing w:before="0" w:after="0"/>
        <w:ind w:left="0" w:right="0" w:hanging="0"/>
        <w:jc w:val="left"/>
        <w:rPr/>
      </w:pPr>
      <w:r>
        <w:rPr/>
        <w:t> </w:t>
      </w:r>
    </w:p>
    <w:p>
      <w:pPr>
        <w:pStyle w:val="TextBody"/>
        <w:bidi w:val="0"/>
        <w:spacing w:before="0" w:after="283"/>
        <w:jc w:val="righ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egoe UI Symbol">
    <w:altName w:val="sans-serif"/>
    <w:charset w:val="01"/>
    <w:family w:val="auto"/>
    <w:pitch w:val="default"/>
  </w:font>
  <w:font w:name="TimesNewRoman">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2391</Words>
  <Characters>12952</Characters>
  <CharactersWithSpaces>15434</CharactersWithSpaces>
  <Paragraphs>204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