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67575"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298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10-K</w:t>
      </w:r>
    </w:p>
    <w:p>
      <w:pPr>
        <w:spacing w:after="0" w:line="226" w:lineRule="exact"/>
        <w:rPr>
          <w:sz w:val="24"/>
          <w:szCs w:val="24"/>
          <w:color w:val="auto"/>
        </w:rPr>
      </w:pPr>
    </w:p>
    <w:p>
      <w:pPr>
        <w:ind w:left="580" w:hanging="572"/>
        <w:spacing w:after="0"/>
        <w:tabs>
          <w:tab w:leader="none" w:pos="580" w:val="left"/>
        </w:tabs>
        <w:numPr>
          <w:ilvl w:val="0"/>
          <w:numId w:val="1"/>
        </w:numPr>
        <w:rPr>
          <w:rFonts w:ascii="Arial" w:cs="Arial" w:eastAsia="Arial" w:hAnsi="Arial"/>
          <w:sz w:val="21"/>
          <w:szCs w:val="21"/>
          <w:color w:val="auto"/>
        </w:rPr>
      </w:pPr>
      <w:r>
        <w:rPr>
          <w:rFonts w:ascii="Arial" w:cs="Arial" w:eastAsia="Arial" w:hAnsi="Arial"/>
          <w:sz w:val="21"/>
          <w:szCs w:val="21"/>
          <w:b w:val="1"/>
          <w:bCs w:val="1"/>
          <w:color w:val="auto"/>
        </w:rPr>
        <w:t>ANNUAL REPORT PURSUANT TO SECTION 13 OR 15(d) OF THE SECURITIES EXCHANGE ACT OF 1934</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2005</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8" w:lineRule="exact"/>
        <w:rPr>
          <w:sz w:val="24"/>
          <w:szCs w:val="24"/>
          <w:color w:val="auto"/>
        </w:rPr>
      </w:pPr>
    </w:p>
    <w:p>
      <w:pPr>
        <w:ind w:left="580" w:hanging="572"/>
        <w:spacing w:after="0"/>
        <w:tabs>
          <w:tab w:leader="none" w:pos="580" w:val="left"/>
        </w:tabs>
        <w:numPr>
          <w:ilvl w:val="0"/>
          <w:numId w:val="2"/>
        </w:numPr>
        <w:rPr>
          <w:rFonts w:ascii="Arial" w:cs="Arial" w:eastAsia="Arial" w:hAnsi="Arial"/>
          <w:sz w:val="21"/>
          <w:szCs w:val="21"/>
          <w:color w:val="auto"/>
        </w:rPr>
      </w:pPr>
      <w:r>
        <w:rPr>
          <w:rFonts w:ascii="Arial" w:cs="Arial" w:eastAsia="Arial" w:hAnsi="Arial"/>
          <w:sz w:val="21"/>
          <w:szCs w:val="21"/>
          <w:b w:val="1"/>
          <w:bCs w:val="1"/>
          <w:color w:val="auto"/>
        </w:rPr>
        <w:t>TRANSITION REPORT PURSUANT TO SECTION 13 OR 15(d) OF THE SECURITIES EXCHANGE ACT OF</w:t>
      </w:r>
    </w:p>
    <w:p>
      <w:pPr>
        <w:spacing w:after="0" w:line="1" w:lineRule="exact"/>
        <w:rPr>
          <w:sz w:val="24"/>
          <w:szCs w:val="24"/>
          <w:color w:val="auto"/>
        </w:rPr>
      </w:pPr>
    </w:p>
    <w:p>
      <w:pPr>
        <w:ind w:left="580"/>
        <w:spacing w:after="0"/>
        <w:rPr>
          <w:sz w:val="20"/>
          <w:szCs w:val="20"/>
          <w:color w:val="auto"/>
        </w:rPr>
      </w:pPr>
      <w:r>
        <w:rPr>
          <w:rFonts w:ascii="Arial" w:cs="Arial" w:eastAsia="Arial" w:hAnsi="Arial"/>
          <w:sz w:val="22"/>
          <w:szCs w:val="22"/>
          <w:b w:val="1"/>
          <w:bCs w:val="1"/>
          <w:color w:val="auto"/>
        </w:rPr>
        <w:t>1934</w:t>
      </w:r>
    </w:p>
    <w:p>
      <w:pPr>
        <w:ind w:left="3820"/>
        <w:spacing w:after="0"/>
        <w:rPr>
          <w:sz w:val="20"/>
          <w:szCs w:val="20"/>
          <w:color w:val="auto"/>
        </w:rPr>
      </w:pPr>
      <w:r>
        <w:rPr>
          <w:rFonts w:ascii="Arial" w:cs="Arial" w:eastAsia="Arial" w:hAnsi="Arial"/>
          <w:sz w:val="18"/>
          <w:szCs w:val="18"/>
          <w:b w:val="1"/>
          <w:bCs w:val="1"/>
          <w:color w:val="auto"/>
        </w:rPr>
        <w:t>For the transition period from _______ to _______</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1-7416</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Vishay Intertechnology, Inc.</w:t>
      </w:r>
    </w:p>
    <w:p>
      <w:pPr>
        <w:spacing w:after="0" w:line="4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(Exact name of registrant as specified in its charter)</w:t>
      </w:r>
    </w:p>
    <w:p>
      <w:pPr>
        <w:sectPr>
          <w:pgSz w:w="11900" w:h="16838" w:orient="portrait"/>
          <w:cols w:equalWidth="0" w:num="1">
            <w:col w:w="11420"/>
          </w:cols>
          <w:pgMar w:left="240" w:top="463" w:right="239" w:bottom="1440" w:gutter="0" w:footer="0" w:header="0"/>
        </w:sectPr>
      </w:pPr>
    </w:p>
    <w:p>
      <w:pPr>
        <w:spacing w:after="0" w:line="189" w:lineRule="exact"/>
        <w:rPr>
          <w:sz w:val="24"/>
          <w:szCs w:val="24"/>
          <w:color w:val="auto"/>
        </w:rPr>
      </w:pPr>
    </w:p>
    <w:p>
      <w:pPr>
        <w:ind w:left="248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38-1686453</w:t>
      </w:r>
    </w:p>
    <w:p>
      <w:pPr>
        <w:spacing w:after="0" w:line="44" w:lineRule="exact"/>
        <w:rPr>
          <w:sz w:val="24"/>
          <w:szCs w:val="24"/>
          <w:color w:val="auto"/>
        </w:rPr>
      </w:pPr>
    </w:p>
    <w:p>
      <w:pPr>
        <w:sectPr>
          <w:pgSz w:w="11900" w:h="16838" w:orient="portrait"/>
          <w:cols w:equalWidth="0" w:num="2">
            <w:col w:w="7440" w:space="720"/>
            <w:col w:w="3260"/>
          </w:cols>
          <w:pgMar w:left="240" w:top="463" w:right="239" w:bottom="1440" w:gutter="0" w:footer="0" w:header="0"/>
          <w:type w:val="continuous"/>
        </w:sectPr>
      </w:pPr>
    </w:p>
    <w:p>
      <w:pPr>
        <w:ind w:left="1080"/>
        <w:spacing w:after="0"/>
        <w:rPr>
          <w:sz w:val="20"/>
          <w:szCs w:val="20"/>
          <w:color w:val="auto"/>
        </w:rPr>
      </w:pPr>
      <w:r>
        <w:rPr>
          <w:rFonts w:ascii="Arial" w:cs="Arial" w:eastAsia="Arial" w:hAnsi="Arial"/>
          <w:sz w:val="12"/>
          <w:szCs w:val="12"/>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(IRS employer identification no.)</w:t>
      </w:r>
    </w:p>
    <w:p>
      <w:pPr>
        <w:spacing w:after="0" w:line="200" w:lineRule="exact"/>
        <w:rPr>
          <w:sz w:val="24"/>
          <w:szCs w:val="24"/>
          <w:color w:val="auto"/>
        </w:rPr>
      </w:pPr>
    </w:p>
    <w:p>
      <w:pPr>
        <w:sectPr>
          <w:pgSz w:w="11900" w:h="16838" w:orient="portrait"/>
          <w:cols w:equalWidth="0" w:num="2">
            <w:col w:w="6920" w:space="720"/>
            <w:col w:w="3780"/>
          </w:cols>
          <w:pgMar w:left="240" w:top="463" w:right="239" w:bottom="1440" w:gutter="0" w:footer="0" w:header="0"/>
          <w:type w:val="continuous"/>
        </w:sectPr>
      </w:pPr>
    </w:p>
    <w:p>
      <w:pPr>
        <w:spacing w:after="0" w:line="1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63 Lincoln Highway</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Malvern, Pennsylvania 19355-2143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(610) 644-1300</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9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registered pursuant to Section 12(b) of the Act:</w:t>
      </w:r>
    </w:p>
    <w:p>
      <w:pPr>
        <w:spacing w:after="0" w:line="4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Common Stock, $0.10 par value</w:t>
      </w:r>
    </w:p>
    <w:p>
      <w:pPr>
        <w:jc w:val="center"/>
        <w:ind w:right="-19"/>
        <w:spacing w:after="0" w:line="232" w:lineRule="auto"/>
        <w:rPr>
          <w:sz w:val="20"/>
          <w:szCs w:val="20"/>
          <w:color w:val="auto"/>
        </w:rPr>
      </w:pPr>
      <w:r>
        <w:rPr>
          <w:rFonts w:ascii="Arial" w:cs="Arial" w:eastAsia="Arial" w:hAnsi="Arial"/>
          <w:sz w:val="14"/>
          <w:szCs w:val="14"/>
          <w:b w:val="1"/>
          <w:bCs w:val="1"/>
          <w:color w:val="auto"/>
        </w:rPr>
        <w:t>(Title of Class)</w:t>
      </w:r>
    </w:p>
    <w:p>
      <w:pPr>
        <w:jc w:val="center"/>
        <w:ind w:right="-19"/>
        <w:spacing w:after="0" w:line="235" w:lineRule="auto"/>
        <w:rPr>
          <w:sz w:val="20"/>
          <w:szCs w:val="20"/>
          <w:color w:val="auto"/>
        </w:rPr>
      </w:pPr>
      <w:r>
        <w:rPr>
          <w:rFonts w:ascii="Arial" w:cs="Arial" w:eastAsia="Arial" w:hAnsi="Arial"/>
          <w:sz w:val="22"/>
          <w:szCs w:val="22"/>
          <w:b w:val="1"/>
          <w:bCs w:val="1"/>
          <w:color w:val="auto"/>
        </w:rPr>
        <w:t>New York Stock Exchange</w:t>
      </w:r>
    </w:p>
    <w:p>
      <w:pPr>
        <w:jc w:val="center"/>
        <w:ind w:right="-19"/>
        <w:spacing w:after="0"/>
        <w:rPr>
          <w:sz w:val="20"/>
          <w:szCs w:val="20"/>
          <w:color w:val="auto"/>
        </w:rPr>
      </w:pPr>
      <w:r>
        <w:rPr>
          <w:rFonts w:ascii="Arial" w:cs="Arial" w:eastAsia="Arial" w:hAnsi="Arial"/>
          <w:sz w:val="14"/>
          <w:szCs w:val="14"/>
          <w:b w:val="1"/>
          <w:bCs w:val="1"/>
          <w:color w:val="auto"/>
        </w:rPr>
        <w:t>(Exchange on which registered)</w:t>
      </w:r>
    </w:p>
    <w:p>
      <w:pPr>
        <w:spacing w:after="0" w:line="189"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Securities registered pursuant to Section 12(g) of the Act: None</w:t>
      </w:r>
    </w:p>
    <w:p>
      <w:pPr>
        <w:sectPr>
          <w:pgSz w:w="11900" w:h="16838" w:orient="portrait"/>
          <w:cols w:equalWidth="0" w:num="1">
            <w:col w:w="11420"/>
          </w:cols>
          <w:pgMar w:left="240" w:top="463" w:right="239" w:bottom="1440" w:gutter="0" w:footer="0" w:header="0"/>
          <w:type w:val="continuous"/>
        </w:sectPr>
      </w:pPr>
    </w:p>
    <w:p>
      <w:pPr>
        <w:spacing w:after="0" w:line="293" w:lineRule="exact"/>
        <w:rPr>
          <w:sz w:val="24"/>
          <w:szCs w:val="24"/>
          <w:color w:val="auto"/>
        </w:rPr>
      </w:pPr>
    </w:p>
    <w:p>
      <w:pPr>
        <w:spacing w:after="0"/>
        <w:rPr>
          <w:sz w:val="20"/>
          <w:szCs w:val="20"/>
          <w:color w:val="auto"/>
        </w:rPr>
      </w:pPr>
      <w:r>
        <w:rPr>
          <w:rFonts w:ascii="Arial" w:cs="Arial" w:eastAsia="Arial" w:hAnsi="Arial"/>
          <w:sz w:val="15"/>
          <w:szCs w:val="15"/>
          <w:color w:val="auto"/>
        </w:rPr>
        <w:t>Indicate by check mark if the registrant is a well-known seasoned issuer, as defined in Rule 405 of the Securities Act.</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Yes</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w:t>
      </w:r>
    </w:p>
    <w:p>
      <w:pPr>
        <w:spacing w:after="0" w:line="20" w:lineRule="exact"/>
        <w:rPr>
          <w:sz w:val="24"/>
          <w:szCs w:val="24"/>
          <w:color w:val="auto"/>
        </w:rPr>
      </w:pPr>
      <w:r>
        <w:rPr>
          <w:sz w:val="24"/>
          <w:szCs w:val="24"/>
          <w:color w:val="auto"/>
        </w:rPr>
        <w:br w:type="column"/>
      </w:r>
    </w:p>
    <w:p>
      <w:pPr>
        <w:spacing w:after="0" w:line="273"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22" w:lineRule="exact"/>
        <w:rPr>
          <w:sz w:val="24"/>
          <w:szCs w:val="24"/>
          <w:color w:val="auto"/>
        </w:rPr>
      </w:pPr>
    </w:p>
    <w:p>
      <w:pPr>
        <w:sectPr>
          <w:pgSz w:w="11900" w:h="16838" w:orient="portrait"/>
          <w:cols w:equalWidth="0" w:num="5">
            <w:col w:w="8240" w:space="80"/>
            <w:col w:w="260" w:space="140"/>
            <w:col w:w="80" w:space="280"/>
            <w:col w:w="200" w:space="200"/>
            <w:col w:w="1940"/>
          </w:cols>
          <w:pgMar w:left="240" w:top="463" w:right="239" w:bottom="1440" w:gutter="0" w:footer="0" w:header="0"/>
          <w:type w:val="continuous"/>
        </w:sectPr>
      </w:pPr>
    </w:p>
    <w:p>
      <w:pPr>
        <w:spacing w:after="0" w:line="69" w:lineRule="exact"/>
        <w:rPr>
          <w:sz w:val="24"/>
          <w:szCs w:val="24"/>
          <w:color w:val="auto"/>
        </w:rPr>
      </w:pPr>
    </w:p>
    <w:p>
      <w:pPr>
        <w:spacing w:after="0"/>
        <w:rPr>
          <w:sz w:val="20"/>
          <w:szCs w:val="20"/>
          <w:color w:val="auto"/>
        </w:rPr>
      </w:pPr>
      <w:r>
        <w:rPr>
          <w:rFonts w:ascii="Arial" w:cs="Arial" w:eastAsia="Arial" w:hAnsi="Arial"/>
          <w:sz w:val="16"/>
          <w:szCs w:val="16"/>
          <w:color w:val="auto"/>
        </w:rPr>
        <w:t xml:space="preserve">Indicate by check mark if the registrant is not required to file reports pursuant to Section 13 or Section 15(d) of the Act. </w:t>
      </w:r>
      <w:r>
        <w:rPr>
          <w:rFonts w:ascii="Arial" w:cs="Arial" w:eastAsia="Arial" w:hAnsi="Arial"/>
          <w:sz w:val="16"/>
          <w:szCs w:val="16"/>
          <w:b w:val="1"/>
          <w:bCs w:val="1"/>
          <w:color w:val="auto"/>
        </w:rPr>
        <w:t>Yes</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49"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w:t>
      </w:r>
    </w:p>
    <w:p>
      <w:pPr>
        <w:spacing w:after="0" w:line="20" w:lineRule="exact"/>
        <w:rPr>
          <w:sz w:val="24"/>
          <w:szCs w:val="24"/>
          <w:color w:val="auto"/>
        </w:rPr>
      </w:pPr>
      <w:r>
        <w:rPr>
          <w:sz w:val="24"/>
          <w:szCs w:val="24"/>
          <w:color w:val="auto"/>
        </w:rPr>
        <w:br w:type="column"/>
      </w:r>
    </w:p>
    <w:p>
      <w:pPr>
        <w:spacing w:after="0" w:line="55"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8700" w:space="120"/>
            <w:col w:w="100" w:space="220"/>
            <w:col w:w="200" w:space="200"/>
            <w:col w:w="1880"/>
          </w:cols>
          <w:pgMar w:left="240" w:top="463" w:right="239" w:bottom="1440" w:gutter="0" w:footer="0" w:header="0"/>
          <w:type w:val="continuous"/>
        </w:sectPr>
      </w:pPr>
    </w:p>
    <w:p>
      <w:pPr>
        <w:spacing w:after="0" w:line="42" w:lineRule="exact"/>
        <w:rPr>
          <w:sz w:val="24"/>
          <w:szCs w:val="24"/>
          <w:color w:val="auto"/>
        </w:rPr>
      </w:pPr>
    </w:p>
    <w:p>
      <w:pPr>
        <w:ind w:right="100"/>
        <w:spacing w:after="0" w:line="275" w:lineRule="auto"/>
        <w:rPr>
          <w:sz w:val="20"/>
          <w:szCs w:val="20"/>
          <w:color w:val="auto"/>
        </w:rPr>
      </w:pPr>
      <w:r>
        <w:rPr>
          <w:rFonts w:ascii="Arial" w:cs="Arial" w:eastAsia="Arial" w:hAnsi="Arial"/>
          <w:sz w:val="18"/>
          <w:szCs w:val="18"/>
          <w:b w:val="1"/>
          <w:bCs w:val="1"/>
          <w:color w:val="auto"/>
        </w:rPr>
        <w:t xml:space="preserve">Note </w:t>
      </w:r>
      <w:r>
        <w:rPr>
          <w:rFonts w:ascii="Arial" w:cs="Arial" w:eastAsia="Arial" w:hAnsi="Arial"/>
          <w:sz w:val="18"/>
          <w:szCs w:val="18"/>
          <w:color w:val="auto"/>
        </w:rPr>
        <w:t>– Checking the box above will not relieve any registrant required to file reports under Section 13 or 15(d) of the Exchange Act from their obligations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those Sections.</w:t>
      </w:r>
    </w:p>
    <w:p>
      <w:pPr>
        <w:spacing w:after="0" w:line="180" w:lineRule="exact"/>
        <w:rPr>
          <w:sz w:val="24"/>
          <w:szCs w:val="24"/>
          <w:color w:val="auto"/>
        </w:rPr>
      </w:pPr>
    </w:p>
    <w:p>
      <w:pPr>
        <w:jc w:val="both"/>
        <w:ind w:right="200"/>
        <w:spacing w:after="0" w:line="275" w:lineRule="auto"/>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8"/>
          <w:szCs w:val="18"/>
          <w:b w:val="1"/>
          <w:bCs w:val="1"/>
          <w:color w:val="auto"/>
        </w:rPr>
        <w:t>Yes</w:t>
      </w:r>
      <w:r>
        <w:rPr>
          <w:rFonts w:ascii="Arial" w:cs="Arial" w:eastAsia="Arial" w:hAnsi="Arial"/>
          <w:sz w:val="18"/>
          <w:szCs w:val="18"/>
          <w:color w:val="auto"/>
        </w:rPr>
        <w:t xml:space="preserve"> x </w:t>
      </w:r>
      <w:r>
        <w:rPr>
          <w:rFonts w:ascii="Arial" w:cs="Arial" w:eastAsia="Arial" w:hAnsi="Arial"/>
          <w:sz w:val="18"/>
          <w:szCs w:val="18"/>
          <w:b w:val="1"/>
          <w:bCs w:val="1"/>
          <w:color w:val="auto"/>
        </w:rPr>
        <w:t>No</w:t>
      </w:r>
      <w:r>
        <w:rPr>
          <w:rFonts w:ascii="Arial" w:cs="Arial" w:eastAsia="Arial" w:hAnsi="Arial"/>
          <w:sz w:val="18"/>
          <w:szCs w:val="18"/>
          <w:color w:val="auto"/>
        </w:rPr>
        <w:t xml:space="preserve"> o</w:t>
      </w:r>
    </w:p>
    <w:p>
      <w:pPr>
        <w:spacing w:after="0" w:line="180" w:lineRule="exact"/>
        <w:rPr>
          <w:sz w:val="24"/>
          <w:szCs w:val="24"/>
          <w:color w:val="auto"/>
        </w:rPr>
      </w:pPr>
    </w:p>
    <w:p>
      <w:pPr>
        <w:spacing w:after="0" w:line="275" w:lineRule="auto"/>
        <w:rPr>
          <w:sz w:val="20"/>
          <w:szCs w:val="20"/>
          <w:color w:val="auto"/>
        </w:rPr>
      </w:pPr>
      <w:r>
        <w:rPr>
          <w:rFonts w:ascii="Arial" w:cs="Arial" w:eastAsia="Arial" w:hAnsi="Arial"/>
          <w:sz w:val="18"/>
          <w:szCs w:val="18"/>
          <w:color w:val="auto"/>
        </w:rPr>
        <w:t>Indicate by check mark if disclosure of delinquent filers pursuant to Item 405 of Regulation S-K (Section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80" w:lineRule="exact"/>
        <w:rPr>
          <w:sz w:val="24"/>
          <w:szCs w:val="24"/>
          <w:color w:val="auto"/>
        </w:rPr>
      </w:pPr>
    </w:p>
    <w:p>
      <w:pPr>
        <w:ind w:right="220"/>
        <w:spacing w:after="0" w:line="332" w:lineRule="auto"/>
        <w:rPr>
          <w:sz w:val="20"/>
          <w:szCs w:val="20"/>
          <w:color w:val="auto"/>
        </w:rPr>
      </w:pPr>
      <w:r>
        <w:rPr>
          <w:rFonts w:ascii="Arial" w:cs="Arial" w:eastAsia="Arial" w:hAnsi="Arial"/>
          <w:sz w:val="16"/>
          <w:szCs w:val="16"/>
          <w:color w:val="auto"/>
        </w:rPr>
        <w:t xml:space="preserve">Indicate by check mark whether the registrant is a large accelerated filer, an accelerated filer, or a non-accelerated filer. See definition of “accelerated filer and large accelerated filer” in Rule 12b-2 of the Act. (Check one): </w:t>
      </w:r>
      <w:r>
        <w:rPr>
          <w:rFonts w:ascii="Arial" w:cs="Arial" w:eastAsia="Arial" w:hAnsi="Arial"/>
          <w:sz w:val="16"/>
          <w:szCs w:val="16"/>
          <w:b w:val="1"/>
          <w:bCs w:val="1"/>
          <w:color w:val="auto"/>
        </w:rPr>
        <w:t>Large accelerated filer x Accelerated filer</w:t>
      </w:r>
      <w:r>
        <w:rPr>
          <w:rFonts w:ascii="Arial" w:cs="Arial" w:eastAsia="Arial" w:hAnsi="Arial"/>
          <w:sz w:val="16"/>
          <w:szCs w:val="16"/>
          <w:color w:val="auto"/>
        </w:rPr>
        <w:t xml:space="preserve"> o </w:t>
      </w:r>
      <w:r>
        <w:rPr>
          <w:rFonts w:ascii="Arial" w:cs="Arial" w:eastAsia="Arial" w:hAnsi="Arial"/>
          <w:sz w:val="16"/>
          <w:szCs w:val="16"/>
          <w:b w:val="1"/>
          <w:bCs w:val="1"/>
          <w:color w:val="auto"/>
        </w:rPr>
        <w:t>Non-accelerated filer</w:t>
      </w:r>
      <w:r>
        <w:rPr>
          <w:rFonts w:ascii="Arial" w:cs="Arial" w:eastAsia="Arial" w:hAnsi="Arial"/>
          <w:sz w:val="16"/>
          <w:szCs w:val="16"/>
          <w:color w:val="auto"/>
        </w:rPr>
        <w:t xml:space="preserve"> o</w:t>
      </w:r>
    </w:p>
    <w:p>
      <w:pPr>
        <w:sectPr>
          <w:pgSz w:w="11900" w:h="16838" w:orient="portrait"/>
          <w:cols w:equalWidth="0" w:num="1">
            <w:col w:w="11420"/>
          </w:cols>
          <w:pgMar w:left="240" w:top="463" w:right="239" w:bottom="1440" w:gutter="0" w:footer="0" w:header="0"/>
          <w:type w:val="continuous"/>
        </w:sectPr>
      </w:pPr>
    </w:p>
    <w:p>
      <w:pPr>
        <w:spacing w:after="0" w:line="160"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Indicate by checkmark whether the registrant is a shell company (as defined in Rule 12b-2 of the Act). </w:t>
      </w:r>
      <w:r>
        <w:rPr>
          <w:rFonts w:ascii="Arial" w:cs="Arial" w:eastAsia="Arial" w:hAnsi="Arial"/>
          <w:sz w:val="15"/>
          <w:szCs w:val="15"/>
          <w:b w:val="1"/>
          <w:bCs w:val="1"/>
          <w:color w:val="auto"/>
        </w:rPr>
        <w:t>Yes</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o</w:t>
      </w:r>
    </w:p>
    <w:p>
      <w:pPr>
        <w:spacing w:after="0" w:line="20" w:lineRule="exact"/>
        <w:rPr>
          <w:sz w:val="24"/>
          <w:szCs w:val="24"/>
          <w:color w:val="auto"/>
        </w:rPr>
      </w:pPr>
      <w:r>
        <w:rPr>
          <w:sz w:val="24"/>
          <w:szCs w:val="24"/>
          <w:color w:val="auto"/>
        </w:rPr>
        <w:br w:type="column"/>
      </w:r>
    </w:p>
    <w:p>
      <w:pPr>
        <w:spacing w:after="0" w:line="140"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No</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0" w:lineRule="exact"/>
        <w:rPr>
          <w:sz w:val="24"/>
          <w:szCs w:val="24"/>
          <w:color w:val="auto"/>
        </w:rPr>
      </w:pPr>
    </w:p>
    <w:p>
      <w:pPr>
        <w:sectPr>
          <w:pgSz w:w="11900" w:h="16838" w:orient="portrait"/>
          <w:cols w:equalWidth="0" w:num="4">
            <w:col w:w="7500" w:space="180"/>
            <w:col w:w="100" w:space="220"/>
            <w:col w:w="200" w:space="200"/>
            <w:col w:w="3020"/>
          </w:cols>
          <w:pgMar w:left="240" w:top="463" w:right="239" w:bottom="1440" w:gutter="0" w:footer="0" w:header="0"/>
          <w:type w:val="continuous"/>
        </w:sectPr>
      </w:pPr>
    </w:p>
    <w:p>
      <w:pPr>
        <w:spacing w:after="0" w:line="48" w:lineRule="exact"/>
        <w:rPr>
          <w:sz w:val="24"/>
          <w:szCs w:val="24"/>
          <w:color w:val="auto"/>
        </w:rPr>
      </w:pPr>
    </w:p>
    <w:p>
      <w:pPr>
        <w:jc w:val="both"/>
        <w:ind w:right="160"/>
        <w:spacing w:after="0" w:line="306" w:lineRule="auto"/>
        <w:rPr>
          <w:sz w:val="20"/>
          <w:szCs w:val="20"/>
          <w:color w:val="auto"/>
        </w:rPr>
      </w:pPr>
      <w:r>
        <w:rPr>
          <w:rFonts w:ascii="Arial" w:cs="Arial" w:eastAsia="Arial" w:hAnsi="Arial"/>
          <w:sz w:val="16"/>
          <w:szCs w:val="16"/>
          <w:color w:val="auto"/>
        </w:rPr>
        <w:t>The aggregate market value of the voting stock held by non-affiliates computed by reference to the price at which the common equity was last sold as of the last business day of the registrant’s most recently completed second fiscal quarter ($11.83 on July 2, 2005), assuming conversion of all of its Class B common stock held by non-affiliates into common stock of the registrant, was $2,003,694,000. There is no non-voting stock outstanding.</w:t>
      </w:r>
    </w:p>
    <w:p>
      <w:pPr>
        <w:spacing w:after="0" w:line="161" w:lineRule="exact"/>
        <w:rPr>
          <w:sz w:val="24"/>
          <w:szCs w:val="24"/>
          <w:color w:val="auto"/>
        </w:rPr>
      </w:pPr>
    </w:p>
    <w:p>
      <w:pPr>
        <w:spacing w:after="0"/>
        <w:rPr>
          <w:sz w:val="20"/>
          <w:szCs w:val="20"/>
          <w:color w:val="auto"/>
        </w:rPr>
      </w:pPr>
      <w:r>
        <w:rPr>
          <w:rFonts w:ascii="Arial" w:cs="Arial" w:eastAsia="Arial" w:hAnsi="Arial"/>
          <w:sz w:val="16"/>
          <w:szCs w:val="16"/>
          <w:color w:val="auto"/>
        </w:rPr>
        <w:t>As of March 3, 2006, registrant had 169,703,272 shares of its common stock and 14,679,440 shares of its Class B common stock outstanding.</w:t>
      </w:r>
    </w:p>
    <w:p>
      <w:pPr>
        <w:spacing w:after="0" w:line="248"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DOCUMENTS INCORPORATED BY REFERENCE</w:t>
      </w:r>
    </w:p>
    <w:p>
      <w:pPr>
        <w:spacing w:after="0" w:line="225" w:lineRule="exact"/>
        <w:rPr>
          <w:sz w:val="24"/>
          <w:szCs w:val="24"/>
          <w:color w:val="auto"/>
        </w:rPr>
      </w:pPr>
    </w:p>
    <w:p>
      <w:pPr>
        <w:spacing w:after="0"/>
        <w:rPr>
          <w:sz w:val="20"/>
          <w:szCs w:val="20"/>
          <w:color w:val="auto"/>
        </w:rPr>
      </w:pPr>
      <w:r>
        <w:rPr>
          <w:rFonts w:ascii="Arial" w:cs="Arial" w:eastAsia="Arial" w:hAnsi="Arial"/>
          <w:sz w:val="16"/>
          <w:szCs w:val="16"/>
          <w:color w:val="auto"/>
        </w:rPr>
        <w:t>Portions of the registrant’s definitive proxy statement, which will be filed within 120 days of December 31, 2005, are incorporated by reference into Part III.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160655</wp:posOffset>
            </wp:positionV>
            <wp:extent cx="7267575"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463" w:right="239" w:bottom="1440" w:gutter="0" w:footer="0" w:header="0"/>
          <w:type w:val="continuous"/>
        </w:sectPr>
      </w:pPr>
    </w:p>
    <w:bookmarkStart w:id="1" w:name="page2"/>
    <w:bookmarkEnd w:id="1"/>
    <w:p>
      <w:pPr>
        <w:jc w:val="center"/>
        <w:ind w:right="-20"/>
        <w:spacing w:after="0"/>
        <w:rPr>
          <w:sz w:val="20"/>
          <w:szCs w:val="20"/>
          <w:color w:val="auto"/>
        </w:rPr>
      </w:pPr>
      <w:r>
        <w:rPr>
          <w:rFonts w:ascii="Arial" w:cs="Arial" w:eastAsia="Arial" w:hAnsi="Arial"/>
          <w:sz w:val="15"/>
          <w:szCs w:val="15"/>
          <w:b w:val="1"/>
          <w:bCs w:val="1"/>
          <w:u w:val="single" w:color="auto"/>
          <w:color w:val="auto"/>
        </w:rPr>
        <w:t>This page intentionally left blank.</w:t>
      </w:r>
    </w:p>
    <w:p>
      <w:pPr>
        <w:sectPr>
          <w:pgSz w:w="11900" w:h="16838" w:orient="portrait"/>
          <w:cols w:equalWidth="0" w:num="1">
            <w:col w:w="9019"/>
          </w:cols>
          <w:pgMar w:left="1440" w:top="584" w:right="1440"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- 2 -</w:t>
      </w:r>
    </w:p>
    <w:p>
      <w:pPr>
        <w:sectPr>
          <w:pgSz w:w="11900" w:h="16838" w:orient="portrait"/>
          <w:cols w:equalWidth="0" w:num="1">
            <w:col w:w="9019"/>
          </w:cols>
          <w:pgMar w:left="1440" w:top="584" w:right="1440" w:bottom="1440" w:gutter="0" w:footer="0" w:header="0"/>
          <w:type w:val="continuous"/>
        </w:sectPr>
      </w:pPr>
    </w:p>
    <w:bookmarkStart w:id="2" w:name="page3"/>
    <w:bookmarkEnd w:id="2"/>
    <w:p>
      <w:pPr>
        <w:spacing w:after="0"/>
        <w:rPr>
          <w:sz w:val="20"/>
          <w:szCs w:val="20"/>
          <w:color w:val="auto"/>
        </w:rPr>
      </w:pPr>
      <w:r>
        <w:rPr>
          <w:rFonts w:ascii="Arial" w:cs="Arial" w:eastAsia="Arial" w:hAnsi="Arial"/>
          <w:sz w:val="18"/>
          <w:szCs w:val="18"/>
          <w:b w:val="1"/>
          <w:bCs w:val="1"/>
          <w:color w:val="auto"/>
        </w:rPr>
        <w:t>Vishay Intertechnology,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10-K for the year ended December 31, 2005</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960" w:type="dxa"/>
            <w:vAlign w:val="bottom"/>
            <w:gridSpan w:val="34"/>
          </w:tcPr>
          <w:p>
            <w:pPr>
              <w:spacing w:after="0"/>
              <w:rPr>
                <w:sz w:val="20"/>
                <w:szCs w:val="20"/>
                <w:color w:val="auto"/>
              </w:rPr>
            </w:pPr>
            <w:r>
              <w:rPr>
                <w:rFonts w:ascii="Arial" w:cs="Arial" w:eastAsia="Arial" w:hAnsi="Arial"/>
                <w:sz w:val="18"/>
                <w:szCs w:val="18"/>
                <w:b w:val="1"/>
                <w:bCs w:val="1"/>
                <w:color w:val="auto"/>
              </w:rPr>
              <w:t>CONTENTS</w:t>
            </w:r>
          </w:p>
        </w:tc>
        <w:tc>
          <w:tcPr>
            <w:tcW w:w="1460" w:type="dxa"/>
            <w:vAlign w:val="bottom"/>
          </w:tcPr>
          <w:p>
            <w:pPr>
              <w:spacing w:after="0"/>
              <w:rPr>
                <w:sz w:val="17"/>
                <w:szCs w:val="17"/>
                <w:color w:val="auto"/>
              </w:rPr>
            </w:pPr>
          </w:p>
        </w:tc>
      </w:tr>
      <w:tr>
        <w:trPr>
          <w:trHeight w:val="412"/>
        </w:trPr>
        <w:tc>
          <w:tcPr>
            <w:tcW w:w="580" w:type="dxa"/>
            <w:vAlign w:val="bottom"/>
            <w:tcBorders>
              <w:top w:val="single" w:sz="8" w:color="auto"/>
              <w:bottom w:val="single" w:sz="8" w:color="0000EE"/>
            </w:tcBorders>
          </w:tcPr>
          <w:p>
            <w:pPr>
              <w:spacing w:after="0"/>
              <w:rPr>
                <w:rFonts w:ascii="Arial" w:cs="Arial" w:eastAsia="Arial" w:hAnsi="Arial"/>
                <w:sz w:val="18"/>
                <w:szCs w:val="18"/>
                <w:b w:val="1"/>
                <w:bCs w:val="1"/>
                <w:color w:val="0000EE"/>
                <w:w w:val="94"/>
              </w:rPr>
            </w:pPr>
            <w:hyperlink w:anchor="page5">
              <w:r>
                <w:rPr>
                  <w:rFonts w:ascii="Arial" w:cs="Arial" w:eastAsia="Arial" w:hAnsi="Arial"/>
                  <w:sz w:val="18"/>
                  <w:szCs w:val="18"/>
                  <w:b w:val="1"/>
                  <w:bCs w:val="1"/>
                  <w:color w:val="0000EE"/>
                  <w:w w:val="94"/>
                </w:rPr>
                <w:t>PART I</w:t>
              </w:r>
            </w:hyperlink>
          </w:p>
        </w:tc>
        <w:tc>
          <w:tcPr>
            <w:tcW w:w="340" w:type="dxa"/>
            <w:vAlign w:val="bottom"/>
            <w:tcBorders>
              <w:top w:val="single" w:sz="8" w:color="auto"/>
            </w:tcBorders>
            <w:gridSpan w:val="4"/>
          </w:tcPr>
          <w:p>
            <w:pPr>
              <w:spacing w:after="0"/>
              <w:rPr>
                <w:sz w:val="24"/>
                <w:szCs w:val="24"/>
                <w:color w:val="auto"/>
              </w:rPr>
            </w:pPr>
          </w:p>
        </w:tc>
        <w:tc>
          <w:tcPr>
            <w:tcW w:w="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5"/>
        </w:trPr>
        <w:tc>
          <w:tcPr>
            <w:tcW w:w="920" w:type="dxa"/>
            <w:vAlign w:val="bottom"/>
            <w:gridSpan w:val="5"/>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gridSpan w:val="3"/>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400" w:type="dxa"/>
            <w:vAlign w:val="bottom"/>
            <w:gridSpan w:val="26"/>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1A.</w:t>
            </w:r>
          </w:p>
        </w:tc>
        <w:tc>
          <w:tcPr>
            <w:tcW w:w="9040" w:type="dxa"/>
            <w:vAlign w:val="bottom"/>
            <w:gridSpan w:val="29"/>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Risk Factors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1B.</w:t>
            </w:r>
          </w:p>
        </w:tc>
        <w:tc>
          <w:tcPr>
            <w:tcW w:w="9040" w:type="dxa"/>
            <w:vAlign w:val="bottom"/>
            <w:gridSpan w:val="29"/>
          </w:tcPr>
          <w:p>
            <w:pPr>
              <w:spacing w:after="0" w:line="196" w:lineRule="exact"/>
              <w:rPr>
                <w:rFonts w:ascii="Arial" w:cs="Arial" w:eastAsia="Arial" w:hAnsi="Arial"/>
                <w:sz w:val="18"/>
                <w:szCs w:val="18"/>
                <w:color w:val="0000EE"/>
              </w:rPr>
            </w:pPr>
            <w:hyperlink w:anchor="page24">
              <w:r>
                <w:rPr>
                  <w:rFonts w:ascii="Arial" w:cs="Arial" w:eastAsia="Arial" w:hAnsi="Arial"/>
                  <w:sz w:val="18"/>
                  <w:szCs w:val="18"/>
                  <w:color w:val="0000EE"/>
                </w:rPr>
                <w:t>Unresolved Staff Comments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4"/>
          </w:tcPr>
          <w:p>
            <w:pPr>
              <w:spacing w:after="0" w:line="196" w:lineRule="exact"/>
              <w:rPr>
                <w:rFonts w:ascii="Arial" w:cs="Arial" w:eastAsia="Arial" w:hAnsi="Arial"/>
                <w:sz w:val="18"/>
                <w:szCs w:val="18"/>
                <w:color w:val="0000EE"/>
                <w:w w:val="85"/>
              </w:rPr>
            </w:pPr>
            <w:hyperlink w:anchor="page25">
              <w:r>
                <w:rPr>
                  <w:rFonts w:ascii="Arial" w:cs="Arial" w:eastAsia="Arial" w:hAnsi="Arial"/>
                  <w:sz w:val="18"/>
                  <w:szCs w:val="18"/>
                  <w:color w:val="0000EE"/>
                  <w:w w:val="85"/>
                </w:rPr>
                <w:t>Properties</w:t>
              </w:r>
            </w:hyperlink>
          </w:p>
        </w:tc>
        <w:tc>
          <w:tcPr>
            <w:tcW w:w="1280" w:type="dxa"/>
            <w:vAlign w:val="bottom"/>
            <w:tcBorders>
              <w:top w:val="single" w:sz="8" w:color="0000EE"/>
            </w:tcBorders>
            <w:gridSpan w:val="6"/>
          </w:tcPr>
          <w:p>
            <w:pPr>
              <w:spacing w:after="0"/>
              <w:rPr>
                <w:sz w:val="17"/>
                <w:szCs w:val="17"/>
                <w:color w:val="auto"/>
              </w:rPr>
            </w:pPr>
          </w:p>
        </w:tc>
        <w:tc>
          <w:tcPr>
            <w:tcW w:w="7040" w:type="dxa"/>
            <w:vAlign w:val="bottom"/>
            <w:gridSpan w:val="19"/>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3.</w:t>
            </w:r>
          </w:p>
        </w:tc>
        <w:tc>
          <w:tcPr>
            <w:tcW w:w="9040" w:type="dxa"/>
            <w:vAlign w:val="bottom"/>
            <w:gridSpan w:val="29"/>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Legal Proceedings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6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80" w:type="dxa"/>
            <w:vAlign w:val="bottom"/>
            <w:tcBorders>
              <w:right w:val="single" w:sz="8" w:color="0000EE"/>
            </w:tcBorders>
            <w:gridSpan w:val="4"/>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4.</w:t>
            </w:r>
          </w:p>
        </w:tc>
        <w:tc>
          <w:tcPr>
            <w:tcW w:w="3680" w:type="dxa"/>
            <w:vAlign w:val="bottom"/>
            <w:tcBorders>
              <w:bottom w:val="single" w:sz="8" w:color="0000EE"/>
            </w:tcBorders>
            <w:gridSpan w:val="20"/>
          </w:tcPr>
          <w:p>
            <w:pPr>
              <w:spacing w:after="0" w:line="196" w:lineRule="exact"/>
              <w:rPr>
                <w:rFonts w:ascii="Arial" w:cs="Arial" w:eastAsia="Arial" w:hAnsi="Arial"/>
                <w:sz w:val="18"/>
                <w:szCs w:val="18"/>
                <w:color w:val="0000EE"/>
                <w:w w:val="88"/>
              </w:rPr>
            </w:pPr>
            <w:hyperlink w:anchor="page27">
              <w:r>
                <w:rPr>
                  <w:rFonts w:ascii="Arial" w:cs="Arial" w:eastAsia="Arial" w:hAnsi="Arial"/>
                  <w:sz w:val="18"/>
                  <w:szCs w:val="18"/>
                  <w:color w:val="0000EE"/>
                  <w:w w:val="88"/>
                </w:rPr>
                <w:t>Submission of Matters to a Vote of Security Holders</w:t>
              </w:r>
            </w:hyperlink>
          </w:p>
        </w:tc>
        <w:tc>
          <w:tcPr>
            <w:tcW w:w="5360" w:type="dxa"/>
            <w:vAlign w:val="bottom"/>
            <w:gridSpan w:val="9"/>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4A.</w:t>
            </w:r>
          </w:p>
        </w:tc>
        <w:tc>
          <w:tcPr>
            <w:tcW w:w="9040" w:type="dxa"/>
            <w:vAlign w:val="bottom"/>
            <w:gridSpan w:val="29"/>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Executive Officers of the Registrant</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r>
      <w:tr>
        <w:trPr>
          <w:trHeight w:val="345"/>
        </w:trPr>
        <w:tc>
          <w:tcPr>
            <w:tcW w:w="920" w:type="dxa"/>
            <w:vAlign w:val="bottom"/>
            <w:gridSpan w:val="5"/>
          </w:tcPr>
          <w:p>
            <w:pPr>
              <w:spacing w:after="0"/>
              <w:rPr>
                <w:rFonts w:ascii="Arial" w:cs="Arial" w:eastAsia="Arial" w:hAnsi="Arial"/>
                <w:sz w:val="18"/>
                <w:szCs w:val="18"/>
                <w:b w:val="1"/>
                <w:bCs w:val="1"/>
                <w:color w:val="0000EE"/>
              </w:rPr>
            </w:pPr>
            <w:hyperlink w:anchor="page29">
              <w:r>
                <w:rPr>
                  <w:rFonts w:ascii="Arial" w:cs="Arial" w:eastAsia="Arial" w:hAnsi="Arial"/>
                  <w:sz w:val="18"/>
                  <w:szCs w:val="18"/>
                  <w:b w:val="1"/>
                  <w:bCs w:val="1"/>
                  <w:color w:val="0000EE"/>
                </w:rPr>
                <w:t>PART II</w:t>
              </w:r>
            </w:hyperlink>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5"/>
        </w:trPr>
        <w:tc>
          <w:tcPr>
            <w:tcW w:w="640" w:type="dxa"/>
            <w:vAlign w:val="bottom"/>
            <w:tcBorders>
              <w:top w:val="single" w:sz="8" w:color="0000EE"/>
            </w:tcBorders>
            <w:gridSpan w:val="2"/>
          </w:tcPr>
          <w:p>
            <w:pPr>
              <w:spacing w:after="0"/>
              <w:rPr>
                <w:sz w:val="20"/>
                <w:szCs w:val="20"/>
                <w:color w:val="auto"/>
              </w:rPr>
            </w:pPr>
            <w:r>
              <w:rPr>
                <w:rFonts w:ascii="Arial" w:cs="Arial" w:eastAsia="Arial" w:hAnsi="Arial"/>
                <w:sz w:val="18"/>
                <w:szCs w:val="18"/>
                <w:color w:val="auto"/>
              </w:rPr>
              <w:t>Item 5.</w:t>
            </w:r>
          </w:p>
        </w:tc>
        <w:tc>
          <w:tcPr>
            <w:tcW w:w="280" w:type="dxa"/>
            <w:vAlign w:val="bottom"/>
            <w:gridSpan w:val="3"/>
          </w:tcPr>
          <w:p>
            <w:pPr>
              <w:spacing w:after="0"/>
              <w:rPr>
                <w:sz w:val="24"/>
                <w:szCs w:val="24"/>
                <w:color w:val="auto"/>
              </w:rPr>
            </w:pPr>
          </w:p>
        </w:tc>
        <w:tc>
          <w:tcPr>
            <w:tcW w:w="9040" w:type="dxa"/>
            <w:vAlign w:val="bottom"/>
            <w:gridSpan w:val="2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Market for Registrant’s Common Equity, Related Stockholder Matters, and Issuer Purchases of Equity Securities</w:t>
              </w:r>
            </w:hyperlink>
          </w:p>
        </w:tc>
        <w:tc>
          <w:tcPr>
            <w:tcW w:w="146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87"/>
              </w:rPr>
            </w:pPr>
            <w:hyperlink w:anchor="page30">
              <w:r>
                <w:rPr>
                  <w:rFonts w:ascii="Arial" w:cs="Arial" w:eastAsia="Arial" w:hAnsi="Arial"/>
                  <w:sz w:val="18"/>
                  <w:szCs w:val="18"/>
                  <w:color w:val="0000EE"/>
                  <w:w w:val="87"/>
                </w:rPr>
                <w:t>Selected Financial Data</w:t>
              </w:r>
            </w:hyperlink>
          </w:p>
        </w:tc>
        <w:tc>
          <w:tcPr>
            <w:tcW w:w="6240" w:type="dxa"/>
            <w:vAlign w:val="bottom"/>
            <w:tcBorders>
              <w:top w:val="single" w:sz="8" w:color="0000EE"/>
            </w:tcBorders>
            <w:gridSpan w:val="21"/>
          </w:tcPr>
          <w:p>
            <w:pPr>
              <w:spacing w:after="0"/>
              <w:rPr>
                <w:sz w:val="17"/>
                <w:szCs w:val="17"/>
                <w:color w:val="auto"/>
              </w:rPr>
            </w:pPr>
          </w:p>
        </w:tc>
        <w:tc>
          <w:tcPr>
            <w:tcW w:w="1120" w:type="dxa"/>
            <w:vAlign w:val="bottom"/>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30</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7.</w:t>
            </w:r>
          </w:p>
        </w:tc>
        <w:tc>
          <w:tcPr>
            <w:tcW w:w="9040" w:type="dxa"/>
            <w:vAlign w:val="bottom"/>
            <w:gridSpan w:val="29"/>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Management’s Discussion and Analysis of Financial Condition and Results of Operations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31</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7A.</w:t>
            </w:r>
          </w:p>
        </w:tc>
        <w:tc>
          <w:tcPr>
            <w:tcW w:w="426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Quantitative and Qualitative Disclosures About Market Risk</w:t>
              </w:r>
            </w:hyperlink>
          </w:p>
        </w:tc>
        <w:tc>
          <w:tcPr>
            <w:tcW w:w="2040" w:type="dxa"/>
            <w:vAlign w:val="bottom"/>
            <w:tcBorders>
              <w:top w:val="single" w:sz="8" w:color="0000EE"/>
            </w:tcBorders>
            <w:gridSpan w:val="3"/>
          </w:tcPr>
          <w:p>
            <w:pPr>
              <w:spacing w:after="0"/>
              <w:rPr>
                <w:sz w:val="17"/>
                <w:szCs w:val="17"/>
                <w:color w:val="auto"/>
              </w:rPr>
            </w:pPr>
          </w:p>
        </w:tc>
        <w:tc>
          <w:tcPr>
            <w:tcW w:w="2740" w:type="dxa"/>
            <w:vAlign w:val="bottom"/>
            <w:gridSpan w:val="5"/>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8.</w:t>
            </w:r>
          </w:p>
        </w:tc>
        <w:tc>
          <w:tcPr>
            <w:tcW w:w="3260" w:type="dxa"/>
            <w:vAlign w:val="bottom"/>
            <w:tcBorders>
              <w:bottom w:val="single" w:sz="8" w:color="0000EE"/>
            </w:tcBorders>
            <w:gridSpan w:val="15"/>
          </w:tcPr>
          <w:p>
            <w:pPr>
              <w:spacing w:after="0" w:line="196" w:lineRule="exact"/>
              <w:rPr>
                <w:rFonts w:ascii="Arial" w:cs="Arial" w:eastAsia="Arial" w:hAnsi="Arial"/>
                <w:sz w:val="18"/>
                <w:szCs w:val="18"/>
                <w:color w:val="0000EE"/>
                <w:w w:val="87"/>
              </w:rPr>
            </w:pPr>
            <w:hyperlink w:anchor="page53">
              <w:r>
                <w:rPr>
                  <w:rFonts w:ascii="Arial" w:cs="Arial" w:eastAsia="Arial" w:hAnsi="Arial"/>
                  <w:sz w:val="18"/>
                  <w:szCs w:val="18"/>
                  <w:color w:val="0000EE"/>
                  <w:w w:val="87"/>
                </w:rPr>
                <w:t>Financial Statements and Supplementary Data</w:t>
              </w:r>
            </w:hyperlink>
          </w:p>
        </w:tc>
        <w:tc>
          <w:tcPr>
            <w:tcW w:w="5780" w:type="dxa"/>
            <w:vAlign w:val="bottom"/>
            <w:gridSpan w:val="14"/>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53</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9.</w:t>
            </w:r>
          </w:p>
        </w:tc>
        <w:tc>
          <w:tcPr>
            <w:tcW w:w="9040" w:type="dxa"/>
            <w:vAlign w:val="bottom"/>
            <w:gridSpan w:val="29"/>
          </w:tcPr>
          <w:p>
            <w:pPr>
              <w:spacing w:after="0" w:line="196" w:lineRule="exact"/>
              <w:rPr>
                <w:rFonts w:ascii="Arial" w:cs="Arial" w:eastAsia="Arial" w:hAnsi="Arial"/>
                <w:sz w:val="18"/>
                <w:szCs w:val="18"/>
                <w:color w:val="0000EE"/>
              </w:rPr>
            </w:pPr>
            <w:hyperlink w:anchor="page54">
              <w:r>
                <w:rPr>
                  <w:rFonts w:ascii="Arial" w:cs="Arial" w:eastAsia="Arial" w:hAnsi="Arial"/>
                  <w:sz w:val="18"/>
                  <w:szCs w:val="18"/>
                  <w:color w:val="0000EE"/>
                </w:rPr>
                <w:t>Changes In and Disagreements With Accountants on Accounting and Financial Disclosure</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9A.</w:t>
            </w:r>
          </w:p>
        </w:tc>
        <w:tc>
          <w:tcPr>
            <w:tcW w:w="1740" w:type="dxa"/>
            <w:vAlign w:val="bottom"/>
            <w:tcBorders>
              <w:top w:val="single" w:sz="8" w:color="0000EE"/>
              <w:bottom w:val="single" w:sz="8" w:color="0000EE"/>
            </w:tcBorders>
            <w:gridSpan w:val="8"/>
          </w:tcPr>
          <w:p>
            <w:pPr>
              <w:spacing w:after="0" w:line="196" w:lineRule="exact"/>
              <w:rPr>
                <w:rFonts w:ascii="Arial" w:cs="Arial" w:eastAsia="Arial" w:hAnsi="Arial"/>
                <w:sz w:val="18"/>
                <w:szCs w:val="18"/>
                <w:color w:val="0000EE"/>
                <w:w w:val="86"/>
              </w:rPr>
            </w:pPr>
            <w:hyperlink w:anchor="page54">
              <w:r>
                <w:rPr>
                  <w:rFonts w:ascii="Arial" w:cs="Arial" w:eastAsia="Arial" w:hAnsi="Arial"/>
                  <w:sz w:val="18"/>
                  <w:szCs w:val="18"/>
                  <w:color w:val="0000EE"/>
                  <w:w w:val="86"/>
                </w:rPr>
                <w:t>Controls and Procedures</w:t>
              </w:r>
            </w:hyperlink>
          </w:p>
        </w:tc>
        <w:tc>
          <w:tcPr>
            <w:tcW w:w="4620" w:type="dxa"/>
            <w:vAlign w:val="bottom"/>
            <w:tcBorders>
              <w:top w:val="single" w:sz="8" w:color="0000EE"/>
            </w:tcBorders>
            <w:gridSpan w:val="17"/>
          </w:tcPr>
          <w:p>
            <w:pPr>
              <w:spacing w:after="0"/>
              <w:rPr>
                <w:sz w:val="17"/>
                <w:szCs w:val="17"/>
                <w:color w:val="auto"/>
              </w:rPr>
            </w:pPr>
          </w:p>
        </w:tc>
        <w:tc>
          <w:tcPr>
            <w:tcW w:w="2680" w:type="dxa"/>
            <w:vAlign w:val="bottom"/>
            <w:gridSpan w:val="4"/>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54</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9B.</w:t>
            </w:r>
          </w:p>
        </w:tc>
        <w:tc>
          <w:tcPr>
            <w:tcW w:w="9040" w:type="dxa"/>
            <w:vAlign w:val="bottom"/>
            <w:gridSpan w:val="2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Other Information</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45"/>
        </w:trPr>
        <w:tc>
          <w:tcPr>
            <w:tcW w:w="720" w:type="dxa"/>
            <w:vAlign w:val="bottom"/>
            <w:tcBorders>
              <w:bottom w:val="single" w:sz="8" w:color="0000EE"/>
            </w:tcBorders>
            <w:gridSpan w:val="4"/>
          </w:tcPr>
          <w:p>
            <w:pPr>
              <w:spacing w:after="0"/>
              <w:rPr>
                <w:rFonts w:ascii="Arial" w:cs="Arial" w:eastAsia="Arial" w:hAnsi="Arial"/>
                <w:sz w:val="18"/>
                <w:szCs w:val="18"/>
                <w:b w:val="1"/>
                <w:bCs w:val="1"/>
                <w:color w:val="0000EE"/>
              </w:rPr>
            </w:pPr>
            <w:hyperlink w:anchor="page55">
              <w:r>
                <w:rPr>
                  <w:rFonts w:ascii="Arial" w:cs="Arial" w:eastAsia="Arial" w:hAnsi="Arial"/>
                  <w:sz w:val="18"/>
                  <w:szCs w:val="18"/>
                  <w:b w:val="1"/>
                  <w:bCs w:val="1"/>
                  <w:color w:val="0000EE"/>
                </w:rPr>
                <w:t>PART III</w:t>
              </w:r>
            </w:hyperlink>
          </w:p>
        </w:tc>
        <w:tc>
          <w:tcPr>
            <w:tcW w:w="200" w:type="dxa"/>
            <w:vAlign w:val="bottom"/>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5"/>
        </w:trPr>
        <w:tc>
          <w:tcPr>
            <w:tcW w:w="920" w:type="dxa"/>
            <w:vAlign w:val="bottom"/>
            <w:gridSpan w:val="5"/>
          </w:tcPr>
          <w:p>
            <w:pPr>
              <w:spacing w:after="0"/>
              <w:rPr>
                <w:sz w:val="20"/>
                <w:szCs w:val="20"/>
                <w:color w:val="auto"/>
              </w:rPr>
            </w:pPr>
            <w:r>
              <w:rPr>
                <w:rFonts w:ascii="Arial" w:cs="Arial" w:eastAsia="Arial" w:hAnsi="Arial"/>
                <w:sz w:val="18"/>
                <w:szCs w:val="18"/>
                <w:color w:val="auto"/>
              </w:rPr>
              <w:t>Item 10.</w:t>
            </w:r>
          </w:p>
        </w:tc>
        <w:tc>
          <w:tcPr>
            <w:tcW w:w="3540" w:type="dxa"/>
            <w:vAlign w:val="bottom"/>
            <w:tcBorders>
              <w:bottom w:val="single" w:sz="8" w:color="0000EE"/>
            </w:tcBorders>
            <w:gridSpan w:val="18"/>
          </w:tcPr>
          <w:p>
            <w:pPr>
              <w:spacing w:after="0"/>
              <w:rPr>
                <w:rFonts w:ascii="Arial" w:cs="Arial" w:eastAsia="Arial" w:hAnsi="Arial"/>
                <w:sz w:val="18"/>
                <w:szCs w:val="18"/>
                <w:color w:val="0000EE"/>
                <w:w w:val="89"/>
              </w:rPr>
            </w:pPr>
            <w:hyperlink w:anchor="page55">
              <w:r>
                <w:rPr>
                  <w:rFonts w:ascii="Arial" w:cs="Arial" w:eastAsia="Arial" w:hAnsi="Arial"/>
                  <w:sz w:val="18"/>
                  <w:szCs w:val="18"/>
                  <w:color w:val="0000EE"/>
                  <w:w w:val="89"/>
                </w:rPr>
                <w:t>Directors and Executive Officers of the Registrant</w:t>
              </w:r>
            </w:hyperlink>
          </w:p>
        </w:tc>
        <w:tc>
          <w:tcPr>
            <w:tcW w:w="5500" w:type="dxa"/>
            <w:vAlign w:val="bottom"/>
            <w:gridSpan w:val="11"/>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11.</w:t>
            </w:r>
          </w:p>
        </w:tc>
        <w:tc>
          <w:tcPr>
            <w:tcW w:w="9040" w:type="dxa"/>
            <w:vAlign w:val="bottom"/>
            <w:gridSpan w:val="2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Executive Compensation</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20"/>
        </w:trPr>
        <w:tc>
          <w:tcPr>
            <w:tcW w:w="700" w:type="dxa"/>
            <w:vAlign w:val="bottom"/>
            <w:gridSpan w:val="3"/>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7"/>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12.</w:t>
            </w:r>
          </w:p>
        </w:tc>
        <w:tc>
          <w:tcPr>
            <w:tcW w:w="9040" w:type="dxa"/>
            <w:vAlign w:val="bottom"/>
            <w:gridSpan w:val="2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Security Ownership of Certain Beneficial Owners and Management and Related Stockholder Matters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13.</w:t>
            </w:r>
          </w:p>
        </w:tc>
        <w:tc>
          <w:tcPr>
            <w:tcW w:w="3340" w:type="dxa"/>
            <w:vAlign w:val="bottom"/>
            <w:tcBorders>
              <w:top w:val="single" w:sz="8" w:color="0000EE"/>
              <w:bottom w:val="single" w:sz="8" w:color="0000EE"/>
            </w:tcBorders>
            <w:gridSpan w:val="17"/>
          </w:tcPr>
          <w:p>
            <w:pPr>
              <w:spacing w:after="0" w:line="196" w:lineRule="exact"/>
              <w:rPr>
                <w:rFonts w:ascii="Arial" w:cs="Arial" w:eastAsia="Arial" w:hAnsi="Arial"/>
                <w:sz w:val="18"/>
                <w:szCs w:val="18"/>
                <w:color w:val="0000EE"/>
                <w:w w:val="87"/>
              </w:rPr>
            </w:pPr>
            <w:hyperlink w:anchor="page55">
              <w:r>
                <w:rPr>
                  <w:rFonts w:ascii="Arial" w:cs="Arial" w:eastAsia="Arial" w:hAnsi="Arial"/>
                  <w:sz w:val="18"/>
                  <w:szCs w:val="18"/>
                  <w:color w:val="0000EE"/>
                  <w:w w:val="87"/>
                </w:rPr>
                <w:t>Certain Relationships and Related Transactions</w:t>
              </w:r>
            </w:hyperlink>
          </w:p>
        </w:tc>
        <w:tc>
          <w:tcPr>
            <w:tcW w:w="3780" w:type="dxa"/>
            <w:vAlign w:val="bottom"/>
            <w:tcBorders>
              <w:top w:val="single" w:sz="8" w:color="0000EE"/>
            </w:tcBorders>
            <w:gridSpan w:val="10"/>
          </w:tcPr>
          <w:p>
            <w:pPr>
              <w:spacing w:after="0"/>
              <w:rPr>
                <w:sz w:val="17"/>
                <w:szCs w:val="17"/>
                <w:color w:val="auto"/>
              </w:rPr>
            </w:pPr>
          </w:p>
        </w:tc>
        <w:tc>
          <w:tcPr>
            <w:tcW w:w="1920" w:type="dxa"/>
            <w:vAlign w:val="bottom"/>
            <w:gridSpan w:val="2"/>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196"/>
        </w:trPr>
        <w:tc>
          <w:tcPr>
            <w:tcW w:w="920" w:type="dxa"/>
            <w:vAlign w:val="bottom"/>
            <w:gridSpan w:val="5"/>
          </w:tcPr>
          <w:p>
            <w:pPr>
              <w:spacing w:after="0" w:line="196" w:lineRule="exact"/>
              <w:rPr>
                <w:sz w:val="20"/>
                <w:szCs w:val="20"/>
                <w:color w:val="auto"/>
              </w:rPr>
            </w:pPr>
            <w:r>
              <w:rPr>
                <w:rFonts w:ascii="Arial" w:cs="Arial" w:eastAsia="Arial" w:hAnsi="Arial"/>
                <w:sz w:val="18"/>
                <w:szCs w:val="18"/>
                <w:color w:val="auto"/>
              </w:rPr>
              <w:t>Item 14.</w:t>
            </w:r>
          </w:p>
        </w:tc>
        <w:tc>
          <w:tcPr>
            <w:tcW w:w="9040" w:type="dxa"/>
            <w:vAlign w:val="bottom"/>
            <w:gridSpan w:val="29"/>
          </w:tcPr>
          <w:p>
            <w:pPr>
              <w:spacing w:after="0" w:line="196" w:lineRule="exact"/>
              <w:rPr>
                <w:rFonts w:ascii="Arial" w:cs="Arial" w:eastAsia="Arial" w:hAnsi="Arial"/>
                <w:sz w:val="18"/>
                <w:szCs w:val="18"/>
                <w:color w:val="0000EE"/>
              </w:rPr>
            </w:pPr>
            <w:hyperlink w:anchor="page55">
              <w:r>
                <w:rPr>
                  <w:rFonts w:ascii="Arial" w:cs="Arial" w:eastAsia="Arial" w:hAnsi="Arial"/>
                  <w:sz w:val="18"/>
                  <w:szCs w:val="18"/>
                  <w:color w:val="0000EE"/>
                </w:rPr>
                <w:t>Principal Accounting Fees and Services</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55</w:t>
            </w:r>
          </w:p>
        </w:tc>
      </w:tr>
      <w:tr>
        <w:trPr>
          <w:trHeight w:val="345"/>
        </w:trPr>
        <w:tc>
          <w:tcPr>
            <w:tcW w:w="920" w:type="dxa"/>
            <w:vAlign w:val="bottom"/>
            <w:gridSpan w:val="5"/>
          </w:tcPr>
          <w:p>
            <w:pPr>
              <w:spacing w:after="0"/>
              <w:rPr>
                <w:rFonts w:ascii="Arial" w:cs="Arial" w:eastAsia="Arial" w:hAnsi="Arial"/>
                <w:sz w:val="18"/>
                <w:szCs w:val="18"/>
                <w:b w:val="1"/>
                <w:bCs w:val="1"/>
                <w:color w:val="0000EE"/>
              </w:rPr>
            </w:pPr>
            <w:hyperlink w:anchor="page56">
              <w:r>
                <w:rPr>
                  <w:rFonts w:ascii="Arial" w:cs="Arial" w:eastAsia="Arial" w:hAnsi="Arial"/>
                  <w:sz w:val="18"/>
                  <w:szCs w:val="18"/>
                  <w:b w:val="1"/>
                  <w:bCs w:val="1"/>
                  <w:color w:val="0000EE"/>
                </w:rPr>
                <w:t>PART IV</w:t>
              </w:r>
            </w:hyperlink>
          </w:p>
        </w:tc>
        <w:tc>
          <w:tcPr>
            <w:tcW w:w="6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345"/>
        </w:trPr>
        <w:tc>
          <w:tcPr>
            <w:tcW w:w="700" w:type="dxa"/>
            <w:vAlign w:val="bottom"/>
            <w:tcBorders>
              <w:top w:val="single" w:sz="8" w:color="0000EE"/>
            </w:tcBorders>
            <w:gridSpan w:val="3"/>
          </w:tcPr>
          <w:p>
            <w:pPr>
              <w:spacing w:after="0"/>
              <w:rPr>
                <w:sz w:val="20"/>
                <w:szCs w:val="20"/>
                <w:color w:val="auto"/>
              </w:rPr>
            </w:pPr>
            <w:r>
              <w:rPr>
                <w:rFonts w:ascii="Arial" w:cs="Arial" w:eastAsia="Arial" w:hAnsi="Arial"/>
                <w:sz w:val="18"/>
                <w:szCs w:val="18"/>
                <w:color w:val="auto"/>
              </w:rPr>
              <w:t>Item 15.</w:t>
            </w:r>
          </w:p>
        </w:tc>
        <w:tc>
          <w:tcPr>
            <w:tcW w:w="220" w:type="dxa"/>
            <w:vAlign w:val="bottom"/>
            <w:gridSpan w:val="2"/>
          </w:tcPr>
          <w:p>
            <w:pPr>
              <w:spacing w:after="0"/>
              <w:rPr>
                <w:sz w:val="24"/>
                <w:szCs w:val="24"/>
                <w:color w:val="auto"/>
              </w:rPr>
            </w:pPr>
          </w:p>
        </w:tc>
        <w:tc>
          <w:tcPr>
            <w:tcW w:w="2840" w:type="dxa"/>
            <w:vAlign w:val="bottom"/>
            <w:tcBorders>
              <w:bottom w:val="single" w:sz="8" w:color="0000EE"/>
            </w:tcBorders>
            <w:gridSpan w:val="14"/>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Exhibits, Financial Statement Schedules</w:t>
              </w:r>
            </w:hyperlink>
          </w:p>
        </w:tc>
        <w:tc>
          <w:tcPr>
            <w:tcW w:w="6200" w:type="dxa"/>
            <w:vAlign w:val="bottom"/>
            <w:gridSpan w:val="15"/>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345"/>
        </w:trPr>
        <w:tc>
          <w:tcPr>
            <w:tcW w:w="1140" w:type="dxa"/>
            <w:vAlign w:val="bottom"/>
            <w:tcBorders>
              <w:bottom w:val="single" w:sz="8" w:color="0000EE"/>
            </w:tcBorders>
            <w:gridSpan w:val="7"/>
          </w:tcPr>
          <w:p>
            <w:pPr>
              <w:spacing w:after="0"/>
              <w:rPr>
                <w:rFonts w:ascii="Arial" w:cs="Arial" w:eastAsia="Arial" w:hAnsi="Arial"/>
                <w:sz w:val="18"/>
                <w:szCs w:val="18"/>
                <w:b w:val="1"/>
                <w:bCs w:val="1"/>
                <w:color w:val="0000EE"/>
                <w:w w:val="94"/>
              </w:rPr>
            </w:pPr>
            <w:hyperlink w:anchor="page59">
              <w:r>
                <w:rPr>
                  <w:rFonts w:ascii="Arial" w:cs="Arial" w:eastAsia="Arial" w:hAnsi="Arial"/>
                  <w:sz w:val="18"/>
                  <w:szCs w:val="18"/>
                  <w:b w:val="1"/>
                  <w:bCs w:val="1"/>
                  <w:color w:val="0000EE"/>
                  <w:w w:val="94"/>
                </w:rPr>
                <w:t>SIGNATURES</w:t>
              </w:r>
            </w:hyperlink>
          </w:p>
        </w:tc>
        <w:tc>
          <w:tcPr>
            <w:tcW w:w="8820" w:type="dxa"/>
            <w:vAlign w:val="bottom"/>
            <w:gridSpan w:val="27"/>
          </w:tcPr>
          <w:p>
            <w:pPr>
              <w:spacing w:after="0"/>
              <w:rPr>
                <w:sz w:val="24"/>
                <w:szCs w:val="24"/>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377"/>
        </w:trPr>
        <w:tc>
          <w:tcPr>
            <w:tcW w:w="9960" w:type="dxa"/>
            <w:vAlign w:val="bottom"/>
            <w:gridSpan w:val="34"/>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1460" w:type="dxa"/>
            <w:vAlign w:val="bottom"/>
          </w:tcPr>
          <w:p>
            <w:pPr>
              <w:spacing w:after="0"/>
              <w:rPr>
                <w:sz w:val="24"/>
                <w:szCs w:val="24"/>
                <w:color w:val="auto"/>
              </w:rPr>
            </w:pPr>
          </w:p>
        </w:tc>
      </w:tr>
      <w:tr>
        <w:trPr>
          <w:trHeight w:val="184"/>
        </w:trPr>
        <w:tc>
          <w:tcPr>
            <w:tcW w:w="4200" w:type="dxa"/>
            <w:vAlign w:val="bottom"/>
            <w:tcBorders>
              <w:bottom w:val="single" w:sz="8" w:color="0000EE"/>
            </w:tcBorders>
            <w:gridSpan w:val="21"/>
          </w:tcPr>
          <w:p>
            <w:pPr>
              <w:spacing w:after="0" w:line="184"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Reports of Independent Registered Public Accounting Firm</w:t>
              </w:r>
            </w:hyperlink>
          </w:p>
        </w:tc>
        <w:tc>
          <w:tcPr>
            <w:tcW w:w="5760" w:type="dxa"/>
            <w:vAlign w:val="bottom"/>
            <w:gridSpan w:val="13"/>
          </w:tcPr>
          <w:p>
            <w:pPr>
              <w:spacing w:after="0"/>
              <w:rPr>
                <w:sz w:val="15"/>
                <w:szCs w:val="15"/>
                <w:color w:val="auto"/>
              </w:rPr>
            </w:pPr>
          </w:p>
        </w:tc>
        <w:tc>
          <w:tcPr>
            <w:tcW w:w="1460" w:type="dxa"/>
            <w:vAlign w:val="bottom"/>
          </w:tcPr>
          <w:p>
            <w:pPr>
              <w:jc w:val="right"/>
              <w:spacing w:after="0" w:line="184" w:lineRule="exact"/>
              <w:rPr>
                <w:sz w:val="20"/>
                <w:szCs w:val="20"/>
                <w:color w:val="auto"/>
              </w:rPr>
            </w:pPr>
            <w:r>
              <w:rPr>
                <w:rFonts w:ascii="Arial" w:cs="Arial" w:eastAsia="Arial" w:hAnsi="Arial"/>
                <w:sz w:val="18"/>
                <w:szCs w:val="18"/>
                <w:color w:val="auto"/>
              </w:rPr>
              <w:t>F-2</w:t>
            </w:r>
          </w:p>
        </w:tc>
      </w:tr>
      <w:tr>
        <w:trPr>
          <w:trHeight w:val="196"/>
        </w:trPr>
        <w:tc>
          <w:tcPr>
            <w:tcW w:w="9960" w:type="dxa"/>
            <w:vAlign w:val="bottom"/>
            <w:gridSpan w:val="34"/>
          </w:tcPr>
          <w:p>
            <w:pPr>
              <w:spacing w:after="0" w:line="196" w:lineRule="exact"/>
              <w:rPr>
                <w:rFonts w:ascii="Arial" w:cs="Arial" w:eastAsia="Arial" w:hAnsi="Arial"/>
                <w:sz w:val="18"/>
                <w:szCs w:val="18"/>
                <w:color w:val="0000EE"/>
              </w:rPr>
            </w:pPr>
            <w:hyperlink w:anchor="page64">
              <w:r>
                <w:rPr>
                  <w:rFonts w:ascii="Arial" w:cs="Arial" w:eastAsia="Arial" w:hAnsi="Arial"/>
                  <w:sz w:val="18"/>
                  <w:szCs w:val="18"/>
                  <w:color w:val="0000EE"/>
                </w:rPr>
                <w:t>Consolidated Balance Sheets as of December 31, 2005 and 2004</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F-4</w:t>
            </w:r>
          </w:p>
        </w:tc>
      </w:tr>
      <w:tr>
        <w:trPr>
          <w:trHeight w:val="20"/>
        </w:trPr>
        <w:tc>
          <w:tcPr>
            <w:tcW w:w="3080" w:type="dxa"/>
            <w:vAlign w:val="bottom"/>
            <w:gridSpan w:val="16"/>
            <w:shd w:val="clear" w:color="auto" w:fill="0000EE"/>
          </w:tcPr>
          <w:p>
            <w:pPr>
              <w:spacing w:after="0" w:line="20" w:lineRule="exact"/>
              <w:rPr>
                <w:sz w:val="1"/>
                <w:szCs w:val="1"/>
                <w:color w:val="auto"/>
              </w:rPr>
            </w:pPr>
          </w:p>
        </w:tc>
        <w:tc>
          <w:tcPr>
            <w:tcW w:w="1460" w:type="dxa"/>
            <w:vAlign w:val="bottom"/>
            <w:gridSpan w:val="8"/>
            <w:shd w:val="clear" w:color="auto" w:fill="0000EE"/>
          </w:tcPr>
          <w:p>
            <w:pPr>
              <w:spacing w:after="0" w:line="20" w:lineRule="exact"/>
              <w:rPr>
                <w:sz w:val="1"/>
                <w:szCs w:val="1"/>
                <w:color w:val="auto"/>
              </w:rPr>
            </w:pPr>
          </w:p>
        </w:tc>
        <w:tc>
          <w:tcPr>
            <w:tcW w:w="2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6700" w:type="dxa"/>
            <w:vAlign w:val="bottom"/>
            <w:tcBorders>
              <w:bottom w:val="single" w:sz="8" w:color="0000EE"/>
            </w:tcBorders>
            <w:gridSpan w:val="27"/>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Consolidated Statements of Operations for the years ended December 31, 2005, 2004 and 2003</w:t>
              </w:r>
            </w:hyperlink>
          </w:p>
        </w:tc>
        <w:tc>
          <w:tcPr>
            <w:tcW w:w="3260" w:type="dxa"/>
            <w:vAlign w:val="bottom"/>
            <w:gridSpan w:val="7"/>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9960" w:type="dxa"/>
            <w:vAlign w:val="bottom"/>
            <w:gridSpan w:val="34"/>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 for the years ended December 31, 2005, 2004 and 2003</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3080" w:type="dxa"/>
            <w:vAlign w:val="bottom"/>
            <w:gridSpan w:val="16"/>
            <w:shd w:val="clear" w:color="auto" w:fill="0000EE"/>
          </w:tcPr>
          <w:p>
            <w:pPr>
              <w:spacing w:after="0" w:line="20" w:lineRule="exact"/>
              <w:rPr>
                <w:sz w:val="1"/>
                <w:szCs w:val="1"/>
                <w:color w:val="auto"/>
              </w:rPr>
            </w:pPr>
          </w:p>
        </w:tc>
        <w:tc>
          <w:tcPr>
            <w:tcW w:w="3660" w:type="dxa"/>
            <w:vAlign w:val="bottom"/>
            <w:gridSpan w:val="12"/>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r>
        <w:trPr>
          <w:trHeight w:val="196"/>
        </w:trPr>
        <w:tc>
          <w:tcPr>
            <w:tcW w:w="9960" w:type="dxa"/>
            <w:vAlign w:val="bottom"/>
            <w:gridSpan w:val="34"/>
          </w:tcPr>
          <w:p>
            <w:pPr>
              <w:spacing w:after="0" w:line="196" w:lineRule="exact"/>
              <w:rPr>
                <w:rFonts w:ascii="Arial" w:cs="Arial" w:eastAsia="Arial" w:hAnsi="Arial"/>
                <w:sz w:val="18"/>
                <w:szCs w:val="18"/>
                <w:color w:val="0000EE"/>
              </w:rPr>
            </w:pPr>
            <w:hyperlink w:anchor="page68">
              <w:r>
                <w:rPr>
                  <w:rFonts w:ascii="Arial" w:cs="Arial" w:eastAsia="Arial" w:hAnsi="Arial"/>
                  <w:sz w:val="18"/>
                  <w:szCs w:val="18"/>
                  <w:color w:val="0000EE"/>
                </w:rPr>
                <w:t>Consolidated Statements of Stockholders’ Equity for the years ended December 31, 2005, 2004 and 2003</w:t>
              </w:r>
            </w:hyperlink>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740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2560" w:type="dxa"/>
            <w:vAlign w:val="bottom"/>
            <w:gridSpan w:val="3"/>
          </w:tcPr>
          <w:p>
            <w:pPr>
              <w:spacing w:after="0"/>
              <w:rPr>
                <w:sz w:val="17"/>
                <w:szCs w:val="17"/>
                <w:color w:val="auto"/>
              </w:rPr>
            </w:pPr>
          </w:p>
        </w:tc>
        <w:tc>
          <w:tcPr>
            <w:tcW w:w="146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451"/>
        </w:trPr>
        <w:tc>
          <w:tcPr>
            <w:tcW w:w="5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2160" w:type="dxa"/>
            <w:vAlign w:val="bottom"/>
            <w:tcBorders>
              <w:top w:val="single" w:sz="8" w:color="0000EE"/>
            </w:tcBorders>
            <w:gridSpan w:val="11"/>
          </w:tcPr>
          <w:p>
            <w:pPr>
              <w:spacing w:after="0"/>
              <w:rPr>
                <w:sz w:val="24"/>
                <w:szCs w:val="24"/>
                <w:color w:val="auto"/>
              </w:rPr>
            </w:pPr>
          </w:p>
        </w:tc>
        <w:tc>
          <w:tcPr>
            <w:tcW w:w="3620" w:type="dxa"/>
            <w:vAlign w:val="bottom"/>
            <w:gridSpan w:val="11"/>
          </w:tcPr>
          <w:p>
            <w:pPr>
              <w:jc w:val="right"/>
              <w:ind w:right="840"/>
              <w:spacing w:after="0"/>
              <w:rPr>
                <w:sz w:val="20"/>
                <w:szCs w:val="20"/>
                <w:color w:val="auto"/>
              </w:rPr>
            </w:pPr>
            <w:r>
              <w:rPr>
                <w:rFonts w:ascii="Arial" w:cs="Arial" w:eastAsia="Arial" w:hAnsi="Arial"/>
                <w:sz w:val="18"/>
                <w:szCs w:val="18"/>
                <w:color w:val="auto"/>
              </w:rPr>
              <w:t>- 3 -</w:t>
            </w:r>
          </w:p>
        </w:tc>
        <w:tc>
          <w:tcPr>
            <w:tcW w:w="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6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5"/>
          <w:szCs w:val="15"/>
          <w:b w:val="1"/>
          <w:bCs w:val="1"/>
          <w:u w:val="single" w:color="auto"/>
          <w:color w:val="auto"/>
        </w:rPr>
        <w:t>This page intentionally left blank.</w:t>
      </w:r>
    </w:p>
    <w:p>
      <w:pPr>
        <w:sectPr>
          <w:pgSz w:w="11900" w:h="16838" w:orient="portrait"/>
          <w:cols w:equalWidth="0" w:num="1">
            <w:col w:w="9019"/>
          </w:cols>
          <w:pgMar w:left="1440" w:top="584" w:right="1440"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- 4 -</w:t>
      </w:r>
    </w:p>
    <w:p>
      <w:pPr>
        <w:sectPr>
          <w:pgSz w:w="11900" w:h="16838" w:orient="portrait"/>
          <w:cols w:equalWidth="0" w:num="1">
            <w:col w:w="9019"/>
          </w:cols>
          <w:pgMar w:left="1440" w:top="584" w:right="1440" w:bottom="1440" w:gutter="0" w:footer="0" w:header="0"/>
          <w:type w:val="continuous"/>
        </w:sectPr>
      </w:pPr>
    </w:p>
    <w:bookmarkStart w:id="4" w:name="page5"/>
    <w:bookmarkEnd w:id="4"/>
    <w:p>
      <w:pPr>
        <w:jc w:val="center"/>
        <w:ind w:right="-59"/>
        <w:spacing w:after="0"/>
        <w:rPr>
          <w:sz w:val="20"/>
          <w:szCs w:val="20"/>
          <w:color w:val="auto"/>
        </w:rPr>
      </w:pPr>
      <w:r>
        <w:rPr>
          <w:rFonts w:ascii="Arial" w:cs="Arial" w:eastAsia="Arial" w:hAnsi="Arial"/>
          <w:sz w:val="18"/>
          <w:szCs w:val="18"/>
          <w:b w:val="1"/>
          <w:bCs w:val="1"/>
          <w:u w:val="single" w:color="auto"/>
          <w:color w:val="auto"/>
        </w:rPr>
        <w:t>PART 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1.</w:t>
      </w:r>
      <w:r>
        <w:rPr>
          <w:sz w:val="20"/>
          <w:szCs w:val="20"/>
          <w:color w:val="auto"/>
        </w:rPr>
        <w:tab/>
      </w:r>
      <w:r>
        <w:rPr>
          <w:rFonts w:ascii="Arial" w:cs="Arial" w:eastAsia="Arial" w:hAnsi="Arial"/>
          <w:sz w:val="16"/>
          <w:szCs w:val="16"/>
          <w:b w:val="1"/>
          <w:bCs w:val="1"/>
          <w:u w:val="single" w:color="auto"/>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31"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Vishay Intertechnology, Inc. is a leading international manufacturer and supplier of semiconductors and passive electronic components. Semiconductors include diodes, transistors, rectifiers, power integrated circuits (ICs), infrared (IR) transceivers, IR sensors and optocouplers. Passive Components include resistors, capacitors, transducers and inductors. Discrete semiconductors and passive electronic components are the primary elements of almost every electronic circuit. We offer our customers “one-stop” access to one of the most comprehensive electronic component lines of any manufacturer in the United States, Europe and Asia.</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Our components are used in virtually every type of product that contains electronic circuitry, including:</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00"/>
              <w:spacing w:after="0"/>
              <w:rPr>
                <w:sz w:val="20"/>
                <w:szCs w:val="20"/>
                <w:color w:val="auto"/>
              </w:rPr>
            </w:pPr>
            <w:r>
              <w:rPr>
                <w:rFonts w:ascii="Arial" w:cs="Arial" w:eastAsia="Arial" w:hAnsi="Arial"/>
                <w:sz w:val="18"/>
                <w:szCs w:val="18"/>
                <w:color w:val="auto"/>
              </w:rPr>
              <w:t>computer-related products,</w:t>
            </w:r>
          </w:p>
        </w:tc>
        <w:tc>
          <w:tcPr>
            <w:tcW w:w="1620" w:type="dxa"/>
            <w:vAlign w:val="bottom"/>
          </w:tcPr>
          <w:p>
            <w:pPr>
              <w:ind w:left="1380"/>
              <w:spacing w:after="0"/>
              <w:rPr>
                <w:sz w:val="20"/>
                <w:szCs w:val="20"/>
                <w:color w:val="auto"/>
              </w:rPr>
            </w:pPr>
            <w:r>
              <w:rPr>
                <w:rFonts w:ascii="Arial" w:cs="Arial" w:eastAsia="Arial" w:hAnsi="Arial"/>
                <w:sz w:val="18"/>
                <w:szCs w:val="18"/>
                <w:color w:val="auto"/>
              </w:rPr>
              <w:t>•</w:t>
            </w:r>
          </w:p>
        </w:tc>
        <w:tc>
          <w:tcPr>
            <w:tcW w:w="2800" w:type="dxa"/>
            <w:vAlign w:val="bottom"/>
          </w:tcPr>
          <w:p>
            <w:pPr>
              <w:ind w:left="200"/>
              <w:spacing w:after="0"/>
              <w:rPr>
                <w:sz w:val="20"/>
                <w:szCs w:val="20"/>
                <w:color w:val="auto"/>
              </w:rPr>
            </w:pPr>
            <w:r>
              <w:rPr>
                <w:rFonts w:ascii="Arial" w:cs="Arial" w:eastAsia="Arial" w:hAnsi="Arial"/>
                <w:sz w:val="18"/>
                <w:szCs w:val="18"/>
                <w:color w:val="auto"/>
              </w:rPr>
              <w:t>automotive applications,</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00"/>
              <w:spacing w:after="0"/>
              <w:rPr>
                <w:sz w:val="20"/>
                <w:szCs w:val="20"/>
                <w:color w:val="auto"/>
              </w:rPr>
            </w:pPr>
            <w:r>
              <w:rPr>
                <w:rFonts w:ascii="Arial" w:cs="Arial" w:eastAsia="Arial" w:hAnsi="Arial"/>
                <w:sz w:val="18"/>
                <w:szCs w:val="18"/>
                <w:color w:val="auto"/>
              </w:rPr>
              <w:t>power management products,</w:t>
            </w:r>
          </w:p>
        </w:tc>
        <w:tc>
          <w:tcPr>
            <w:tcW w:w="1620" w:type="dxa"/>
            <w:vAlign w:val="bottom"/>
          </w:tcPr>
          <w:p>
            <w:pPr>
              <w:ind w:left="1380"/>
              <w:spacing w:after="0"/>
              <w:rPr>
                <w:sz w:val="20"/>
                <w:szCs w:val="20"/>
                <w:color w:val="auto"/>
              </w:rPr>
            </w:pPr>
            <w:r>
              <w:rPr>
                <w:rFonts w:ascii="Arial" w:cs="Arial" w:eastAsia="Arial" w:hAnsi="Arial"/>
                <w:sz w:val="18"/>
                <w:szCs w:val="18"/>
                <w:color w:val="auto"/>
              </w:rPr>
              <w:t>•</w:t>
            </w:r>
          </w:p>
        </w:tc>
        <w:tc>
          <w:tcPr>
            <w:tcW w:w="2800" w:type="dxa"/>
            <w:vAlign w:val="bottom"/>
          </w:tcPr>
          <w:p>
            <w:pPr>
              <w:ind w:left="200"/>
              <w:spacing w:after="0"/>
              <w:rPr>
                <w:sz w:val="20"/>
                <w:szCs w:val="20"/>
                <w:color w:val="auto"/>
              </w:rPr>
            </w:pPr>
            <w:r>
              <w:rPr>
                <w:rFonts w:ascii="Arial" w:cs="Arial" w:eastAsia="Arial" w:hAnsi="Arial"/>
                <w:sz w:val="18"/>
                <w:szCs w:val="18"/>
                <w:color w:val="auto"/>
              </w:rPr>
              <w:t>process control systems,</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00"/>
              <w:spacing w:after="0"/>
              <w:rPr>
                <w:sz w:val="20"/>
                <w:szCs w:val="20"/>
                <w:color w:val="auto"/>
              </w:rPr>
            </w:pPr>
            <w:r>
              <w:rPr>
                <w:rFonts w:ascii="Arial" w:cs="Arial" w:eastAsia="Arial" w:hAnsi="Arial"/>
                <w:sz w:val="18"/>
                <w:szCs w:val="18"/>
                <w:color w:val="auto"/>
              </w:rPr>
              <w:t>telecommunications equipment,</w:t>
            </w:r>
          </w:p>
        </w:tc>
        <w:tc>
          <w:tcPr>
            <w:tcW w:w="1620" w:type="dxa"/>
            <w:vAlign w:val="bottom"/>
          </w:tcPr>
          <w:p>
            <w:pPr>
              <w:ind w:left="1380"/>
              <w:spacing w:after="0"/>
              <w:rPr>
                <w:sz w:val="20"/>
                <w:szCs w:val="20"/>
                <w:color w:val="auto"/>
              </w:rPr>
            </w:pPr>
            <w:r>
              <w:rPr>
                <w:rFonts w:ascii="Arial" w:cs="Arial" w:eastAsia="Arial" w:hAnsi="Arial"/>
                <w:sz w:val="18"/>
                <w:szCs w:val="18"/>
                <w:color w:val="auto"/>
              </w:rPr>
              <w:t>•</w:t>
            </w:r>
          </w:p>
        </w:tc>
        <w:tc>
          <w:tcPr>
            <w:tcW w:w="2800" w:type="dxa"/>
            <w:vAlign w:val="bottom"/>
          </w:tcPr>
          <w:p>
            <w:pPr>
              <w:ind w:left="200"/>
              <w:spacing w:after="0"/>
              <w:rPr>
                <w:sz w:val="20"/>
                <w:szCs w:val="20"/>
                <w:color w:val="auto"/>
              </w:rPr>
            </w:pPr>
            <w:r>
              <w:rPr>
                <w:rFonts w:ascii="Arial" w:cs="Arial" w:eastAsia="Arial" w:hAnsi="Arial"/>
                <w:sz w:val="18"/>
                <w:szCs w:val="18"/>
                <w:color w:val="auto"/>
                <w:w w:val="90"/>
              </w:rPr>
              <w:t>military and aerospace applications,</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00"/>
              <w:spacing w:after="0"/>
              <w:rPr>
                <w:sz w:val="20"/>
                <w:szCs w:val="20"/>
                <w:color w:val="auto"/>
              </w:rPr>
            </w:pPr>
            <w:r>
              <w:rPr>
                <w:rFonts w:ascii="Arial" w:cs="Arial" w:eastAsia="Arial" w:hAnsi="Arial"/>
                <w:sz w:val="18"/>
                <w:szCs w:val="18"/>
                <w:color w:val="auto"/>
              </w:rPr>
              <w:t>measuring instruments,</w:t>
            </w:r>
          </w:p>
        </w:tc>
        <w:tc>
          <w:tcPr>
            <w:tcW w:w="1620" w:type="dxa"/>
            <w:vAlign w:val="bottom"/>
          </w:tcPr>
          <w:p>
            <w:pPr>
              <w:ind w:left="1380"/>
              <w:spacing w:after="0"/>
              <w:rPr>
                <w:sz w:val="20"/>
                <w:szCs w:val="20"/>
                <w:color w:val="auto"/>
              </w:rPr>
            </w:pPr>
            <w:r>
              <w:rPr>
                <w:rFonts w:ascii="Arial" w:cs="Arial" w:eastAsia="Arial" w:hAnsi="Arial"/>
                <w:sz w:val="18"/>
                <w:szCs w:val="18"/>
                <w:color w:val="auto"/>
              </w:rPr>
              <w:t>•</w:t>
            </w:r>
          </w:p>
        </w:tc>
        <w:tc>
          <w:tcPr>
            <w:tcW w:w="2800" w:type="dxa"/>
            <w:vAlign w:val="bottom"/>
          </w:tcPr>
          <w:p>
            <w:pPr>
              <w:ind w:left="200"/>
              <w:spacing w:after="0"/>
              <w:rPr>
                <w:sz w:val="20"/>
                <w:szCs w:val="20"/>
                <w:color w:val="auto"/>
              </w:rPr>
            </w:pPr>
            <w:r>
              <w:rPr>
                <w:rFonts w:ascii="Arial" w:cs="Arial" w:eastAsia="Arial" w:hAnsi="Arial"/>
                <w:sz w:val="18"/>
                <w:szCs w:val="18"/>
                <w:color w:val="auto"/>
                <w:w w:val="85"/>
              </w:rPr>
              <w:t>consumer electronics and appliances,</w:t>
            </w:r>
          </w:p>
        </w:tc>
      </w:tr>
      <w:tr>
        <w:trPr>
          <w:trHeight w:val="43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3800" w:type="dxa"/>
            <w:vAlign w:val="bottom"/>
          </w:tcPr>
          <w:p>
            <w:pPr>
              <w:ind w:left="200"/>
              <w:spacing w:after="0"/>
              <w:rPr>
                <w:sz w:val="20"/>
                <w:szCs w:val="20"/>
                <w:color w:val="auto"/>
              </w:rPr>
            </w:pPr>
            <w:r>
              <w:rPr>
                <w:rFonts w:ascii="Arial" w:cs="Arial" w:eastAsia="Arial" w:hAnsi="Arial"/>
                <w:sz w:val="18"/>
                <w:szCs w:val="18"/>
                <w:color w:val="auto"/>
              </w:rPr>
              <w:t>industrial equipment,</w:t>
            </w:r>
          </w:p>
        </w:tc>
        <w:tc>
          <w:tcPr>
            <w:tcW w:w="1620" w:type="dxa"/>
            <w:vAlign w:val="bottom"/>
          </w:tcPr>
          <w:p>
            <w:pPr>
              <w:ind w:left="1380"/>
              <w:spacing w:after="0"/>
              <w:rPr>
                <w:sz w:val="20"/>
                <w:szCs w:val="20"/>
                <w:color w:val="auto"/>
              </w:rPr>
            </w:pPr>
            <w:r>
              <w:rPr>
                <w:rFonts w:ascii="Arial" w:cs="Arial" w:eastAsia="Arial" w:hAnsi="Arial"/>
                <w:sz w:val="18"/>
                <w:szCs w:val="18"/>
                <w:color w:val="auto"/>
              </w:rPr>
              <w:t>•</w:t>
            </w:r>
          </w:p>
        </w:tc>
        <w:tc>
          <w:tcPr>
            <w:tcW w:w="2800" w:type="dxa"/>
            <w:vAlign w:val="bottom"/>
          </w:tcPr>
          <w:p>
            <w:pPr>
              <w:ind w:left="200"/>
              <w:spacing w:after="0"/>
              <w:rPr>
                <w:sz w:val="20"/>
                <w:szCs w:val="20"/>
                <w:color w:val="auto"/>
              </w:rPr>
            </w:pPr>
            <w:r>
              <w:rPr>
                <w:rFonts w:ascii="Arial" w:cs="Arial" w:eastAsia="Arial" w:hAnsi="Arial"/>
                <w:sz w:val="18"/>
                <w:szCs w:val="18"/>
                <w:color w:val="auto"/>
              </w:rPr>
              <w:t>medical instruments, and</w:t>
            </w:r>
          </w:p>
        </w:tc>
      </w:tr>
      <w:tr>
        <w:trPr>
          <w:trHeight w:val="432"/>
        </w:trPr>
        <w:tc>
          <w:tcPr>
            <w:tcW w:w="24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1620" w:type="dxa"/>
            <w:vAlign w:val="bottom"/>
          </w:tcPr>
          <w:p>
            <w:pPr>
              <w:ind w:left="1380"/>
              <w:spacing w:after="0"/>
              <w:rPr>
                <w:sz w:val="20"/>
                <w:szCs w:val="20"/>
                <w:color w:val="auto"/>
              </w:rPr>
            </w:pPr>
            <w:r>
              <w:rPr>
                <w:rFonts w:ascii="Arial" w:cs="Arial" w:eastAsia="Arial" w:hAnsi="Arial"/>
                <w:sz w:val="18"/>
                <w:szCs w:val="18"/>
                <w:color w:val="auto"/>
              </w:rPr>
              <w:t>•</w:t>
            </w:r>
          </w:p>
        </w:tc>
        <w:tc>
          <w:tcPr>
            <w:tcW w:w="2800" w:type="dxa"/>
            <w:vAlign w:val="bottom"/>
          </w:tcPr>
          <w:p>
            <w:pPr>
              <w:ind w:left="200"/>
              <w:spacing w:after="0"/>
              <w:rPr>
                <w:sz w:val="20"/>
                <w:szCs w:val="20"/>
                <w:color w:val="auto"/>
              </w:rPr>
            </w:pPr>
            <w:r>
              <w:rPr>
                <w:rFonts w:ascii="Arial" w:cs="Arial" w:eastAsia="Arial" w:hAnsi="Arial"/>
                <w:sz w:val="18"/>
                <w:szCs w:val="18"/>
                <w:color w:val="auto"/>
              </w:rPr>
              <w:t>electronic scales.</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Since 1985, we have pursued a business strategy that principally consists of the following elements:</w:t>
      </w:r>
    </w:p>
    <w:p>
      <w:pPr>
        <w:spacing w:after="0" w:line="225" w:lineRule="exact"/>
        <w:rPr>
          <w:sz w:val="20"/>
          <w:szCs w:val="20"/>
          <w:color w:val="auto"/>
        </w:rPr>
      </w:pPr>
    </w:p>
    <w:p>
      <w:pPr>
        <w:ind w:left="580" w:right="180" w:firstLine="9"/>
        <w:spacing w:after="0" w:line="259" w:lineRule="auto"/>
        <w:tabs>
          <w:tab w:leader="none" w:pos="931"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expanding within the electronic components industry, primarily through the acquisition of other manufacturers of electronic components that have established positions in major markets, reputations for product quality and reliability, and product lines with which we have substantial marketing and technical expertise;</w:t>
      </w:r>
    </w:p>
    <w:p>
      <w:pPr>
        <w:spacing w:after="0" w:line="126" w:lineRule="exact"/>
        <w:rPr>
          <w:rFonts w:ascii="Arial" w:cs="Arial" w:eastAsia="Arial" w:hAnsi="Arial"/>
          <w:sz w:val="18"/>
          <w:szCs w:val="18"/>
          <w:color w:val="auto"/>
        </w:rPr>
      </w:pPr>
    </w:p>
    <w:p>
      <w:pPr>
        <w:ind w:left="580" w:right="120" w:firstLine="9"/>
        <w:spacing w:after="0" w:line="268" w:lineRule="auto"/>
        <w:tabs>
          <w:tab w:leader="none" w:pos="931" w:val="left"/>
        </w:tabs>
        <w:numPr>
          <w:ilvl w:val="0"/>
          <w:numId w:val="3"/>
        </w:numPr>
        <w:rPr>
          <w:rFonts w:ascii="Arial" w:cs="Arial" w:eastAsia="Arial" w:hAnsi="Arial"/>
          <w:sz w:val="18"/>
          <w:szCs w:val="18"/>
          <w:color w:val="auto"/>
        </w:rPr>
      </w:pPr>
      <w:r>
        <w:rPr>
          <w:rFonts w:ascii="Arial" w:cs="Arial" w:eastAsia="Arial" w:hAnsi="Arial"/>
          <w:sz w:val="18"/>
          <w:szCs w:val="18"/>
          <w:color w:val="auto"/>
        </w:rPr>
        <w:t>reducing selling, general and administrative expenses through the integration or elimination of redundant sales offices and administrative functions at acquired companies;</w:t>
      </w:r>
    </w:p>
    <w:p>
      <w:pPr>
        <w:spacing w:after="0" w:line="118" w:lineRule="exact"/>
        <w:rPr>
          <w:rFonts w:ascii="Arial" w:cs="Arial" w:eastAsia="Arial" w:hAnsi="Arial"/>
          <w:sz w:val="18"/>
          <w:szCs w:val="18"/>
          <w:color w:val="auto"/>
        </w:rPr>
      </w:pPr>
    </w:p>
    <w:p>
      <w:pPr>
        <w:ind w:left="580" w:right="300" w:firstLine="9"/>
        <w:spacing w:after="0" w:line="259" w:lineRule="auto"/>
        <w:tabs>
          <w:tab w:leader="none" w:pos="931" w:val="left"/>
        </w:tabs>
        <w:numPr>
          <w:ilvl w:val="0"/>
          <w:numId w:val="3"/>
        </w:numPr>
        <w:rPr>
          <w:rFonts w:ascii="Arial" w:cs="Arial" w:eastAsia="Arial" w:hAnsi="Arial"/>
          <w:sz w:val="18"/>
          <w:szCs w:val="18"/>
          <w:color w:val="auto"/>
        </w:rPr>
      </w:pPr>
      <w:r>
        <w:rPr>
          <w:rFonts w:ascii="Arial" w:cs="Arial" w:eastAsia="Arial" w:hAnsi="Arial"/>
          <w:sz w:val="18"/>
          <w:szCs w:val="18"/>
          <w:color w:val="auto"/>
        </w:rPr>
        <w:t>achieving significant production cost savings through the transfer and expansion of manufacturing operations to countries such as the Czech Republic, India, Israel, Malaysia, Mexico, the People’s Republic of China, and the Philippines, where we can take advantage of lower labor costs and available tax and other government-sponsored incentives;</w:t>
      </w:r>
    </w:p>
    <w:p>
      <w:pPr>
        <w:spacing w:after="0" w:line="126" w:lineRule="exact"/>
        <w:rPr>
          <w:rFonts w:ascii="Arial" w:cs="Arial" w:eastAsia="Arial" w:hAnsi="Arial"/>
          <w:sz w:val="18"/>
          <w:szCs w:val="18"/>
          <w:color w:val="auto"/>
        </w:rPr>
      </w:pPr>
    </w:p>
    <w:p>
      <w:pPr>
        <w:ind w:left="580" w:right="740" w:firstLine="9"/>
        <w:spacing w:after="0" w:line="268" w:lineRule="auto"/>
        <w:tabs>
          <w:tab w:leader="none" w:pos="931" w:val="left"/>
        </w:tabs>
        <w:numPr>
          <w:ilvl w:val="0"/>
          <w:numId w:val="3"/>
        </w:numPr>
        <w:rPr>
          <w:rFonts w:ascii="Arial" w:cs="Arial" w:eastAsia="Arial" w:hAnsi="Arial"/>
          <w:sz w:val="18"/>
          <w:szCs w:val="18"/>
          <w:color w:val="auto"/>
        </w:rPr>
      </w:pPr>
      <w:r>
        <w:rPr>
          <w:rFonts w:ascii="Arial" w:cs="Arial" w:eastAsia="Arial" w:hAnsi="Arial"/>
          <w:sz w:val="18"/>
          <w:szCs w:val="18"/>
          <w:color w:val="auto"/>
        </w:rPr>
        <w:t>maintaining significant production facilities in those regions where we market the bulk of our products in order to enhance the service and responsiveness that we provide to our customers;</w:t>
      </w:r>
    </w:p>
    <w:p>
      <w:pPr>
        <w:spacing w:after="0" w:line="118" w:lineRule="exact"/>
        <w:rPr>
          <w:rFonts w:ascii="Arial" w:cs="Arial" w:eastAsia="Arial" w:hAnsi="Arial"/>
          <w:sz w:val="18"/>
          <w:szCs w:val="18"/>
          <w:color w:val="auto"/>
        </w:rPr>
      </w:pPr>
    </w:p>
    <w:p>
      <w:pPr>
        <w:ind w:left="940" w:hanging="351"/>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consistently rolling out new and innovative products; and</w:t>
      </w:r>
    </w:p>
    <w:p>
      <w:pPr>
        <w:spacing w:after="0" w:line="157" w:lineRule="exact"/>
        <w:rPr>
          <w:rFonts w:ascii="Arial" w:cs="Arial" w:eastAsia="Arial" w:hAnsi="Arial"/>
          <w:sz w:val="18"/>
          <w:szCs w:val="18"/>
          <w:color w:val="auto"/>
        </w:rPr>
      </w:pPr>
    </w:p>
    <w:p>
      <w:pPr>
        <w:ind w:left="940" w:hanging="351"/>
        <w:spacing w:after="0"/>
        <w:tabs>
          <w:tab w:leader="none" w:pos="940" w:val="left"/>
        </w:tabs>
        <w:numPr>
          <w:ilvl w:val="0"/>
          <w:numId w:val="3"/>
        </w:numPr>
        <w:rPr>
          <w:rFonts w:ascii="Arial" w:cs="Arial" w:eastAsia="Arial" w:hAnsi="Arial"/>
          <w:sz w:val="18"/>
          <w:szCs w:val="18"/>
          <w:color w:val="auto"/>
        </w:rPr>
      </w:pPr>
      <w:r>
        <w:rPr>
          <w:rFonts w:ascii="Arial" w:cs="Arial" w:eastAsia="Arial" w:hAnsi="Arial"/>
          <w:sz w:val="18"/>
          <w:szCs w:val="18"/>
          <w:color w:val="auto"/>
        </w:rPr>
        <w:t>strengthening our relationships with customers and strategic partners.</w:t>
      </w:r>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As a result of this strategy, we have grown from a small manufacturer of precision resistors and resistance strain gages to one of the world’s largest manufacturers and suppliers of a broad line of electronic components.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380"/>
          </w:cols>
          <w:pgMar w:left="240" w:top="584" w:right="27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t>Our significant acquisitions in the last several years include:</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Siliconix and Telefunken</w:t>
      </w:r>
      <w:r>
        <w:rPr>
          <w:rFonts w:ascii="Arial" w:cs="Arial" w:eastAsia="Arial" w:hAnsi="Arial"/>
          <w:sz w:val="18"/>
          <w:szCs w:val="18"/>
          <w:color w:val="auto"/>
        </w:rPr>
        <w:t>. We acquired an 80.4% interest in Siliconix incorporated in March 1998 from Daimler-Benz A.G. We subsequently acquired the</w:t>
      </w:r>
      <w:r>
        <w:rPr>
          <w:rFonts w:ascii="Arial" w:cs="Arial" w:eastAsia="Arial" w:hAnsi="Arial"/>
          <w:sz w:val="18"/>
          <w:szCs w:val="18"/>
          <w:i w:val="1"/>
          <w:iCs w:val="1"/>
          <w:color w:val="auto"/>
        </w:rPr>
        <w:t xml:space="preserve"> </w:t>
      </w:r>
      <w:r>
        <w:rPr>
          <w:rFonts w:ascii="Arial" w:cs="Arial" w:eastAsia="Arial" w:hAnsi="Arial"/>
          <w:sz w:val="18"/>
          <w:szCs w:val="18"/>
          <w:color w:val="auto"/>
        </w:rPr>
        <w:t>minority interest in Siliconix in May 2005, making Siliconix a wholly-owned subsidiary of Vishay. Siliconix, based in Santa Clara, California, designs, markets and manufactures power and analog semiconductor products, such as metal-oxide-semiconductor field-effect transistors (MOSFETs), junction field-effect transistors (JFETs), bipolar switches, signal processing ICs and power ICs for computers, cell phones, fixed communications networks, automobiles and other electronic systems. Siliconix has manufacturing facilities in Santa Clara, California and Itzehoe, Germany, maintains assembly and testing facilities in the Republic of China (Taiwan), is party to a joint venture in Shanghai, the People’s Republic of China and has subcontractors in the Philippines, the People’s Republic of China, and the United States.</w:t>
      </w:r>
    </w:p>
    <w:p>
      <w:pPr>
        <w:spacing w:after="0" w:line="201"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Concurrent with the 1998 transaction in which we acquired the 80.4% interest in Siliconix, we also acquired from Daimler-Benz the semiconductor business unit of TEMIC Telefunken Microelectronic GmbH headquartered in Heilbronn, Germany, but promptly disposed of its integrated circuits division. This business, renamed Vishay Semiconductor GmbH, offers a product line of diodes, RF transistors, optoelectronic semiconductors, infrared data transceivers (IRDCs) and light-emitting diodes (LEDs).</w:t>
      </w:r>
    </w:p>
    <w:p>
      <w:pPr>
        <w:spacing w:after="0" w:line="197"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i w:val="1"/>
          <w:iCs w:val="1"/>
          <w:color w:val="auto"/>
        </w:rPr>
        <w:t xml:space="preserve">Electro-Films, Cera-Mite and Spectrol. </w:t>
      </w:r>
      <w:r>
        <w:rPr>
          <w:rFonts w:ascii="Arial" w:cs="Arial" w:eastAsia="Arial" w:hAnsi="Arial"/>
          <w:sz w:val="18"/>
          <w:szCs w:val="18"/>
          <w:color w:val="auto"/>
        </w:rPr>
        <w:t>In May 2000, we acquired Electro-Films, Inc., a manufacturer of thin film components and networks on ceramic and</w:t>
      </w:r>
      <w:r>
        <w:rPr>
          <w:rFonts w:ascii="Arial" w:cs="Arial" w:eastAsia="Arial" w:hAnsi="Arial"/>
          <w:sz w:val="18"/>
          <w:szCs w:val="18"/>
          <w:i w:val="1"/>
          <w:iCs w:val="1"/>
          <w:color w:val="auto"/>
        </w:rPr>
        <w:t xml:space="preserve"> </w:t>
      </w:r>
      <w:r>
        <w:rPr>
          <w:rFonts w:ascii="Arial" w:cs="Arial" w:eastAsia="Arial" w:hAnsi="Arial"/>
          <w:sz w:val="18"/>
          <w:szCs w:val="18"/>
          <w:color w:val="auto"/>
        </w:rPr>
        <w:t>silicon. In August 2000, we acquired Cera-Mite Corporation, a worldwide supplier of ceramic capacitors used in power supplies, electronic lighting and other applications, and thermistors (temperature-sensitive resistors) used in refrigeration, HVAC, telecommunications and other electronic applications. Separately, in August 2000, we acquired Spectrol, a manufacturer of sensing potentiometers used primarily in the automotive industry and trimmer potentiometers used in various kinds of electronic circuitry.</w:t>
      </w:r>
    </w:p>
    <w:p>
      <w:pPr>
        <w:spacing w:after="0" w:line="197" w:lineRule="exact"/>
        <w:rPr>
          <w:sz w:val="20"/>
          <w:szCs w:val="20"/>
          <w:color w:val="auto"/>
        </w:rPr>
      </w:pPr>
    </w:p>
    <w:p>
      <w:pPr>
        <w:ind w:right="160"/>
        <w:spacing w:after="0" w:line="298" w:lineRule="auto"/>
        <w:rPr>
          <w:sz w:val="20"/>
          <w:szCs w:val="20"/>
          <w:color w:val="auto"/>
        </w:rPr>
      </w:pPr>
      <w:r>
        <w:rPr>
          <w:rFonts w:ascii="Arial" w:cs="Arial" w:eastAsia="Arial" w:hAnsi="Arial"/>
          <w:sz w:val="16"/>
          <w:szCs w:val="16"/>
          <w:i w:val="1"/>
          <w:iCs w:val="1"/>
          <w:color w:val="auto"/>
        </w:rPr>
        <w:t>Tansitor and Mallory</w:t>
      </w:r>
      <w:r>
        <w:rPr>
          <w:rFonts w:ascii="Arial" w:cs="Arial" w:eastAsia="Arial" w:hAnsi="Arial"/>
          <w:sz w:val="16"/>
          <w:szCs w:val="16"/>
          <w:color w:val="auto"/>
        </w:rPr>
        <w:t>. In January 2001, we acquired Tansitor, a leading manufacturer of wet tantalum electrolytic capacitors and miniature conformal coated</w:t>
      </w:r>
      <w:r>
        <w:rPr>
          <w:rFonts w:ascii="Arial" w:cs="Arial" w:eastAsia="Arial" w:hAnsi="Arial"/>
          <w:sz w:val="16"/>
          <w:szCs w:val="16"/>
          <w:i w:val="1"/>
          <w:iCs w:val="1"/>
          <w:color w:val="auto"/>
        </w:rPr>
        <w:t xml:space="preserve"> </w:t>
      </w:r>
      <w:r>
        <w:rPr>
          <w:rFonts w:ascii="Arial" w:cs="Arial" w:eastAsia="Arial" w:hAnsi="Arial"/>
          <w:sz w:val="16"/>
          <w:szCs w:val="16"/>
          <w:color w:val="auto"/>
        </w:rPr>
        <w:t>solid tantalum capacitors. These components have power management applications in the military, aerospace and medical industries. In November 2001, we acquired Yosemite Investment, Inc. d/b/a the North American Capacitor Company, known as Mallory, a manufacturer and distributor of wet tantalum capacitors and other products. As a result of these two acquisitions, we have become the number one manufacturer of wet tantalum capacitors worldwide.</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i w:val="1"/>
          <w:iCs w:val="1"/>
          <w:color w:val="auto"/>
        </w:rPr>
        <w:t>Infineon infrared components business</w:t>
      </w:r>
      <w:r>
        <w:rPr>
          <w:rFonts w:ascii="Arial" w:cs="Arial" w:eastAsia="Arial" w:hAnsi="Arial"/>
          <w:sz w:val="18"/>
          <w:szCs w:val="18"/>
          <w:color w:val="auto"/>
        </w:rPr>
        <w:t>. In July 2001, we acquired the infrared components business of Infineon A.G. As a result, we added several new device</w:t>
      </w:r>
      <w:r>
        <w:rPr>
          <w:rFonts w:ascii="Arial" w:cs="Arial" w:eastAsia="Arial" w:hAnsi="Arial"/>
          <w:sz w:val="18"/>
          <w:szCs w:val="18"/>
          <w:i w:val="1"/>
          <w:iCs w:val="1"/>
          <w:color w:val="auto"/>
        </w:rPr>
        <w:t xml:space="preserve"> </w:t>
      </w:r>
      <w:r>
        <w:rPr>
          <w:rFonts w:ascii="Arial" w:cs="Arial" w:eastAsia="Arial" w:hAnsi="Arial"/>
          <w:sz w:val="18"/>
          <w:szCs w:val="18"/>
          <w:color w:val="auto"/>
        </w:rPr>
        <w:t>types to our optoelectronics portfolio.</w:t>
      </w:r>
    </w:p>
    <w:p>
      <w:pPr>
        <w:spacing w:after="0" w:line="186"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i w:val="1"/>
          <w:iCs w:val="1"/>
          <w:color w:val="auto"/>
        </w:rPr>
        <w:t>General Semiconductor</w:t>
      </w:r>
      <w:r>
        <w:rPr>
          <w:rFonts w:ascii="Arial" w:cs="Arial" w:eastAsia="Arial" w:hAnsi="Arial"/>
          <w:sz w:val="18"/>
          <w:szCs w:val="18"/>
          <w:color w:val="auto"/>
        </w:rPr>
        <w:t>. On November 2, 2001, we completed the acquisition of General Semiconductor, Inc., a leader in the design, manufacture and</w:t>
      </w:r>
      <w:r>
        <w:rPr>
          <w:rFonts w:ascii="Arial" w:cs="Arial" w:eastAsia="Arial" w:hAnsi="Arial"/>
          <w:sz w:val="18"/>
          <w:szCs w:val="18"/>
          <w:i w:val="1"/>
          <w:iCs w:val="1"/>
          <w:color w:val="auto"/>
        </w:rPr>
        <w:t xml:space="preserve"> </w:t>
      </w:r>
      <w:r>
        <w:rPr>
          <w:rFonts w:ascii="Arial" w:cs="Arial" w:eastAsia="Arial" w:hAnsi="Arial"/>
          <w:sz w:val="18"/>
          <w:szCs w:val="18"/>
          <w:color w:val="auto"/>
        </w:rPr>
        <w:t>distribution of semiconductors for the power management market. General Semiconductor manufactures and distributes a broad range of power management products, including rectifiers, transient voltage suppressors, small-signal transistors, diodes, MOSFETs and analog ICs. As a result of this acquisition, we became the number one manufacturer of diodes and rectifiers worldwide.</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i w:val="1"/>
          <w:iCs w:val="1"/>
          <w:color w:val="auto"/>
        </w:rPr>
        <w:t xml:space="preserve">Measurements Group acquisitions. </w:t>
      </w:r>
      <w:r>
        <w:rPr>
          <w:rFonts w:ascii="Arial" w:cs="Arial" w:eastAsia="Arial" w:hAnsi="Arial"/>
          <w:sz w:val="16"/>
          <w:szCs w:val="16"/>
          <w:color w:val="auto"/>
        </w:rPr>
        <w:t>In 2002, we made several acquisitions as part of our Measurements Group’s strategy of vertical market integration.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January 2002, we acquired the transducer and strain gage business of Sensortronics, Inc. In June 2002, we acquired Tedea-Huntleigh BV, a leading manufacturer of load cells used in digital scales by the weighing industry. In July 2002, we purchased the BLH and Nobel businesses from Thermo Electron Corporation. BLH and Nobel are engaged in the production and sale of load cell based process weighing systems, weighing and batching instruments, web tension instruments, weighing scales, servo control systems, and components relating to load cells, including strain gages, foil gages and transducers. In October 2002, we acquired Celtron Technologies, another company engaged in the production and sale of load cells used in digital scales for the weighing industry. As a result of these acquisitions, the product portfolio of our Measurements Group has been expanded and we are now a world leader in stress analysis products and transducers used in the weighing industry (load cells).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590" w:right="239" w:bottom="1440" w:gutter="0" w:footer="0" w:header="0"/>
        </w:sectPr>
      </w:pPr>
    </w:p>
    <w:bookmarkStart w:id="6" w:name="page7"/>
    <w:bookmarkEnd w:id="6"/>
    <w:p>
      <w:pPr>
        <w:ind w:right="280"/>
        <w:spacing w:after="0" w:line="256" w:lineRule="auto"/>
        <w:rPr>
          <w:sz w:val="20"/>
          <w:szCs w:val="20"/>
          <w:color w:val="auto"/>
        </w:rPr>
      </w:pPr>
      <w:r>
        <w:rPr>
          <w:rFonts w:ascii="Arial" w:cs="Arial" w:eastAsia="Arial" w:hAnsi="Arial"/>
          <w:sz w:val="18"/>
          <w:szCs w:val="18"/>
          <w:i w:val="1"/>
          <w:iCs w:val="1"/>
          <w:color w:val="auto"/>
        </w:rPr>
        <w:t>BCcomponents</w:t>
      </w:r>
      <w:r>
        <w:rPr>
          <w:rFonts w:ascii="Arial" w:cs="Arial" w:eastAsia="Arial" w:hAnsi="Arial"/>
          <w:sz w:val="18"/>
          <w:szCs w:val="18"/>
          <w:color w:val="auto"/>
        </w:rPr>
        <w:t>. In December 2002, we completed the acquisition of BCcomponents Holdings B.V., a leading manufacturer of passive components with</w:t>
      </w:r>
      <w:r>
        <w:rPr>
          <w:rFonts w:ascii="Arial" w:cs="Arial" w:eastAsia="Arial" w:hAnsi="Arial"/>
          <w:sz w:val="18"/>
          <w:szCs w:val="18"/>
          <w:i w:val="1"/>
          <w:iCs w:val="1"/>
          <w:color w:val="auto"/>
        </w:rPr>
        <w:t xml:space="preserve"> </w:t>
      </w:r>
      <w:r>
        <w:rPr>
          <w:rFonts w:ascii="Arial" w:cs="Arial" w:eastAsia="Arial" w:hAnsi="Arial"/>
          <w:sz w:val="18"/>
          <w:szCs w:val="18"/>
          <w:color w:val="auto"/>
        </w:rPr>
        <w:t>operations in Europe, India and the People’s Republic of China. The product lines of BCcomponents include linear and non-linear resistors; ceramic, film and aluminum electrolytic capacitors; and trimming potentiometers. This major acquisition has significantly enhanced our global market position in passive components.</w:t>
      </w:r>
    </w:p>
    <w:p>
      <w:pPr>
        <w:spacing w:after="0" w:line="19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Aeroflex thin film interconnect business. </w:t>
      </w:r>
      <w:r>
        <w:rPr>
          <w:rFonts w:ascii="Arial" w:cs="Arial" w:eastAsia="Arial" w:hAnsi="Arial"/>
          <w:sz w:val="18"/>
          <w:szCs w:val="18"/>
          <w:color w:val="auto"/>
        </w:rPr>
        <w:t>In September 2004, we acquired all of the outstanding shares of Aeroflex Pearl River Inc. (renamed Vishay MIC</w:t>
      </w:r>
      <w:r>
        <w:rPr>
          <w:rFonts w:ascii="Arial" w:cs="Arial" w:eastAsia="Arial" w:hAnsi="Arial"/>
          <w:sz w:val="18"/>
          <w:szCs w:val="18"/>
          <w:i w:val="1"/>
          <w:iCs w:val="1"/>
          <w:color w:val="auto"/>
        </w:rPr>
        <w:t xml:space="preserve"> </w:t>
      </w:r>
      <w:r>
        <w:rPr>
          <w:rFonts w:ascii="Arial" w:cs="Arial" w:eastAsia="Arial" w:hAnsi="Arial"/>
          <w:sz w:val="18"/>
          <w:szCs w:val="18"/>
          <w:color w:val="auto"/>
        </w:rPr>
        <w:t>Technology, Inc.), the former thin film interconnect subsidiary of Aeroflex, Incorporated. This business has significant synergies with our existing Electro-Films business, and has been fully integrated into our Electro-Films production facility.</w:t>
      </w:r>
    </w:p>
    <w:p>
      <w:pPr>
        <w:spacing w:after="0" w:line="194"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color w:val="auto"/>
        </w:rPr>
        <w:t xml:space="preserve">SI Technologies. </w:t>
      </w:r>
      <w:r>
        <w:rPr>
          <w:rFonts w:ascii="Arial" w:cs="Arial" w:eastAsia="Arial" w:hAnsi="Arial"/>
          <w:sz w:val="18"/>
          <w:szCs w:val="18"/>
          <w:color w:val="auto"/>
        </w:rPr>
        <w:t>In April 2005, we completed the acquisition of SI Technologies, Inc., a designer, manufacturer, and marketer of high-performance industrial</w:t>
      </w:r>
      <w:r>
        <w:rPr>
          <w:rFonts w:ascii="Arial" w:cs="Arial" w:eastAsia="Arial" w:hAnsi="Arial"/>
          <w:sz w:val="18"/>
          <w:szCs w:val="18"/>
          <w:i w:val="1"/>
          <w:iCs w:val="1"/>
          <w:color w:val="auto"/>
        </w:rPr>
        <w:t xml:space="preserve"> </w:t>
      </w:r>
      <w:r>
        <w:rPr>
          <w:rFonts w:ascii="Arial" w:cs="Arial" w:eastAsia="Arial" w:hAnsi="Arial"/>
          <w:sz w:val="18"/>
          <w:szCs w:val="18"/>
          <w:color w:val="auto"/>
        </w:rPr>
        <w:t>sensors and controls, weighing and automotive systems, and related products.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Alpha Electronics K.K. </w:t>
      </w:r>
      <w:r>
        <w:rPr>
          <w:rFonts w:ascii="Arial" w:cs="Arial" w:eastAsia="Arial" w:hAnsi="Arial"/>
          <w:sz w:val="18"/>
          <w:szCs w:val="18"/>
          <w:color w:val="auto"/>
        </w:rPr>
        <w:t>In November 2005, we acquired Alpha Electronics K.K., a Japanese manufacturer of foil resistors.</w:t>
      </w:r>
    </w:p>
    <w:p>
      <w:pPr>
        <w:spacing w:after="0" w:line="225"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Relying on the strength of our balance sheet, we continue to explore opportunities to acquire electronic component manufacturers that have established positions in major markets, reputations for product quality and reliability, and product lines with which we have substantial marketing and technical expertise.</w:t>
      </w:r>
    </w:p>
    <w:p>
      <w:pPr>
        <w:spacing w:after="0" w:line="13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also seek to explore opportunities with privately held developers of electronic components, or “start-ups,” whether through acquisition, investment in non-controlling interests, or strategic alliances. We made the first such investment in August 2004, when we acquired substantially all of the assets of RFWaves, Ltd., a fab-less integrated circuit design house located in Israel. We made an additional investment in October 2005, when we acquired substantially all of the assets of CyOptics Israel, Ltd., the Israeli subsidiary of Cyoptics, Inc., a manufacturer of infrared devices. We initially plan to use the facility acquired from CyOptics principally for research and development purposes.</w:t>
      </w:r>
    </w:p>
    <w:p>
      <w:pPr>
        <w:spacing w:after="0" w:line="170"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In addition to our acquisition activity in recent years, we have taken steps to assure our competitiveness, enhance our operating efficiency and strengthen our liquidity. In this regard, we:</w:t>
      </w:r>
    </w:p>
    <w:p>
      <w:pPr>
        <w:spacing w:after="0" w:line="186" w:lineRule="exact"/>
        <w:rPr>
          <w:sz w:val="20"/>
          <w:szCs w:val="20"/>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closed or consolidated several manufacturing facilities and administrative offices;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our headcount, particularly in high-labor-cost countries;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integrated our acquisitions within our existing management and operational infrastructure.</w:t>
      </w:r>
    </w:p>
    <w:p>
      <w:pPr>
        <w:spacing w:after="0" w:line="225"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Vishay was incorporated in Delaware in 1962 and maintains its principal executive offices at 63 Lincoln Highway, Malvern, Pennsylvania 19355-2143. Our telephone number is (610) 644-1300.</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380"/>
          </w:cols>
          <w:pgMar w:left="240" w:top="590" w:right="2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Products</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We design, manufacture and market electronic components that cover a wide range of products and technologies. Our products primarily consist of:</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0" w:type="dxa"/>
            <w:vAlign w:val="bottom"/>
          </w:tcPr>
          <w:p>
            <w:pPr>
              <w:ind w:left="260"/>
              <w:spacing w:after="0"/>
              <w:rPr>
                <w:sz w:val="20"/>
                <w:szCs w:val="20"/>
                <w:color w:val="auto"/>
              </w:rPr>
            </w:pPr>
            <w:r>
              <w:rPr>
                <w:rFonts w:ascii="Arial" w:cs="Arial" w:eastAsia="Arial" w:hAnsi="Arial"/>
                <w:sz w:val="18"/>
                <w:szCs w:val="18"/>
                <w:color w:val="auto"/>
              </w:rPr>
              <w:t>resistors,</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signal processing ICs,</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0" w:type="dxa"/>
            <w:vAlign w:val="bottom"/>
          </w:tcPr>
          <w:p>
            <w:pPr>
              <w:ind w:left="260"/>
              <w:spacing w:after="0"/>
              <w:rPr>
                <w:sz w:val="20"/>
                <w:szCs w:val="20"/>
                <w:color w:val="auto"/>
              </w:rPr>
            </w:pPr>
            <w:r>
              <w:rPr>
                <w:rFonts w:ascii="Arial" w:cs="Arial" w:eastAsia="Arial" w:hAnsi="Arial"/>
                <w:sz w:val="18"/>
                <w:szCs w:val="18"/>
                <w:color w:val="auto"/>
              </w:rPr>
              <w:t>tantalum capacitors,</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transistors,</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0" w:type="dxa"/>
            <w:vAlign w:val="bottom"/>
          </w:tcPr>
          <w:p>
            <w:pPr>
              <w:ind w:left="260"/>
              <w:spacing w:after="0"/>
              <w:rPr>
                <w:sz w:val="20"/>
                <w:szCs w:val="20"/>
                <w:color w:val="auto"/>
              </w:rPr>
            </w:pPr>
            <w:r>
              <w:rPr>
                <w:rFonts w:ascii="Arial" w:cs="Arial" w:eastAsia="Arial" w:hAnsi="Arial"/>
                <w:sz w:val="18"/>
                <w:szCs w:val="18"/>
                <w:color w:val="auto"/>
              </w:rPr>
              <w:t>multi-layer and disc ceramic capacitors (MLCCs),</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voltage suppressors,</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0" w:type="dxa"/>
            <w:vAlign w:val="bottom"/>
          </w:tcPr>
          <w:p>
            <w:pPr>
              <w:ind w:left="260"/>
              <w:spacing w:after="0"/>
              <w:rPr>
                <w:sz w:val="20"/>
                <w:szCs w:val="20"/>
                <w:color w:val="auto"/>
              </w:rPr>
            </w:pPr>
            <w:r>
              <w:rPr>
                <w:rFonts w:ascii="Arial" w:cs="Arial" w:eastAsia="Arial" w:hAnsi="Arial"/>
                <w:sz w:val="18"/>
                <w:szCs w:val="18"/>
                <w:color w:val="auto"/>
              </w:rPr>
              <w:t>aluminum and specialty ceramic capacitors,</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w w:val="88"/>
              </w:rPr>
              <w:t>infrared data transceivers (IRDCs),</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0" w:type="dxa"/>
            <w:vAlign w:val="bottom"/>
          </w:tcPr>
          <w:p>
            <w:pPr>
              <w:ind w:left="260"/>
              <w:spacing w:after="0"/>
              <w:rPr>
                <w:sz w:val="20"/>
                <w:szCs w:val="20"/>
                <w:color w:val="auto"/>
              </w:rPr>
            </w:pPr>
            <w:r>
              <w:rPr>
                <w:rFonts w:ascii="Arial" w:cs="Arial" w:eastAsia="Arial" w:hAnsi="Arial"/>
                <w:sz w:val="18"/>
                <w:szCs w:val="18"/>
                <w:color w:val="auto"/>
              </w:rPr>
              <w:t>film capacitors,</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optocouplers,</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0" w:type="dxa"/>
            <w:vAlign w:val="bottom"/>
          </w:tcPr>
          <w:p>
            <w:pPr>
              <w:ind w:left="260"/>
              <w:spacing w:after="0"/>
              <w:rPr>
                <w:sz w:val="20"/>
                <w:szCs w:val="20"/>
                <w:color w:val="auto"/>
              </w:rPr>
            </w:pPr>
            <w:r>
              <w:rPr>
                <w:rFonts w:ascii="Arial" w:cs="Arial" w:eastAsia="Arial" w:hAnsi="Arial"/>
                <w:sz w:val="18"/>
                <w:szCs w:val="18"/>
                <w:color w:val="auto"/>
              </w:rPr>
              <w:t>power MOSFETs,</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IR sensors,</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0" w:type="dxa"/>
            <w:vAlign w:val="bottom"/>
          </w:tcPr>
          <w:p>
            <w:pPr>
              <w:ind w:left="260"/>
              <w:spacing w:after="0"/>
              <w:rPr>
                <w:sz w:val="20"/>
                <w:szCs w:val="20"/>
                <w:color w:val="auto"/>
              </w:rPr>
            </w:pPr>
            <w:r>
              <w:rPr>
                <w:rFonts w:ascii="Arial" w:cs="Arial" w:eastAsia="Arial" w:hAnsi="Arial"/>
                <w:sz w:val="18"/>
                <w:szCs w:val="18"/>
                <w:color w:val="auto"/>
              </w:rPr>
              <w:t>power ICs,</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w w:val="97"/>
              </w:rPr>
              <w:t>strain gages and load cells, and</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0" w:type="dxa"/>
            <w:vAlign w:val="bottom"/>
          </w:tcPr>
          <w:p>
            <w:pPr>
              <w:ind w:left="260"/>
              <w:spacing w:after="0"/>
              <w:rPr>
                <w:sz w:val="20"/>
                <w:szCs w:val="20"/>
                <w:color w:val="auto"/>
              </w:rPr>
            </w:pPr>
            <w:r>
              <w:rPr>
                <w:rFonts w:ascii="Arial" w:cs="Arial" w:eastAsia="Arial" w:hAnsi="Arial"/>
                <w:sz w:val="18"/>
                <w:szCs w:val="18"/>
                <w:color w:val="auto"/>
              </w:rPr>
              <w:t>inductors,</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diodes and rectifiers,</w:t>
            </w:r>
          </w:p>
        </w:tc>
      </w:tr>
      <w:tr>
        <w:trPr>
          <w:trHeight w:val="365"/>
        </w:trPr>
        <w:tc>
          <w:tcPr>
            <w:tcW w:w="4920" w:type="dxa"/>
            <w:vAlign w:val="bottom"/>
            <w:gridSpan w:val="2"/>
          </w:tcPr>
          <w:p>
            <w:pPr>
              <w:spacing w:after="0"/>
              <w:rPr>
                <w:sz w:val="20"/>
                <w:szCs w:val="20"/>
                <w:color w:val="auto"/>
              </w:rPr>
            </w:pPr>
            <w:r>
              <w:rPr>
                <w:rFonts w:ascii="Arial" w:cs="Arial" w:eastAsia="Arial" w:hAnsi="Arial"/>
                <w:sz w:val="18"/>
                <w:szCs w:val="18"/>
                <w:color w:val="auto"/>
              </w:rPr>
              <w:t>and, to a lesser extent:</w:t>
            </w:r>
          </w:p>
        </w:tc>
        <w:tc>
          <w:tcPr>
            <w:tcW w:w="1120" w:type="dxa"/>
            <w:vAlign w:val="bottom"/>
          </w:tcPr>
          <w:p>
            <w:pPr>
              <w:spacing w:after="0"/>
              <w:rPr>
                <w:sz w:val="24"/>
                <w:szCs w:val="24"/>
                <w:color w:val="auto"/>
              </w:rPr>
            </w:pPr>
          </w:p>
        </w:tc>
        <w:tc>
          <w:tcPr>
            <w:tcW w:w="2720" w:type="dxa"/>
            <w:vAlign w:val="bottom"/>
          </w:tcPr>
          <w:p>
            <w:pPr>
              <w:spacing w:after="0"/>
              <w:rPr>
                <w:sz w:val="24"/>
                <w:szCs w:val="24"/>
                <w:color w:val="auto"/>
              </w:rPr>
            </w:pPr>
          </w:p>
        </w:tc>
      </w:tr>
      <w:tr>
        <w:trPr>
          <w:trHeight w:val="486"/>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0" w:type="dxa"/>
            <w:vAlign w:val="bottom"/>
          </w:tcPr>
          <w:p>
            <w:pPr>
              <w:ind w:left="260"/>
              <w:spacing w:after="0"/>
              <w:rPr>
                <w:sz w:val="20"/>
                <w:szCs w:val="20"/>
                <w:color w:val="auto"/>
              </w:rPr>
            </w:pPr>
            <w:r>
              <w:rPr>
                <w:rFonts w:ascii="Arial" w:cs="Arial" w:eastAsia="Arial" w:hAnsi="Arial"/>
                <w:sz w:val="18"/>
                <w:szCs w:val="18"/>
                <w:color w:val="auto"/>
              </w:rPr>
              <w:t>connectors,</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plasma displays,</w:t>
            </w:r>
          </w:p>
        </w:tc>
      </w:tr>
      <w:tr>
        <w:trPr>
          <w:trHeight w:val="365"/>
        </w:trPr>
        <w:tc>
          <w:tcPr>
            <w:tcW w:w="320" w:type="dxa"/>
            <w:vAlign w:val="bottom"/>
          </w:tcPr>
          <w:p>
            <w:pPr>
              <w:spacing w:after="0"/>
              <w:rPr>
                <w:sz w:val="20"/>
                <w:szCs w:val="20"/>
                <w:color w:val="auto"/>
              </w:rPr>
            </w:pPr>
            <w:r>
              <w:rPr>
                <w:rFonts w:ascii="Arial" w:cs="Arial" w:eastAsia="Arial" w:hAnsi="Arial"/>
                <w:sz w:val="18"/>
                <w:szCs w:val="18"/>
                <w:color w:val="auto"/>
              </w:rPr>
              <w:t>•</w:t>
            </w:r>
          </w:p>
        </w:tc>
        <w:tc>
          <w:tcPr>
            <w:tcW w:w="4600" w:type="dxa"/>
            <w:vAlign w:val="bottom"/>
          </w:tcPr>
          <w:p>
            <w:pPr>
              <w:ind w:left="260"/>
              <w:spacing w:after="0"/>
              <w:rPr>
                <w:sz w:val="20"/>
                <w:szCs w:val="20"/>
                <w:color w:val="auto"/>
              </w:rPr>
            </w:pPr>
            <w:r>
              <w:rPr>
                <w:rFonts w:ascii="Arial" w:cs="Arial" w:eastAsia="Arial" w:hAnsi="Arial"/>
                <w:sz w:val="18"/>
                <w:szCs w:val="18"/>
                <w:color w:val="auto"/>
              </w:rPr>
              <w:t>transformers,</w:t>
            </w: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thermistors, and</w:t>
            </w:r>
          </w:p>
        </w:tc>
      </w:tr>
      <w:tr>
        <w:trPr>
          <w:trHeight w:val="365"/>
        </w:trPr>
        <w:tc>
          <w:tcPr>
            <w:tcW w:w="32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120" w:type="dxa"/>
            <w:vAlign w:val="bottom"/>
          </w:tcPr>
          <w:p>
            <w:pPr>
              <w:ind w:left="800"/>
              <w:spacing w:after="0"/>
              <w:rPr>
                <w:sz w:val="20"/>
                <w:szCs w:val="20"/>
                <w:color w:val="auto"/>
              </w:rPr>
            </w:pPr>
            <w:r>
              <w:rPr>
                <w:rFonts w:ascii="Arial" w:cs="Arial" w:eastAsia="Arial" w:hAnsi="Arial"/>
                <w:sz w:val="18"/>
                <w:szCs w:val="18"/>
                <w:color w:val="auto"/>
              </w:rPr>
              <w:t>•</w:t>
            </w:r>
          </w:p>
        </w:tc>
        <w:tc>
          <w:tcPr>
            <w:tcW w:w="2720" w:type="dxa"/>
            <w:vAlign w:val="bottom"/>
          </w:tcPr>
          <w:p>
            <w:pPr>
              <w:ind w:left="240"/>
              <w:spacing w:after="0"/>
              <w:rPr>
                <w:sz w:val="20"/>
                <w:szCs w:val="20"/>
                <w:color w:val="auto"/>
              </w:rPr>
            </w:pPr>
            <w:r>
              <w:rPr>
                <w:rFonts w:ascii="Arial" w:cs="Arial" w:eastAsia="Arial" w:hAnsi="Arial"/>
                <w:sz w:val="18"/>
                <w:szCs w:val="18"/>
                <w:color w:val="auto"/>
              </w:rPr>
              <w:t>potentiometers.</w:t>
            </w:r>
          </w:p>
        </w:tc>
      </w:tr>
    </w:tbl>
    <w:p>
      <w:pPr>
        <w:spacing w:after="0" w:line="210"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We believe that we produce one of the broadest lines of discrete electronic components available from any single manufacturer. We aim to use this broad product line to drive internal growth through design-in activities, providing our customers with a “one-stop shop” for their component needs.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Segments</w:t>
      </w:r>
    </w:p>
    <w:p>
      <w:pPr>
        <w:spacing w:after="0" w:line="225"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Our products can be divided into two general classes: semiconductors and passive components. These broad categories are also the basis used to determine our operating segments for financial reporting purposes. See Note 16 to our consolidated financial statements for additional information on revenues, income, and total assets by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Semiconductors</w:t>
      </w:r>
    </w:p>
    <w:p>
      <w:pPr>
        <w:spacing w:after="0" w:line="225"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Our Semiconductors segment products include both discrete devices and integrated circuits (ICs). They sometimes are referred to as “active components” because they require power to function. Discrete devices are single components or an arrangement of components that generate, control, regulate and amplify or switch electronic signals or energy. Examples of our discrete semiconductors include diodes, rectifiers, transient voltage suppressors, transistors and power MOSFETs. These devices are interconnected with passive components or other semiconductors to create an electronic circuit. Our IC devices consist of a number of active and passive components interconnected on a single chip to perform a specific function. Examples of our integrated circuits include power ICs, motor control ICs and signal processing ICs. Our discrete semiconductors and ICs are manufactured and marketed primarily through our Siliconix subsidiary, our Vishay Semiconductor GmbH subsidiary, and our General Semiconductor business.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00"/>
          </w:cols>
          <w:pgMar w:left="240" w:top="584" w:right="259" w:bottom="1440" w:gutter="0" w:footer="0" w:header="0"/>
        </w:sectPr>
      </w:pPr>
    </w:p>
    <w:bookmarkStart w:id="8" w:name="page9"/>
    <w:bookmarkEnd w:id="8"/>
    <w:p>
      <w:pPr>
        <w:ind w:right="160"/>
        <w:spacing w:after="0" w:line="268" w:lineRule="auto"/>
        <w:rPr>
          <w:sz w:val="20"/>
          <w:szCs w:val="20"/>
          <w:color w:val="auto"/>
        </w:rPr>
      </w:pPr>
      <w:r>
        <w:rPr>
          <w:rFonts w:ascii="Arial" w:cs="Arial" w:eastAsia="Arial" w:hAnsi="Arial"/>
          <w:sz w:val="18"/>
          <w:szCs w:val="18"/>
          <w:color w:val="auto"/>
        </w:rPr>
        <w:t>We also include in the category of semiconductors our line of optoelectronic components, manufactured and marketed by our subsidiary Vishay Semiconductor GmbH, our infrared components business, and our radio frequency products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Discrete Devices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Diodes and rectifiers are used to convert electrical currents from alternating current (AC) into direct current (DC) by conducting electricity in one direction and blocking it in the reverse direction. Because electrical outlets carry AC while the vast majority of electronic devices use DC, rectifiers are used in a wide variety of applications. We offer a broad line of diodes and rectifiers with differing power, speed, cost, packaging and conversion (half wave or full wave) characteristics. Our rectifiers include a series of high voltage devices that have been optimized for power correction circuits.</w:t>
      </w:r>
    </w:p>
    <w:p>
      <w:pPr>
        <w:spacing w:after="0" w:line="167"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Transient voltage suppressors protect electronic circuits by limiting voltage to a safe level. Examples of transient events that could damage unprotected circuits include static electricity charges and natural or induced lightning. Voltage suppressors protect circuits by absorbing large amounts of energy for short periods of time. We offer a broad range of state-of-the-art transient voltage suppressors for use in most modern electronic equipment.</w:t>
      </w:r>
    </w:p>
    <w:p>
      <w:pPr>
        <w:spacing w:after="0" w:line="161"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color w:val="auto"/>
        </w:rPr>
        <w:t>Small signal diodes and transistors perform amplification, signal blocking, routing and switching functions at lower current levels. Our small-signal transistors range from the older junction field-effect transistors (JFETs), to newer products such as those based upon double-diffused metal oxide semiconductor (DMOS) technology.</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Discrete power MOSFETs are specialized field-effect transistors used to switch and manage power in a broad range of electronic devices. They are used in particularly low-voltage applications such as cell phones, portable and desktop computers, automobiles, instrumentation and industrial applications. Our innovative TrenchFET® power MOSFET technology offers very high cell density, very low on-resistance and optimized switching parameters for high frequency DC-DC power conversion. Power MOSFETs conserve power and help prevent components from over-heating.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Integrated Circuits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Power ICs are used in applications such as cell phones, where an input voltage from a battery or other supply source must be switched, interfaced or converted to a level that is compatible with logic signals used by microprocessors and other digital components. Our ICs are designed to operate at higher frequencies without compromising efficiencies. Often our power MOSFETs and power ICs can be used together as chip sets with complementary performance characteristics optimized for a specific application.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Motor control ICs control the starting, speed or position of electric motors, such as the head positioning and spindle motors in hard disk drives.</w:t>
      </w:r>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Signal processing ICs are used for analog switching and multiplexing in devices that either receive or output analog (non-digital) signals. A recent application of this technology is in broadband communications devices such as DSL modems.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Optoelectronics</w:t>
      </w:r>
    </w:p>
    <w:p>
      <w:pPr>
        <w:spacing w:after="0" w:line="225"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color w:val="auto"/>
        </w:rPr>
        <w:t>Our line of optoelectronic components includes light emitting diodes (LEDs), infrared emitters (IREDs) and photo detectors, infrared receiver modules, optocouplers, solid-state relays (SSRs), optical sensors, and infrared transceivers (IRDCs).</w:t>
      </w:r>
    </w:p>
    <w:p>
      <w:pPr>
        <w:spacing w:after="0" w:line="186"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Our photo detectors are light-sensitive semiconductor devices, and include linear photo diodes for light measurement, photo-transistors for light switching applications in printers, copiers, facsimile machines, vending machines and automobiles, and high speed photo PIN diodes specially designed for infrared data transfer. Our photo detector products are available in a wide variety of sensitivity angles, light sensitivities, daylight filters and packaging shapes. Our infrared emitters are used for optical switching and data transfer applications, often in conjunction with our photo detectors, and in devices like infrared remote controls for televisions.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380"/>
          </w:cols>
          <w:pgMar w:left="240" w:top="590" w:right="279" w:bottom="1440" w:gutter="0" w:footer="0" w:header="0"/>
        </w:sectPr>
      </w:pPr>
    </w:p>
    <w:bookmarkStart w:id="9" w:name="page10"/>
    <w:bookmarkEnd w:id="9"/>
    <w:p>
      <w:pPr>
        <w:ind w:right="60"/>
        <w:spacing w:after="0" w:line="298" w:lineRule="auto"/>
        <w:rPr>
          <w:sz w:val="20"/>
          <w:szCs w:val="20"/>
          <w:color w:val="auto"/>
        </w:rPr>
      </w:pPr>
      <w:r>
        <w:rPr>
          <w:rFonts w:ascii="Arial" w:cs="Arial" w:eastAsia="Arial" w:hAnsi="Arial"/>
          <w:sz w:val="16"/>
          <w:szCs w:val="16"/>
          <w:color w:val="auto"/>
        </w:rPr>
        <w:t>An optocoupler consists of an infrared emitting diode and a receiver facing each other through an insulation medium inside a light-isolated housing. The receiver may either be a photodetector or a pair of MOSFETs, and in the latter case the device is referred to as a solid-state relay (SSR). The function of an optocoupler is to electrically isolate input and output signals. Our optocouplers are used in switch mode power supplies, safety circuitry and programmable controllers for computer monitors, consumer electronics, telecommunications equipment and industrial systems.</w:t>
      </w:r>
    </w:p>
    <w:p>
      <w:pPr>
        <w:spacing w:after="0" w:line="16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IRDCs consist of a detector photo diode, an infrared light emitting diode and a control IC. IRDCs are used for short range, two-way wireless, infrared data transfer between electronic devices such as mobile phones and other telecommunications equipment, computers and personal digital assistants (PDAs). LEDs are light emitting diodes used as light indicators in a broad range of electronic devices.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Passive Components</w:t>
      </w:r>
    </w:p>
    <w:p>
      <w:pPr>
        <w:spacing w:after="0" w:line="225" w:lineRule="exact"/>
        <w:rPr>
          <w:sz w:val="20"/>
          <w:szCs w:val="20"/>
          <w:color w:val="auto"/>
        </w:rPr>
      </w:pPr>
    </w:p>
    <w:p>
      <w:pPr>
        <w:jc w:val="both"/>
        <w:ind w:right="640"/>
        <w:spacing w:after="0" w:line="306" w:lineRule="auto"/>
        <w:rPr>
          <w:sz w:val="20"/>
          <w:szCs w:val="20"/>
          <w:color w:val="auto"/>
        </w:rPr>
      </w:pPr>
      <w:r>
        <w:rPr>
          <w:rFonts w:ascii="Arial" w:cs="Arial" w:eastAsia="Arial" w:hAnsi="Arial"/>
          <w:sz w:val="16"/>
          <w:szCs w:val="16"/>
          <w:color w:val="auto"/>
        </w:rPr>
        <w:t>Passive Components include resistors, inductors, and capacitors. They are referred to as “passive” because they do not require power to operate. These components adjust and regulate voltage and current, store energy and filter frequencies. We also include in this category the products and services of our Measurements Group that employ passive components in electro-mechanical measurements.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Resistors and Inductors</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Resistors are basic components used in all forms of electronic circuitry to adjust and regulate levels of voltage and current. They vary widely in precision and cost, and are manufactured from numerous materials and in many forms. Linear resistive components are classified as variable or fixed, depending on whether or not their resistance is adjustable. Non-linear resistors can also be used as measuring devices. We manufacture a line of thermistors, which are heat sensitive resistors. Another type of resistive sensors are strain gages for measurement of mechanical stress. See “Measurements Group” below.</w:t>
      </w:r>
    </w:p>
    <w:p>
      <w:pPr>
        <w:spacing w:after="0" w:line="16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manufacture virtually all types of fixed resistors, both in discrete and network forms, as well as many variable types. These resistors are produced for virtually every segment of the resistive product market, from resistors used in the highest quality precision instruments for which the performance of the resistor is the most important requirement, to low-cost resistors for which price is the most important factor.</w:t>
      </w:r>
    </w:p>
    <w:p>
      <w:pPr>
        <w:spacing w:after="0" w:line="194"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Inductors use an internal magnetic field to change the phase of electric current. They are utilized in electronic circuitry to control alternating current and voltage, and to filter out unwanted electronic signals. They are also used in transformers to change voltage levels.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Capacitors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Capacitors perform energy storage, frequency control, discharge, coupling, timing and filtering functions. The more important applications for capacitors are:</w:t>
      </w:r>
    </w:p>
    <w:p>
      <w:pPr>
        <w:spacing w:after="0" w:line="248" w:lineRule="exact"/>
        <w:rPr>
          <w:sz w:val="20"/>
          <w:szCs w:val="20"/>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electronic filtering for linear and switching power supplies;</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decoupling and bypass of electronic signals for integrated circuits and circuit boards; and</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5"/>
        </w:numPr>
        <w:rPr>
          <w:rFonts w:ascii="Arial" w:cs="Arial" w:eastAsia="Arial" w:hAnsi="Arial"/>
          <w:sz w:val="18"/>
          <w:szCs w:val="18"/>
          <w:color w:val="auto"/>
        </w:rPr>
      </w:pPr>
      <w:r>
        <w:rPr>
          <w:rFonts w:ascii="Arial" w:cs="Arial" w:eastAsia="Arial" w:hAnsi="Arial"/>
          <w:sz w:val="18"/>
          <w:szCs w:val="18"/>
          <w:color w:val="auto"/>
        </w:rPr>
        <w:t>frequency control, timing and conditioning of electronic signals for a broad range of applications.</w:t>
      </w:r>
    </w:p>
    <w:p>
      <w:pPr>
        <w:spacing w:after="0" w:line="225" w:lineRule="exact"/>
        <w:rPr>
          <w:rFonts w:ascii="Arial" w:cs="Arial" w:eastAsia="Arial" w:hAnsi="Arial"/>
          <w:sz w:val="18"/>
          <w:szCs w:val="18"/>
          <w:color w:val="auto"/>
        </w:rPr>
      </w:pPr>
    </w:p>
    <w:p>
      <w:pPr>
        <w:ind w:left="5620" w:hanging="96"/>
        <w:spacing w:after="0"/>
        <w:tabs>
          <w:tab w:leader="none" w:pos="5620" w:val="left"/>
        </w:tabs>
        <w:numPr>
          <w:ilvl w:val="1"/>
          <w:numId w:val="5"/>
        </w:numPr>
        <w:rPr>
          <w:rFonts w:ascii="Arial" w:cs="Arial" w:eastAsia="Arial" w:hAnsi="Arial"/>
          <w:sz w:val="18"/>
          <w:szCs w:val="18"/>
          <w:color w:val="auto"/>
        </w:rPr>
      </w:pPr>
      <w:r>
        <w:rPr>
          <w:rFonts w:ascii="Arial" w:cs="Arial" w:eastAsia="Arial" w:hAnsi="Arial"/>
          <w:sz w:val="18"/>
          <w:szCs w:val="18"/>
          <w:color w:val="auto"/>
        </w:rPr>
        <w:t>10 -</w:t>
      </w:r>
    </w:p>
    <w:p>
      <w:pPr>
        <w:sectPr>
          <w:pgSz w:w="11900" w:h="16838" w:orient="portrait"/>
          <w:cols w:equalWidth="0" w:num="1">
            <w:col w:w="11400"/>
          </w:cols>
          <w:pgMar w:left="240" w:top="590" w:right="259" w:bottom="1440" w:gutter="0" w:footer="0" w:header="0"/>
        </w:sectPr>
      </w:pPr>
    </w:p>
    <w:bookmarkStart w:id="10" w:name="page11"/>
    <w:bookmarkEnd w:id="10"/>
    <w:p>
      <w:pPr>
        <w:ind w:right="20"/>
        <w:spacing w:after="0" w:line="290" w:lineRule="auto"/>
        <w:rPr>
          <w:sz w:val="20"/>
          <w:szCs w:val="20"/>
          <w:color w:val="auto"/>
        </w:rPr>
      </w:pPr>
      <w:r>
        <w:rPr>
          <w:rFonts w:ascii="Arial" w:cs="Arial" w:eastAsia="Arial" w:hAnsi="Arial"/>
          <w:sz w:val="16"/>
          <w:szCs w:val="16"/>
          <w:color w:val="auto"/>
        </w:rPr>
        <w:t>Our capacitor products include solid tantalum surface mount chip capacitors, solid tantalum leaded capacitors, wet/foil tantalum capacitors, MLCC capacitors, disc ceramic capacitors, aluminum and specialty ceramic capacitors, and film capacitors. Each capacitor product has unique physical and electrical performance characteristics that make that type of capacitor useful for specific applications. Tantalum and MLCC capacitors are generally used in conjunction with integrated circuits in applications requiring low to medium capacitance values, “capacitance” being the measure of the capacitor’s ability to store energy. The tantalum capacitor is the smallest type of capacitor for its range of capacitance. MLCC capacitors are more cost-effective for applications requiring lower capacitance. Disc ceramic capacitors are used for high voltage applications. Aluminum capacitors are used for high capacitance applications. Film capacitors are the most stable capacitors and are suitable for general use in telecommunications, automotive, consumer and industrial products.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Measurements Group</w:t>
      </w:r>
    </w:p>
    <w:p>
      <w:pPr>
        <w:spacing w:after="0" w:line="22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Vishay Measurements Group is a leading manufacturer of products for precision measurement of mechanical strains. Our products include strain gages, load cells, force measurement sensors, displacement sensors, and photoelastic sensors. These products are used in experimental stress analysis systems, as well as in the electronic measurement of loads (electronic scales), acceleration and fluid pressure. The Measurements Group also provides installation accessories for its products, instrumentation to sample and record measurement output, and training seminars in stress analysis testing and transducer development and manufacture.</w:t>
      </w:r>
    </w:p>
    <w:p>
      <w:pPr>
        <w:spacing w:after="0" w:line="152"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As a result of Vishay’s acquisitions in 2002, the Measurements Group has implemented a strategy of vertical market integration, with a product range from resistance strain gages, to transducers (the metallic structures to which strain gages are cemented), to the electronic instruments and systems that measure and control output of the transducers. Vishay Measurements Group now has two operating divisions: Vishay Micro-Measurements (for strain gages, instruments and PhotoStress® products) and Vishay Transducers (for load cells, weigh modules, instruments and weighing systems).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Packaging</w:t>
      </w:r>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We have taken advantage of the growth of the surface mount component market, and we are an industry leader in designing and marketing surface mount devices.</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Surface mount devices adhere to the surface of a circuit board rather than being secured by leads that pass through holes to the back side of the board.</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We believe that we are a market leader in the development and production of a wide range of surface mount devices, including:</w:t>
      </w:r>
    </w:p>
    <w:p>
      <w:pPr>
        <w:spacing w:after="0" w:line="225" w:lineRule="exact"/>
        <w:rPr>
          <w:sz w:val="20"/>
          <w:szCs w:val="20"/>
          <w:color w:val="auto"/>
        </w:rPr>
      </w:pPr>
    </w:p>
    <w:tbl>
      <w:tblPr>
        <w:tblLayout w:type="fixed"/>
        <w:tblInd w:w="580" w:type="dxa"/>
        <w:tblCellMar>
          <w:top w:w="0" w:type="dxa"/>
          <w:left w:w="0" w:type="dxa"/>
          <w:bottom w:w="0" w:type="dxa"/>
          <w:right w:w="0" w:type="dxa"/>
        </w:tblCellMar>
      </w:tblPr>
      <w:tr>
        <w:trPr>
          <w:trHeight w:val="222"/>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00"/>
              <w:spacing w:after="0"/>
              <w:rPr>
                <w:sz w:val="20"/>
                <w:szCs w:val="20"/>
                <w:color w:val="auto"/>
              </w:rPr>
            </w:pPr>
            <w:r>
              <w:rPr>
                <w:rFonts w:ascii="Arial" w:cs="Arial" w:eastAsia="Arial" w:hAnsi="Arial"/>
                <w:sz w:val="18"/>
                <w:szCs w:val="18"/>
                <w:color w:val="auto"/>
              </w:rPr>
              <w:t>thick film chip resistors,</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240" w:type="dxa"/>
            <w:vAlign w:val="bottom"/>
          </w:tcPr>
          <w:p>
            <w:pPr>
              <w:ind w:left="200"/>
              <w:spacing w:after="0"/>
              <w:rPr>
                <w:sz w:val="20"/>
                <w:szCs w:val="20"/>
                <w:color w:val="auto"/>
              </w:rPr>
            </w:pPr>
            <w:r>
              <w:rPr>
                <w:rFonts w:ascii="Arial" w:cs="Arial" w:eastAsia="Arial" w:hAnsi="Arial"/>
                <w:sz w:val="18"/>
                <w:szCs w:val="18"/>
                <w:color w:val="auto"/>
                <w:w w:val="99"/>
              </w:rPr>
              <w:t>wirewound chip resistors,</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00"/>
              <w:spacing w:after="0"/>
              <w:rPr>
                <w:sz w:val="20"/>
                <w:szCs w:val="20"/>
                <w:color w:val="auto"/>
              </w:rPr>
            </w:pPr>
            <w:r>
              <w:rPr>
                <w:rFonts w:ascii="Arial" w:cs="Arial" w:eastAsia="Arial" w:hAnsi="Arial"/>
                <w:sz w:val="18"/>
                <w:szCs w:val="18"/>
                <w:color w:val="auto"/>
              </w:rPr>
              <w:t>thick film resistor networks and arrays,</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240" w:type="dxa"/>
            <w:vAlign w:val="bottom"/>
          </w:tcPr>
          <w:p>
            <w:pPr>
              <w:ind w:left="200"/>
              <w:spacing w:after="0"/>
              <w:rPr>
                <w:sz w:val="20"/>
                <w:szCs w:val="20"/>
                <w:color w:val="auto"/>
              </w:rPr>
            </w:pPr>
            <w:r>
              <w:rPr>
                <w:rFonts w:ascii="Arial" w:cs="Arial" w:eastAsia="Arial" w:hAnsi="Arial"/>
                <w:sz w:val="18"/>
                <w:szCs w:val="18"/>
                <w:color w:val="auto"/>
              </w:rPr>
              <w:t>power strip resistors,</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00"/>
              <w:spacing w:after="0"/>
              <w:rPr>
                <w:sz w:val="20"/>
                <w:szCs w:val="20"/>
                <w:color w:val="auto"/>
              </w:rPr>
            </w:pPr>
            <w:r>
              <w:rPr>
                <w:rFonts w:ascii="Arial" w:cs="Arial" w:eastAsia="Arial" w:hAnsi="Arial"/>
                <w:sz w:val="18"/>
                <w:szCs w:val="18"/>
                <w:color w:val="auto"/>
              </w:rPr>
              <w:t>metal film leadless resistors (MELFs),</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240" w:type="dxa"/>
            <w:vAlign w:val="bottom"/>
          </w:tcPr>
          <w:p>
            <w:pPr>
              <w:ind w:left="200"/>
              <w:spacing w:after="0"/>
              <w:rPr>
                <w:sz w:val="20"/>
                <w:szCs w:val="20"/>
                <w:color w:val="auto"/>
              </w:rPr>
            </w:pPr>
            <w:r>
              <w:rPr>
                <w:rFonts w:ascii="Arial" w:cs="Arial" w:eastAsia="Arial" w:hAnsi="Arial"/>
                <w:sz w:val="18"/>
                <w:szCs w:val="18"/>
                <w:color w:val="auto"/>
                <w:w w:val="89"/>
              </w:rPr>
              <w:t>bulk metal foil chip resistors,</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00"/>
              <w:spacing w:after="0"/>
              <w:rPr>
                <w:sz w:val="20"/>
                <w:szCs w:val="20"/>
                <w:color w:val="auto"/>
              </w:rPr>
            </w:pPr>
            <w:r>
              <w:rPr>
                <w:rFonts w:ascii="Arial" w:cs="Arial" w:eastAsia="Arial" w:hAnsi="Arial"/>
                <w:sz w:val="18"/>
                <w:szCs w:val="18"/>
                <w:color w:val="auto"/>
              </w:rPr>
              <w:t>molded tantalum chip capacitors,</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240" w:type="dxa"/>
            <w:vAlign w:val="bottom"/>
          </w:tcPr>
          <w:p>
            <w:pPr>
              <w:ind w:left="200"/>
              <w:spacing w:after="0"/>
              <w:rPr>
                <w:sz w:val="20"/>
                <w:szCs w:val="20"/>
                <w:color w:val="auto"/>
              </w:rPr>
            </w:pPr>
            <w:r>
              <w:rPr>
                <w:rFonts w:ascii="Arial" w:cs="Arial" w:eastAsia="Arial" w:hAnsi="Arial"/>
                <w:sz w:val="18"/>
                <w:szCs w:val="18"/>
                <w:color w:val="auto"/>
              </w:rPr>
              <w:t>current sensing chips,</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00"/>
              <w:spacing w:after="0"/>
              <w:rPr>
                <w:sz w:val="20"/>
                <w:szCs w:val="20"/>
                <w:color w:val="auto"/>
              </w:rPr>
            </w:pPr>
            <w:r>
              <w:rPr>
                <w:rFonts w:ascii="Arial" w:cs="Arial" w:eastAsia="Arial" w:hAnsi="Arial"/>
                <w:sz w:val="18"/>
                <w:szCs w:val="18"/>
                <w:color w:val="auto"/>
              </w:rPr>
              <w:t>coated tantalum chip capacitors,</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240" w:type="dxa"/>
            <w:vAlign w:val="bottom"/>
          </w:tcPr>
          <w:p>
            <w:pPr>
              <w:ind w:left="200"/>
              <w:spacing w:after="0"/>
              <w:rPr>
                <w:sz w:val="20"/>
                <w:szCs w:val="20"/>
                <w:color w:val="auto"/>
              </w:rPr>
            </w:pPr>
            <w:r>
              <w:rPr>
                <w:rFonts w:ascii="Arial" w:cs="Arial" w:eastAsia="Arial" w:hAnsi="Arial"/>
                <w:sz w:val="18"/>
                <w:szCs w:val="18"/>
                <w:color w:val="auto"/>
              </w:rPr>
              <w:t>chip inductors,</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00"/>
              <w:spacing w:after="0"/>
              <w:rPr>
                <w:sz w:val="20"/>
                <w:szCs w:val="20"/>
                <w:color w:val="auto"/>
              </w:rPr>
            </w:pPr>
            <w:r>
              <w:rPr>
                <w:rFonts w:ascii="Arial" w:cs="Arial" w:eastAsia="Arial" w:hAnsi="Arial"/>
                <w:sz w:val="18"/>
                <w:szCs w:val="18"/>
                <w:color w:val="auto"/>
              </w:rPr>
              <w:t>multi-layer ceramic chip capacitors,</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240" w:type="dxa"/>
            <w:vAlign w:val="bottom"/>
          </w:tcPr>
          <w:p>
            <w:pPr>
              <w:ind w:left="200"/>
              <w:spacing w:after="0"/>
              <w:rPr>
                <w:sz w:val="20"/>
                <w:szCs w:val="20"/>
                <w:color w:val="auto"/>
              </w:rPr>
            </w:pPr>
            <w:r>
              <w:rPr>
                <w:rFonts w:ascii="Arial" w:cs="Arial" w:eastAsia="Arial" w:hAnsi="Arial"/>
                <w:sz w:val="18"/>
                <w:szCs w:val="18"/>
                <w:color w:val="auto"/>
              </w:rPr>
              <w:t>chip transformers,</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00"/>
              <w:spacing w:after="0"/>
              <w:rPr>
                <w:sz w:val="20"/>
                <w:szCs w:val="20"/>
                <w:color w:val="auto"/>
              </w:rPr>
            </w:pPr>
            <w:r>
              <w:rPr>
                <w:rFonts w:ascii="Arial" w:cs="Arial" w:eastAsia="Arial" w:hAnsi="Arial"/>
                <w:sz w:val="18"/>
                <w:szCs w:val="18"/>
                <w:color w:val="auto"/>
              </w:rPr>
              <w:t>thin film chip resistors,</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240" w:type="dxa"/>
            <w:vAlign w:val="bottom"/>
          </w:tcPr>
          <w:p>
            <w:pPr>
              <w:ind w:left="200"/>
              <w:spacing w:after="0"/>
              <w:rPr>
                <w:sz w:val="20"/>
                <w:szCs w:val="20"/>
                <w:color w:val="auto"/>
              </w:rPr>
            </w:pPr>
            <w:r>
              <w:rPr>
                <w:rFonts w:ascii="Arial" w:cs="Arial" w:eastAsia="Arial" w:hAnsi="Arial"/>
                <w:sz w:val="18"/>
                <w:szCs w:val="18"/>
                <w:color w:val="auto"/>
              </w:rPr>
              <w:t>chip trimmers,</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00"/>
              <w:spacing w:after="0"/>
              <w:rPr>
                <w:sz w:val="20"/>
                <w:szCs w:val="20"/>
                <w:color w:val="auto"/>
              </w:rPr>
            </w:pPr>
            <w:r>
              <w:rPr>
                <w:rFonts w:ascii="Arial" w:cs="Arial" w:eastAsia="Arial" w:hAnsi="Arial"/>
                <w:sz w:val="18"/>
                <w:szCs w:val="18"/>
                <w:color w:val="auto"/>
              </w:rPr>
              <w:t>thin film networks,</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240" w:type="dxa"/>
            <w:vAlign w:val="bottom"/>
          </w:tcPr>
          <w:p>
            <w:pPr>
              <w:ind w:left="200"/>
              <w:spacing w:after="0"/>
              <w:rPr>
                <w:sz w:val="20"/>
                <w:szCs w:val="20"/>
                <w:color w:val="auto"/>
              </w:rPr>
            </w:pPr>
            <w:r>
              <w:rPr>
                <w:rFonts w:ascii="Arial" w:cs="Arial" w:eastAsia="Arial" w:hAnsi="Arial"/>
                <w:sz w:val="18"/>
                <w:szCs w:val="18"/>
                <w:color w:val="auto"/>
              </w:rPr>
              <w:t>NTC chip thermistors,</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00"/>
              <w:spacing w:after="0"/>
              <w:rPr>
                <w:sz w:val="20"/>
                <w:szCs w:val="20"/>
                <w:color w:val="auto"/>
              </w:rPr>
            </w:pPr>
            <w:r>
              <w:rPr>
                <w:rFonts w:ascii="Arial" w:cs="Arial" w:eastAsia="Arial" w:hAnsi="Arial"/>
                <w:sz w:val="18"/>
                <w:szCs w:val="18"/>
                <w:color w:val="auto"/>
              </w:rPr>
              <w:t>certain diodes and transistor products,</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240" w:type="dxa"/>
            <w:vAlign w:val="bottom"/>
          </w:tcPr>
          <w:p>
            <w:pPr>
              <w:ind w:left="200"/>
              <w:spacing w:after="0"/>
              <w:rPr>
                <w:sz w:val="20"/>
                <w:szCs w:val="20"/>
                <w:color w:val="auto"/>
              </w:rPr>
            </w:pPr>
            <w:r>
              <w:rPr>
                <w:rFonts w:ascii="Arial" w:cs="Arial" w:eastAsia="Arial" w:hAnsi="Arial"/>
                <w:sz w:val="18"/>
                <w:szCs w:val="18"/>
                <w:color w:val="auto"/>
                <w:w w:val="97"/>
              </w:rPr>
              <w:t>PTC chip thermistors, and</w:t>
            </w:r>
          </w:p>
        </w:tc>
      </w:tr>
      <w:tr>
        <w:trPr>
          <w:trHeight w:val="365"/>
        </w:trPr>
        <w:tc>
          <w:tcPr>
            <w:tcW w:w="240" w:type="dxa"/>
            <w:vAlign w:val="bottom"/>
          </w:tcPr>
          <w:p>
            <w:pPr>
              <w:spacing w:after="0"/>
              <w:rPr>
                <w:sz w:val="20"/>
                <w:szCs w:val="20"/>
                <w:color w:val="auto"/>
              </w:rPr>
            </w:pPr>
            <w:r>
              <w:rPr>
                <w:rFonts w:ascii="Arial" w:cs="Arial" w:eastAsia="Arial" w:hAnsi="Arial"/>
                <w:sz w:val="18"/>
                <w:szCs w:val="18"/>
                <w:color w:val="auto"/>
              </w:rPr>
              <w:t>•</w:t>
            </w:r>
          </w:p>
        </w:tc>
        <w:tc>
          <w:tcPr>
            <w:tcW w:w="4060" w:type="dxa"/>
            <w:vAlign w:val="bottom"/>
          </w:tcPr>
          <w:p>
            <w:pPr>
              <w:ind w:left="200"/>
              <w:spacing w:after="0"/>
              <w:rPr>
                <w:sz w:val="20"/>
                <w:szCs w:val="20"/>
                <w:color w:val="auto"/>
              </w:rPr>
            </w:pPr>
            <w:r>
              <w:rPr>
                <w:rFonts w:ascii="Arial" w:cs="Arial" w:eastAsia="Arial" w:hAnsi="Arial"/>
                <w:sz w:val="18"/>
                <w:szCs w:val="18"/>
                <w:color w:val="auto"/>
              </w:rPr>
              <w:t>power MOSFETs,</w:t>
            </w:r>
          </w:p>
        </w:tc>
        <w:tc>
          <w:tcPr>
            <w:tcW w:w="1360" w:type="dxa"/>
            <w:vAlign w:val="bottom"/>
          </w:tcPr>
          <w:p>
            <w:pPr>
              <w:ind w:left="1120"/>
              <w:spacing w:after="0"/>
              <w:rPr>
                <w:sz w:val="20"/>
                <w:szCs w:val="20"/>
                <w:color w:val="auto"/>
              </w:rPr>
            </w:pPr>
            <w:r>
              <w:rPr>
                <w:rFonts w:ascii="Arial" w:cs="Arial" w:eastAsia="Arial" w:hAnsi="Arial"/>
                <w:sz w:val="18"/>
                <w:szCs w:val="18"/>
                <w:color w:val="auto"/>
              </w:rPr>
              <w:t>•</w:t>
            </w:r>
          </w:p>
        </w:tc>
        <w:tc>
          <w:tcPr>
            <w:tcW w:w="2240" w:type="dxa"/>
            <w:vAlign w:val="bottom"/>
          </w:tcPr>
          <w:p>
            <w:pPr>
              <w:ind w:left="200"/>
              <w:spacing w:after="0"/>
              <w:rPr>
                <w:sz w:val="20"/>
                <w:szCs w:val="20"/>
                <w:color w:val="auto"/>
              </w:rPr>
            </w:pPr>
            <w:r>
              <w:rPr>
                <w:rFonts w:ascii="Arial" w:cs="Arial" w:eastAsia="Arial" w:hAnsi="Arial"/>
                <w:sz w:val="18"/>
                <w:szCs w:val="18"/>
                <w:color w:val="auto"/>
              </w:rPr>
              <w:t>strain gages.</w:t>
            </w: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We also provide a number of component packaging styles to facilitate automated product assembly by our customers.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59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i w:val="1"/>
          <w:iCs w:val="1"/>
          <w:color w:val="auto"/>
        </w:rPr>
        <w:t>Military Qualifications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qualified certain of our products under various military specifications, approved and monitored by the United States Defense Electronic Supply Center (DESC), and under certain European military specifications. DESC qualification levels are based in part upon the rate of failure of products. In order to maintain the classification level of a product, we must continuously perform tests on the product and the results of these tests must be reported to DESC. If the product fails to meet the requirements for the applicable classification level, the product’s classification may be reduced to a lower level. During the time that the DESC classification level is reduced for a product with military application, net sales and earnings attributable to that product may be adversely affected.</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Operations</w:t>
      </w:r>
    </w:p>
    <w:p>
      <w:pPr>
        <w:spacing w:after="0" w:line="231"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In order to better serve our customers, we maintain production facilities in regions where we market the bulk of our products, such as the United States, Germany, France, and Asia. To maximize production efficiencies, we seek whenever practicable to establish manufacturing facilities in countries, such as the Czech Republic, Hungary, India, Israel, Malaysia, Mexico, the People’s Republic of China, and the Philippines, where we can take advantage of lower labor and tax costs and, in the case of Israel, to take advantage of various government incentives, including grants and tax relief.</w:t>
      </w:r>
    </w:p>
    <w:p>
      <w:pPr>
        <w:spacing w:after="0" w:line="16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One of our most sophisticated manufacturing operations is the production of power semiconductor components. This manufacturing process involves two phases of production: wafer fabrication and assembly (or packaging). Wafer fabrication subjects silicon wafers to various thermal, metallurgical and chemical process steps that change their electrical and physical properties. These process steps define cells or circuits within numerous individual devices (termed “dies” or “chips”) on each wafer. Assembly is the sequence of production steps that divides the wafer into individual chips and encloses the chips in structures (termed “packages”) that make them usable in a circuit. Both wafer fabrication and assembly phases incorporate wafer level and device level electrical testing to ensure that device design integrity has been achieved.</w:t>
      </w:r>
    </w:p>
    <w:p>
      <w:pPr>
        <w:spacing w:after="0" w:line="198" w:lineRule="exact"/>
        <w:rPr>
          <w:sz w:val="20"/>
          <w:szCs w:val="20"/>
          <w:color w:val="auto"/>
        </w:rPr>
      </w:pPr>
    </w:p>
    <w:p>
      <w:pPr>
        <w:jc w:val="both"/>
        <w:ind w:right="200"/>
        <w:spacing w:after="0" w:line="291" w:lineRule="auto"/>
        <w:rPr>
          <w:sz w:val="20"/>
          <w:szCs w:val="20"/>
          <w:color w:val="auto"/>
        </w:rPr>
      </w:pPr>
      <w:r>
        <w:rPr>
          <w:rFonts w:ascii="Arial" w:cs="Arial" w:eastAsia="Arial" w:hAnsi="Arial"/>
          <w:sz w:val="16"/>
          <w:szCs w:val="16"/>
          <w:color w:val="auto"/>
        </w:rPr>
        <w:t>In the United States, our manufacturing facilities are located in California, Connecticut, Maryland, Nebraska, New York, North Carolina, Pennsylvania, Rhode Island, South Dakota, Vermont, and Wisconsin. In Asia, our main manufacturing facilities are located in the People’s Republic of China, the Republic of China (Taiwan), India, and Malaysia. In Europe, our main manufacturing facilities are located in Germany, France, Hungary, and the Czech Republic. We also have manufacturing facilities in Israel (see “Israeli Government Incentives” below), Austria, Belgium, Japan, Mexico, the Netherlands, Portugal, the Philippines and the United Kingdom. Over the past several years, we have invested substantial resources to increase capacity and to maximize automation in our plants, which we believe will further reduce production costs.</w:t>
      </w:r>
    </w:p>
    <w:p>
      <w:pPr>
        <w:spacing w:after="0" w:line="174" w:lineRule="exact"/>
        <w:rPr>
          <w:sz w:val="20"/>
          <w:szCs w:val="20"/>
          <w:color w:val="auto"/>
        </w:rPr>
      </w:pPr>
    </w:p>
    <w:p>
      <w:pPr>
        <w:ind w:right="400"/>
        <w:spacing w:after="0" w:line="306" w:lineRule="auto"/>
        <w:rPr>
          <w:sz w:val="20"/>
          <w:szCs w:val="20"/>
          <w:color w:val="auto"/>
        </w:rPr>
      </w:pPr>
      <w:r>
        <w:rPr>
          <w:rFonts w:ascii="Arial" w:cs="Arial" w:eastAsia="Arial" w:hAnsi="Arial"/>
          <w:sz w:val="16"/>
          <w:szCs w:val="16"/>
          <w:color w:val="auto"/>
        </w:rPr>
        <w:t>We are aggressively undertaking to have the quality systems at most of our major manufacturing facilities approved under the ISO 9001 international quality control standard. ISO 9001 is a comprehensive set of quality program standards developed by the International Standards Organization. A majority of our manufacturing operations have already received ISO 9001 approval and others are actively pursuing such approval.</w:t>
      </w:r>
    </w:p>
    <w:p>
      <w:pPr>
        <w:spacing w:after="0" w:line="161"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To maintain our cost competitiveness, we continue to pursue a strategy to shift manufacturing emphasis to more advanced automation in higher labor cost regions and to relocate a fair amount of production to regions with skilled workforces and relatively lower labor costs. See Note 4 to our consolidated financial statements for further information related to our restructuring efforts, as well as additional information in Item 7, “Management’s Discussion and Analysis of Financial Condition and Results of Operations – Cost Management.”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See Note 16 to our consolidated financial statements for financial information by geographic area.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- 12 -</w:t>
      </w:r>
    </w:p>
    <w:p>
      <w:pPr>
        <w:sectPr>
          <w:pgSz w:w="11900" w:h="16838" w:orient="portrait"/>
          <w:cols w:equalWidth="0" w:num="1">
            <w:col w:w="11420"/>
          </w:cols>
          <w:pgMar w:left="240" w:top="590" w:right="2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t>Sources of Supplies</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Although most materials incorporated in our products are available from a number of sources, certain materials, particularly tantalum and palladium, are available only from a relatively limited number of suppliers.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Tantalum</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are a major consumer of the world’s annual production of tantalum, a metal used in the manufacture of tantalum capacitors. There are currently three major suppliers that process tantalum ore into capacitor grade tantalum powder. We are obligated under contracts with Cabot Corporation to make purchases of tantalum through 2006. These purchase commitments were entered into at a time when market demand for tantalum capacitors was high and tantalum powder was in short supply. Since that time, the price of tantalum has decreased significantly, and accordingly, we wrote down the carrying value of our tantalum inventory on-hand and recognized losses on future purchase commitments. These write-downs and purchase commitments are discussed in further detail in Note 15 to our consolidated financial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Palladium</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Palladium, a metal used to produce multi-layer ceramic capacitors, is currently found primarily in South Africa and Russia. We periodically enter into short-term commitments to purchase palladium. Palladium is a commodity product that is subject to price volatility. We have in the past recorded write-downs of palladium inventory on-hand and recognized losses on future purchase commitments due to this price volatility. These write-downs and purchase commitments are discussed in further detail in Note 15 to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Government Incentives</w:t>
      </w:r>
    </w:p>
    <w:p>
      <w:pPr>
        <w:spacing w:after="0" w:line="23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substantial manufacturing operations in Israel, where we benefit from the government’s employment and tax incentive programs. These programs have contributed substantially to our growth and profitability. For the year ended December 31, 2005, sales of products manufactured in Israel accounted for approximately 19% of our net sales.</w:t>
      </w:r>
    </w:p>
    <w:p>
      <w:pPr>
        <w:spacing w:after="0" w:line="194"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Under the terms of the Israeli government’s incentive programs, once a project is approved, the recipient is eligible to receive the benefits of the related grants for the life of the project, so long as the recipient continues to meet preset eligibility standards. None of our approved projects has ever been cancelled or modified, and we have already received approval for a majority of the projects contemplated by our capital expenditure program. However, as a result of the economic downturn beginning in 2001, we were forced to lay off a significant number of employees in Israel in 2001. In 2002, the Israeli government initially withheld certain grant monies claiming that we had not maintained employment at the required minimum levels; however, we were able to settle our dispute in the fourth quarter of 2002 and the government agreed to continue making grant payments to us, conditioned upon our agreement to employ a certain number of additional employees by December 31, 2005. While we met the target employment level to satisfy the eligibility requirements for our Israeli government grants, economic circumstances could compel future additional layoffs. Also, over the past few years, the Israeli government has scaled back or discontinued some of its incentive programs. There can be no assurance that we will maintain our eligibility for existing projects or that in the future the Israeli government will continue to offer new incentive programs applicable to us or that, if it does, such programs will provide the same level of benefits we have historically received or that we will continue to be eligible to take advantage of them. Because we have received approvals for most projects currently contemplated, we do not anticipate that cutbacks in the incentive programs for new projects would have an adverse impact on our earnings and operations for at least several years.</w:t>
      </w:r>
    </w:p>
    <w:p>
      <w:pPr>
        <w:spacing w:after="0" w:line="178"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We might be materially adversely affected if events were to occur in the Middle East that interfered with our operations in Israel. However, we have never experienced any material interruption in our Israeli operations in our 35 years of operations there, in spite of several Middle East crises, including wars.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00"/>
          </w:cols>
          <w:pgMar w:left="240" w:top="584" w:right="25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t>Inventory and Backlog</w:t>
      </w:r>
    </w:p>
    <w:p>
      <w:pPr>
        <w:spacing w:after="0" w:line="231"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We manufacture both standardized products and those designed and produced to meet customer specifications. We maintain an inventory of standardized components, and monitor the backlog of outstanding orders for our products.</w:t>
      </w:r>
    </w:p>
    <w:p>
      <w:pPr>
        <w:spacing w:after="0" w:line="186"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include in our backlog only open orders that have been released by the customer for shipment in the next twelve months. Many of our customers encounter uncertain and changing demand for their products. They typically order products from us based on their forecasts. If demand falls below customers’ forecasts, or if customers do not control their inventory effectively, they may cancel or reschedule the shipments that are included in our backlog, in many instances without the payment of any penalty. Therefore, the backlog at any point in time is not necessarily indicative of the results to be expected for future periods.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Customers and Marketing</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sell our products to original equipment manufacturers (OEMs), electronic manufacturing services (EMS) companies, which manufacture for OEMs on an outsourcing basis, and independent distributors that maintain large inventories of electronic components for resale to OEMs. During 2005, approximately 48% of our sales were to distributors, approximately 44% of our sales were to OEMs, and approximately 8% of our sales were to EMS companies.</w:t>
      </w:r>
    </w:p>
    <w:p>
      <w:pPr>
        <w:spacing w:after="0" w:line="161" w:lineRule="exact"/>
        <w:rPr>
          <w:sz w:val="20"/>
          <w:szCs w:val="20"/>
          <w:color w:val="auto"/>
        </w:rPr>
      </w:pPr>
    </w:p>
    <w:p>
      <w:pPr>
        <w:spacing w:after="0" w:line="335" w:lineRule="auto"/>
        <w:rPr>
          <w:sz w:val="20"/>
          <w:szCs w:val="20"/>
          <w:color w:val="auto"/>
        </w:rPr>
      </w:pPr>
      <w:r>
        <w:rPr>
          <w:rFonts w:ascii="Arial" w:cs="Arial" w:eastAsia="Arial" w:hAnsi="Arial"/>
          <w:sz w:val="15"/>
          <w:szCs w:val="15"/>
          <w:color w:val="auto"/>
        </w:rPr>
        <w:t>To better serve our customers, we maintain production facilities in regions where we market the bulk of our products. We work with our customers so that our products are incorporated into the design of electronic equipment at the research and prototype stages. We also employ a staff of application and field engineers to assist our customers, independent manufacturers’ representatives and distributors in solving technical problems and developing products to meet specific needs.</w:t>
      </w:r>
    </w:p>
    <w:p>
      <w:pPr>
        <w:spacing w:after="0" w:line="14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sales organizations are regionally based. The aim of our sales organizations is to unify the activities of all our divisions and subsidiaries, provide efficiencies by eliminating duplication of functions, and bring greater value to end customers by allowing them to deal with one entity for their semiconductor and passive electronic component purchasing needs. We market our products in different geographic areas as follows:</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u w:val="single" w:color="auto"/>
          <w:color w:val="auto"/>
        </w:rPr>
        <w:t>North America</w:t>
      </w:r>
      <w:r>
        <w:rPr>
          <w:rFonts w:ascii="Arial" w:cs="Arial" w:eastAsia="Arial" w:hAnsi="Arial"/>
          <w:sz w:val="16"/>
          <w:szCs w:val="16"/>
          <w:color w:val="auto"/>
        </w:rPr>
        <w:t>: Sales are made by our North American sales force, sales representative organizations and distributors. Sales representatives are compensated by commissions. Regional sales directors employed by Vishay coordinate these representatives and the North American sales force. Our North American sales headquarters are located in Shelton, Connecticut. Regional sales offices are located in or near Chicago, Illinois; Tampa, Florida; Irving, Texas; Santa Clara, California; Orange County, California; Hauppauge, New York; Juarez, Mexico; and Guadalajara, Mexico.</w:t>
      </w:r>
    </w:p>
    <w:p>
      <w:pPr>
        <w:spacing w:after="0" w:line="167"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u w:val="single" w:color="auto"/>
          <w:color w:val="auto"/>
        </w:rPr>
        <w:t>South America</w:t>
      </w:r>
      <w:r>
        <w:rPr>
          <w:rFonts w:ascii="Arial" w:cs="Arial" w:eastAsia="Arial" w:hAnsi="Arial"/>
          <w:sz w:val="18"/>
          <w:szCs w:val="18"/>
          <w:color w:val="auto"/>
        </w:rPr>
        <w:t>: Sales are made by our South American sales force, sales representative organizations and distributors. Sales representatives are compensated by commissions. Regional sales directors employed by Vishay coordinate these representatives and the South American sales force. Vishay’s South American sales office is located in Campinas, Brazil.</w:t>
      </w:r>
    </w:p>
    <w:p>
      <w:pPr>
        <w:spacing w:after="0" w:line="1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u w:val="single" w:color="auto"/>
          <w:color w:val="auto"/>
        </w:rPr>
        <w:t>Europe</w:t>
      </w:r>
      <w:r>
        <w:rPr>
          <w:rFonts w:ascii="Arial" w:cs="Arial" w:eastAsia="Arial" w:hAnsi="Arial"/>
          <w:sz w:val="18"/>
          <w:szCs w:val="18"/>
          <w:color w:val="auto"/>
        </w:rPr>
        <w:t>: Sales of our products in Europe are made by our European sales force, sales representative organizations and distributors. Sales representatives are compensated by commissions. Regional sales directors employed by Vishay coordinate these representatives and the European sales force. Our European headquarters are in Selb, Germany. Regional sales offices are in Heilbronn, Heide, and Selb, Germany; Sunderland and Bracknell, United Kingdom; Paris, Lyon, and Nice, France; Madrid, Spain; Stockholm, Sweden; Helsinki, Finland; Milan, Italy; Istanbul, Turkey; Warsaw, Poland; Moscow, Russia; Budapest, Hungary; Voecklabruck, Austria; and Eindhoven, the Netherlands.</w:t>
      </w:r>
    </w:p>
    <w:p>
      <w:pPr>
        <w:spacing w:after="0" w:line="197"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u w:val="single" w:color="auto"/>
          <w:color w:val="auto"/>
        </w:rPr>
        <w:t>Asia</w:t>
      </w:r>
      <w:r>
        <w:rPr>
          <w:rFonts w:ascii="Arial" w:cs="Arial" w:eastAsia="Arial" w:hAnsi="Arial"/>
          <w:sz w:val="18"/>
          <w:szCs w:val="18"/>
          <w:color w:val="auto"/>
        </w:rPr>
        <w:t>: Sales are made in Hong Kong, Korea, the Republic of China (Taiwan), the People’s Republic of China and in Southeast Asia by our Asia sales force, sales representative organizations and distributors. Our Asian sales headquarters are in Singapore. Regional sales offices are located in Singapore; Taipei, Taiwan; Beijing, Shanghai, Shenzhen and Hong Kong, China; Tokyo and Osaka, Japan; Seoul and Gumi, Korea; New Delhi, Pune and Bangalore, India; Penang, Malaysia; and Bangkok, Thailand.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584"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Sales in the rest of the world are made through sales representatives, stocking representatives and distributors.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have established a Strategic Global Account program, which aligns each of our top customers with an identified Strategic Global Account manager, enabling our diverse product families to have “one face to the customer.” Each Strategic Global Account manager coordinates sales, marketing, and contract administration for all Vishay products, providing “one-stop” access to one of the broadest selections of discrete electronic components available directly from a manufacturing source anywhere in the world.</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addition, Vishay has launched an initiative to better meet the needs of our customers for technical and applications support. As a project started two years ago, Vishay’s Business Development group now puts a team of dedicated Field Application Engineers (“FAEs”) in the field for the exclusive support of our customers’ engineering needs. Organized by market segment, our Business Development FAEs bring specific knowledge of component applications in their areas of expertise in the automotive, telecommunications, computer, consumer/entertainment, industrial, peripherals, and digital consumer market segments. With the ultimate goal of a Vishay “design-in” – the process by which our customers’ specify a Vishay component in their products – this exciting new program offers our customers superior access to Vishay technologies while at the same time increasing design wins, and ultimately sales, for Vishay. Most importantly, the process is closely monitored via a proprietary database developed by the Vishay Business Development group. Our database captures very specific design activity and allows for real-time measurement of new business potential for our management team.</w:t>
      </w:r>
    </w:p>
    <w:p>
      <w:pPr>
        <w:spacing w:after="0" w:line="172" w:lineRule="exact"/>
        <w:rPr>
          <w:sz w:val="20"/>
          <w:szCs w:val="20"/>
          <w:color w:val="auto"/>
        </w:rPr>
      </w:pPr>
    </w:p>
    <w:p>
      <w:pPr>
        <w:ind w:right="140"/>
        <w:spacing w:after="0" w:line="332" w:lineRule="auto"/>
        <w:rPr>
          <w:sz w:val="20"/>
          <w:szCs w:val="20"/>
          <w:color w:val="auto"/>
        </w:rPr>
      </w:pPr>
      <w:r>
        <w:rPr>
          <w:rFonts w:ascii="Arial" w:cs="Arial" w:eastAsia="Arial" w:hAnsi="Arial"/>
          <w:sz w:val="16"/>
          <w:szCs w:val="16"/>
          <w:color w:val="auto"/>
        </w:rPr>
        <w:t>Our top 30 customers have been quite stable despite not having long-term commitments to purchase our products. With selected customers, we have signed two to three year contracts for specific products. Sales to our top 30 customers comprise approximately 60% of our total sales.</w:t>
      </w:r>
    </w:p>
    <w:p>
      <w:pPr>
        <w:spacing w:after="0" w:line="139"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color w:val="auto"/>
        </w:rPr>
        <w:t>During 2005, approximately 26% of our net sales were attributable to customers in the Americas, approximately 37% were attributable to customers in Europe, and approximately 37% were attributable to customers in Asia. During 2005, the share of net sales by end-use market was as follows: Industrial, 34%; Computer, 20%; Automotive, 17%; Consumer Products, 12%; Telecommunications, 11%; Aerospace and Military, 4%; Medical, 2%.</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We face strong competition in various product lines from both domestic and foreign manufacturers that produce products using technologies similar to ours. Our primary competitors by product type include:</w:t>
      </w:r>
    </w:p>
    <w:p>
      <w:pPr>
        <w:spacing w:after="0" w:line="186" w:lineRule="exact"/>
        <w:rPr>
          <w:sz w:val="20"/>
          <w:szCs w:val="20"/>
          <w:color w:val="auto"/>
        </w:rPr>
      </w:pPr>
    </w:p>
    <w:p>
      <w:pPr>
        <w:ind w:left="1160" w:hanging="571"/>
        <w:spacing w:after="0"/>
        <w:tabs>
          <w:tab w:leader="none" w:pos="1160" w:val="left"/>
        </w:tabs>
        <w:numPr>
          <w:ilvl w:val="0"/>
          <w:numId w:val="6"/>
        </w:numPr>
        <w:rPr>
          <w:rFonts w:ascii="Arial" w:cs="Arial" w:eastAsia="Arial" w:hAnsi="Arial"/>
          <w:sz w:val="16"/>
          <w:szCs w:val="16"/>
          <w:color w:val="auto"/>
        </w:rPr>
      </w:pPr>
      <w:r>
        <w:rPr>
          <w:rFonts w:ascii="Arial" w:cs="Arial" w:eastAsia="Arial" w:hAnsi="Arial"/>
          <w:sz w:val="16"/>
          <w:szCs w:val="16"/>
          <w:i w:val="1"/>
          <w:iCs w:val="1"/>
          <w:color w:val="auto"/>
        </w:rPr>
        <w:t xml:space="preserve">Discrete Devices: </w:t>
      </w:r>
      <w:r>
        <w:rPr>
          <w:rFonts w:ascii="Arial" w:cs="Arial" w:eastAsia="Arial" w:hAnsi="Arial"/>
          <w:sz w:val="16"/>
          <w:szCs w:val="16"/>
          <w:color w:val="auto"/>
        </w:rPr>
        <w:t>Fairchild Semiconductor, International Rectifier, Infineon, ON Semiconductor, Philips, Rohm, STMicroelectronics, Toshiba.</w:t>
      </w:r>
    </w:p>
    <w:p>
      <w:pPr>
        <w:spacing w:after="0" w:line="180" w:lineRule="exact"/>
        <w:rPr>
          <w:rFonts w:ascii="Arial" w:cs="Arial" w:eastAsia="Arial" w:hAnsi="Arial"/>
          <w:sz w:val="16"/>
          <w:szCs w:val="16"/>
          <w:color w:val="auto"/>
        </w:rPr>
      </w:pPr>
    </w:p>
    <w:p>
      <w:pPr>
        <w:ind w:left="1160" w:right="760" w:hanging="571"/>
        <w:spacing w:after="0" w:line="268" w:lineRule="auto"/>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Integrated Circuits: </w:t>
      </w:r>
      <w:r>
        <w:rPr>
          <w:rFonts w:ascii="Arial" w:cs="Arial" w:eastAsia="Arial" w:hAnsi="Arial"/>
          <w:sz w:val="18"/>
          <w:szCs w:val="18"/>
          <w:color w:val="auto"/>
        </w:rPr>
        <w:t>Fairchild Semiconductor, International Rectifier, Infineon, Maxim, ON Semiconductor, STMicroelectronics, Texas</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Instruments.</w:t>
      </w:r>
    </w:p>
    <w:p>
      <w:pPr>
        <w:spacing w:after="0" w:line="118"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Optoelectronics: </w:t>
      </w:r>
      <w:r>
        <w:rPr>
          <w:rFonts w:ascii="Arial" w:cs="Arial" w:eastAsia="Arial" w:hAnsi="Arial"/>
          <w:sz w:val="18"/>
          <w:szCs w:val="18"/>
          <w:color w:val="auto"/>
        </w:rPr>
        <w:t>Avago (formerly Agilent Semiconductor Products Division), Fairchild Semiconductor, Sharp, Toshiba.</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Resistors and Inductors: </w:t>
      </w:r>
      <w:r>
        <w:rPr>
          <w:rFonts w:ascii="Arial" w:cs="Arial" w:eastAsia="Arial" w:hAnsi="Arial"/>
          <w:sz w:val="18"/>
          <w:szCs w:val="18"/>
          <w:color w:val="auto"/>
        </w:rPr>
        <w:t>EPCOS, KOA, Rohm, Yageo.</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Capacitors: </w:t>
      </w:r>
      <w:r>
        <w:rPr>
          <w:rFonts w:ascii="Arial" w:cs="Arial" w:eastAsia="Arial" w:hAnsi="Arial"/>
          <w:sz w:val="18"/>
          <w:szCs w:val="18"/>
          <w:color w:val="auto"/>
        </w:rPr>
        <w:t>AVX, EPCOS, KEMET, Murata, TDK, Yageo.</w:t>
      </w:r>
    </w:p>
    <w:p>
      <w:pPr>
        <w:spacing w:after="0" w:line="157" w:lineRule="exact"/>
        <w:rPr>
          <w:rFonts w:ascii="Arial" w:cs="Arial" w:eastAsia="Arial" w:hAnsi="Arial"/>
          <w:sz w:val="18"/>
          <w:szCs w:val="18"/>
          <w:color w:val="auto"/>
        </w:rPr>
      </w:pPr>
    </w:p>
    <w:p>
      <w:pPr>
        <w:ind w:left="1160" w:hanging="571"/>
        <w:spacing w:after="0"/>
        <w:tabs>
          <w:tab w:leader="none" w:pos="116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Measurements Group: </w:t>
      </w:r>
      <w:r>
        <w:rPr>
          <w:rFonts w:ascii="Arial" w:cs="Arial" w:eastAsia="Arial" w:hAnsi="Arial"/>
          <w:sz w:val="18"/>
          <w:szCs w:val="18"/>
          <w:color w:val="auto"/>
        </w:rPr>
        <w:t>various niche competitors.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There are many other companies that produce products in the markets in which we compete.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420"/>
          </w:cols>
          <w:pgMar w:left="240" w:top="590" w:right="239" w:bottom="1440" w:gutter="0" w:footer="0" w:header="0"/>
        </w:sectPr>
      </w:pPr>
    </w:p>
    <w:bookmarkStart w:id="15" w:name="page16"/>
    <w:bookmarkEnd w:id="15"/>
    <w:p>
      <w:pPr>
        <w:ind w:right="240"/>
        <w:spacing w:after="0" w:line="294" w:lineRule="auto"/>
        <w:rPr>
          <w:sz w:val="20"/>
          <w:szCs w:val="20"/>
          <w:color w:val="auto"/>
        </w:rPr>
      </w:pPr>
      <w:r>
        <w:rPr>
          <w:rFonts w:ascii="Arial" w:cs="Arial" w:eastAsia="Arial" w:hAnsi="Arial"/>
          <w:sz w:val="16"/>
          <w:szCs w:val="16"/>
          <w:color w:val="auto"/>
        </w:rPr>
        <w:t>Our competitive position depends on our product quality, know-how, proprietary data, marketing and service capabilities and business reputation, as well as on price. We compete for sales of certain products on the basis of our marketing and distribution network, which provides a high level of customer service. For example, we work closely with our customers to have our components incorporated into their electronic equipment at the early stages of design and production and maintain redundant production sites for some of our products to ensure an uninterrupted supply of products. Additionally, we believe that our Strategic Global Accounts program, described above, provides us with a competitive advantage.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231"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Many of our products and manufacturing techniques, technologies and packaging methods have been invented, designed and developed by our engineers and scientists. We maintain strategically placed design centers where proximity to customers enables us to more easily gauge and satisfy the needs of local markets. These design centers are located predominantly in the United States, Germany, Israel, the People’s Republic of China, France, the Republic of China (Taiwan) and South Korea.</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We also maintain research and development staffs and promote programs at a number of our production facilities to develop new products and new applications of existing products, and to improve manufacturing techniques. This decentralized system encourages individual product development at individual manufacturing facilities that occasionally has applications at other facilities. Our research and development efforts over the past few years have been largely focused on our Semiconductors segment, principally for the development of new power products and power ICs. We also have research and development programs that should enhance our efforts in vertical integration of our product lines, combining Vishay components in packages. Examples of these packages include combinations of our sensors and our radio frequency technology to create wireless transducers, wireless precision potentiometers, and other new products.</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and Licenses</w:t>
      </w:r>
    </w:p>
    <w:p>
      <w:pPr>
        <w:spacing w:after="0" w:line="231"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We have made a significant investment in securing intellectual property protection for our technology and products. We seek to protect our technology by, among other things, filing patent applications for technology considered important to the development of our business. We also rely upon trade secrets, unpatented know-how, continuing technological innovation and the aggressive pursuit of licensing opportunities to help develop and maintain our competitive position.</w:t>
      </w:r>
    </w:p>
    <w:p>
      <w:pPr>
        <w:spacing w:after="0" w:line="161"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Our ability to compete effectively with other companies depends, in part, on our ability to maintain the proprietary nature of our technology. Although we have been awarded, have filed applications for, or have been licensed under, numerous patents in the United States and other countries, there can be no assurance concerning the degree of protection afforded by these patents or the likelihood that pending patents will be issued.</w:t>
      </w:r>
    </w:p>
    <w:p>
      <w:pPr>
        <w:spacing w:after="0" w:line="161"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require all of our technical, research and development, sales and marketing, and management employees and most consultants and other advisors to execute confidentiality agreements upon the commencement of employment or consulting relationships with us. These agreements provide that all confidential information developed or made known to the entity or individual during the course of the entity’s or individual’s relationship with us is to be kept confidential and not disclosed to third parties except in specific circumstances. Substantially all of our technical, research and development, sales and marketing, and management employees have entered into agreements providing for the assignment to us of rights to inventions made by them while employed by us.</w:t>
      </w:r>
    </w:p>
    <w:p>
      <w:pPr>
        <w:spacing w:after="0" w:line="170"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When we believe other companies are misappropriating our intellectual property rights, we vigorously enforce those rights through legal action, and we intend to continue to do so. See Item 3, “Legal Proceedings.”</w:t>
      </w:r>
    </w:p>
    <w:p>
      <w:pPr>
        <w:spacing w:after="0" w:line="18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Although we have numerous United States and foreign patents covering certain of our products and manufacturing processes, no particular patent is considered individually material to our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590" w:right="23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Environment, Health and Safety</w:t>
      </w:r>
    </w:p>
    <w:p>
      <w:pPr>
        <w:spacing w:after="0" w:line="231"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We have adopted an Environmental Health and Safety Corporate Policy that commits us to achieve and maintain compliance with applicable environmental laws, to promote proper management of hazardous materials for the safety of our employees and the protection of the environment, and to minimize the hazardous materials generated in the course of our operations. This policy is implemented with accountability directly to the Chairman of the Board of Directors. In addition, our manufacturing operations are subject to various federal, state and local laws restricting discharge of materials into the environment.</w:t>
      </w:r>
    </w:p>
    <w:p>
      <w:pPr>
        <w:spacing w:after="0" w:line="167"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Vishay is involved in environmental remediation programs at various sites currently or formerly owned by Vishay and its subsidiaries, in addition to involvement as a potentially responsible party (“PRP”) at three Superfund sites. Certain obligations as a PRP have arisen in connection with business acquisitions. The remediation programs are on-going at two currently operating U.S. facilities, eight currently operating non-U.S. facilities, eight formerly owned U.S. sites, and one formerly owned non-U.S. site. The ultimate cost of site cleanup is difficult to predict given the uncertainties regarding the extent of the required cleanup, the interpretation of applicable laws and regulations and alternative cleanup methods. See Item 3, “Legal Proceedings.”</w:t>
      </w:r>
    </w:p>
    <w:p>
      <w:pPr>
        <w:spacing w:after="0" w:line="170"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are not involved in any pending or threatened proceedings that would require curtailment of our operations. We continually expend funds to ensure that our facilities comply with applicable environmental regulations. While we believe that we are in material compliance with applicable environmental laws, we cannot accurately predict future developments and do not necessarily have knowledge of all past occurrences on sites that we currently occupy. More stringent environmental regulations may be enacted in the future, and we cannot determine the modifications, if any, in our operations that any such future regulations might require, or the cost of compliance with such regulations. Moreover, the risk of environmental liability and remediation costs is inherent in the nature of our business and, therefore, there can be no assurance that material environmental costs, including remediation costs, will not arise in the future.</w:t>
      </w:r>
    </w:p>
    <w:p>
      <w:pPr>
        <w:spacing w:after="0" w:line="174"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With each acquisition, we attempt to identify potential environmental concerns and to minimize, or obtain indemnification for, the environmental matters we may be required to address. In addition, we establish reserves for specifically identified potential environmental liabilities. We believe that the reserves we have established are adequate. Nevertheless, we often unavoidably inherit certain pre-existing environmental liabilities, generally based on successor liability doctrines. Although we have never been involved in any environmental matter that has had a material adverse impact on our overall operations, there can be no assurance that in connection with any past or future acquisition we will not be obligated to address environmental matters that could have a material adverse impact on our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As of December 31, 2005, we employed approximately 26,100 full time employees, of whom approximately 22,900 were located outside the United States. Our future success is substantially dependent on our ability to attract and retain highly qualified technical and administrative personnel. Some of our employees outside the United States are members of trade unions, and employees at one small U.S. facility are represented by a union. Our relationship with our employees is generally good. However, no assurance can be given that, if we continue to restructure our operations in response to changing economic conditions, labor unrest or strikes will not occur.</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584" w:right="2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Company Information and Website</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file annual, quarterly, and current reports, proxy statements, and other documents with the Securities and Exchange Commission (“SEC”) under the Securities Exchange Act of 1934 (the “Exchange Act”). The public may read and copy any materials that we file with the SEC at the SEC’s Public Reference Room at 450 Fifth Street, NW, Washington, DC 20549. The public may obtain information on the operation of the Public Reference Room by calling the SEC at 1-800-SEC-0330. Also, the SEC maintains an Internet website that contains reports, proxy and information statements, and other information regarding issuers, including us, that file electronically with the SEC. The public can obtain any documents that we file with the SEC at http://www.sec.gov.</w:t>
      </w:r>
    </w:p>
    <w:p>
      <w:pPr>
        <w:spacing w:after="0" w:line="170"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 addition, our company website can be found on the Internet at www.vishay.com. The website contains information about us and our operations. Copies of each of our filings with the SEC on Form 10-K, Form 10-Q and Form 8-K, and all amendments to those reports, can be viewed and downloaded free of charge as soon as reasonably practicable after the reports and amendments are electronically filed with or furnished to the SEC. To view the reports, access ir.vishay.com and click on “SEC Filings.”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corporate governance related documents are also available on our website:</w:t>
      </w:r>
    </w:p>
    <w:p>
      <w:pPr>
        <w:spacing w:after="0" w:line="225" w:lineRule="exact"/>
        <w:rPr>
          <w:sz w:val="20"/>
          <w:szCs w:val="20"/>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Corporate Governance Principles</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of Business Conduct and Ethics</w:t>
      </w:r>
    </w:p>
    <w:p>
      <w:pPr>
        <w:spacing w:after="0" w:line="9" w:lineRule="exact"/>
        <w:rPr>
          <w:rFonts w:ascii="Arial" w:cs="Arial" w:eastAsia="Arial" w:hAnsi="Arial"/>
          <w:sz w:val="18"/>
          <w:szCs w:val="18"/>
          <w:color w:val="auto"/>
        </w:rPr>
      </w:pPr>
    </w:p>
    <w:p>
      <w:pPr>
        <w:ind w:left="1160" w:right="260" w:hanging="571"/>
        <w:spacing w:after="0" w:line="250" w:lineRule="auto"/>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Code of Ethics Applicable to the Company’s Chief Executive Officer, Chief Financial Officer, Principal Accounting Officer or Controller and Financial Managers</w:t>
      </w: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Audit Committee Charter</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Nominating and Corporate Governance Committee Charter</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Compensation Committee Charter</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Policy on Director Attendance at Annual Meetings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Nominating and Corporate Governance Committee Policy Regarding Qualification of Directors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Procedures for Securityholders’ Submissions of Nominating Recommendations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Securityholder Communications with Directors and Interested Party Communication with Non-Management Directors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Whistleblower and Ethics Hotline Procedures.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 review these documents, access ir.vishay.com and click on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Any of the above documents can also be obtained in print by any shareholder upon request to our Investor Relations Department at the following address:</w:t>
      </w:r>
    </w:p>
    <w:p>
      <w:pPr>
        <w:spacing w:after="0" w:line="248"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Corporate Investor Relations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Vishay Intertechnology, Inc.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63 Lincoln Highway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Malvern, PA 19355-2143</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80"/>
          </w:cols>
          <w:pgMar w:left="240" w:top="584" w:right="279" w:bottom="1440" w:gutter="0" w:footer="0" w:header="0"/>
        </w:sectPr>
      </w:pPr>
    </w:p>
    <w:bookmarkStart w:id="18" w:name="page19"/>
    <w:bookmarkEnd w:id="18"/>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1A</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RISK FACTORS</w:t>
      </w:r>
    </w:p>
    <w:p>
      <w:pPr>
        <w:spacing w:after="0" w:line="23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From time to time, information provided by us, including but not limited to statements in this report, or other statements made by or on our behalf, may contain “forward-looking” information within the meaning of the Private Securities Litigation Reform Act of 1995. Such statements involve a number of risks, uncertainties and contingencies, many of which are beyond our control, which may cause actual results, performance or achievements to differ materially from those anticipated. Set forth below are important factors that could cause our results, performance or achievements to differ materially from those in any forward-looking statements made by us or on our behalf:</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Factors relating to our business generally</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i w:val="1"/>
          <w:iCs w:val="1"/>
          <w:u w:val="single" w:color="auto"/>
          <w:color w:val="auto"/>
        </w:rPr>
        <w:t>Our business is cyclical and the periods of decline in demand that we have experienced in the past few years may resume and may become more pronounced.</w:t>
      </w:r>
    </w:p>
    <w:p>
      <w:pPr>
        <w:spacing w:after="0" w:line="248"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From 2001 to 2003, we and others in the electronic and semiconductor component industry experienced a decline in product demand on a global basis, resulting in order cancellations and deferrals, lower average selling prices, and a material and adverse impact on our results of operations. This decline was primarily attributable to a slowing of growth in the personal computer and cellular telephone product markets. We and others in the industry saw indications of improvements in the economy and the electronic and semiconductor component industry in the first half of 2004, followed by a downtrend in the second half of the year and a small improvement in 2005. While we are anticipating that there will be an improved business climate in 2006, improvements in the economy and the electronic and semiconductor component industry may not materialize. The slowdown may resume and may become more pronounced. A slowdown in demand, as well as recessionary trends in the global economy, make it more difficult for us to predict our future sales and manage our operations, and could adversely impact our results of operations.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have incurred and may continue to incur restructuring costs and associated asset write-downs.</w:t>
      </w:r>
    </w:p>
    <w:p>
      <w:pPr>
        <w:spacing w:after="0" w:line="225"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To remain competitive, particularly when business conditions are difficult, we attempt to reduce our cost structure through restructuring activities. This includes acquisition-related restructuring, where we attempt to streamline the operations of companies we acquire and achieve synergies between our acquisitions and our existing businesses. It also includes restructuring our existing businesses, where we seek to eliminate redundant facilities and staff positions and move operations, where possible, to jurisdictions with lower labor costs. We recorded restructuring and severance costs, plus related asset write-downs, in each of 2001, 2002, 2003, 2004, and 2005, and we expect to incur such expenses during 2006.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In the past we have grown through acquisitions but this may not continue.</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long-term historical growth in revenues and net earnings has resulted in large part from our strategy of expansion through acquisitions. We cannot assure you, however, that we will identify or successfully complete transactions with suitable acquisition candidates in the future. We also cannot assure you that acquisitions that we complete in the future will be successful. If an acquired business fails to operate as anticipated or cannot be successfully integrated with our other businesses, our results of operations, enterprise value, market value and prospects could all be materially and adversely affected.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debt levels have increased, which could adversely affect the perception in the financial markets of our financial condition.</w:t>
      </w:r>
    </w:p>
    <w:p>
      <w:pPr>
        <w:spacing w:after="0" w:line="225" w:lineRule="exact"/>
        <w:rPr>
          <w:sz w:val="20"/>
          <w:szCs w:val="20"/>
          <w:color w:val="auto"/>
        </w:rPr>
      </w:pPr>
    </w:p>
    <w:p>
      <w:pPr>
        <w:ind w:right="340"/>
        <w:spacing w:after="0" w:line="306" w:lineRule="auto"/>
        <w:rPr>
          <w:sz w:val="20"/>
          <w:szCs w:val="20"/>
          <w:color w:val="auto"/>
        </w:rPr>
      </w:pPr>
      <w:r>
        <w:rPr>
          <w:rFonts w:ascii="Arial" w:cs="Arial" w:eastAsia="Arial" w:hAnsi="Arial"/>
          <w:sz w:val="16"/>
          <w:szCs w:val="16"/>
          <w:color w:val="auto"/>
        </w:rPr>
        <w:t>Our outstanding debt increased from approximately $141 million at the end of 2000 to approximately $752 million at the end of 2005, primarily due to our acquisition activity. While our debt levels decreased in 2004 and remained essentially flat in 2005, the marketplace could react negatively to our current debt levels which in turn could affect our share price and also make it more difficult for us to obtain financing in the future.</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368" w:right="259" w:bottom="1440" w:gutter="0" w:footer="0" w:header="0"/>
        </w:sectPr>
      </w:pPr>
    </w:p>
    <w:bookmarkStart w:id="19" w:name="page20"/>
    <w:bookmarkEnd w:id="19"/>
    <w:p>
      <w:pPr>
        <w:spacing w:after="0"/>
        <w:rPr>
          <w:sz w:val="20"/>
          <w:szCs w:val="20"/>
          <w:color w:val="auto"/>
        </w:rPr>
      </w:pPr>
      <w:r>
        <w:rPr>
          <w:rFonts w:ascii="Arial" w:cs="Arial" w:eastAsia="Arial" w:hAnsi="Arial"/>
          <w:sz w:val="18"/>
          <w:szCs w:val="18"/>
          <w:i w:val="1"/>
          <w:iCs w:val="1"/>
          <w:u w:val="single" w:color="auto"/>
          <w:color w:val="auto"/>
        </w:rPr>
        <w:t>To remain successful, we must continue to innovate.</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Our future operating results are dependent on our ability to continually develop, introduce and market new and innovative products, to modify existing products, to respond to technological change and to customize certain products to meet customer requirements. There are numerous risks inherent in this process, including the risks that we will be unable to anticipate the direction of technological change or that we will be unable to develop and market new products and applications in a timely fashion to satisfy customer demands. If this occurs, we could lose customers and experience adverse effects on our financial condition and results of operations.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ability to compete effectively with other companies depends, in part, on our ability to maintain the proprietary nature of our technology.</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Protection of intellectual property often involves complex legal and factual issues. We will be able to protect our proprietary rights from unauthorized use by third parties only to the extent that our proprietary technologies are covered by valid and enforceable patents or are effectively maintained as trade secrets. We have applied, and will continue to apply, for patents covering our technologies and products, as we deem appropriate. However, our applications may not result in issued patents. Also, our existing patents and any future patents may not be sufficiently broad to prevent others from practicing our technologies or from developing competing products. Others may independently develop similar or alternative technologies, design around our patented technologies or may challenge or seek to invalidate our patents.</w:t>
      </w:r>
    </w:p>
    <w:p>
      <w:pPr>
        <w:spacing w:after="0" w:line="198"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electronic components industry, particularly the discrete semiconductor sector, is characterized by litigation regarding patent and other intellectual property rights. We have on occasion been notified that we may be infringing patent and other intellectual property rights of others. In addition, customers purchasing components from us have rights to indemnification under certain circumstances if such components violate the intellectual property rights of others. Further, we have observed that in the current electronic components industry business environment, companies have become more aggressive in asserting and defending patent claims against competitors. We will continue to vigorously defend our intellectual property rights, and may become party to disputes regarding patent licensing and cross patent licensing. Although licenses are generally offered in such situations and we have successfully resolved these situations in the past, there can be no assurance that we will not be subject to future litigation alleging intellectual property rights infringement, or that we will be able to obtain licenses on acceptable terms. An unfavorable outcome regarding one of these matters could have a material adverse effect on our business and operating results.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have begun to invest in start-ups but our investments may not prove successful</w:t>
      </w:r>
      <w:r>
        <w:rPr>
          <w:rFonts w:ascii="Arial" w:cs="Arial" w:eastAsia="Arial" w:hAnsi="Arial"/>
          <w:sz w:val="18"/>
          <w:szCs w:val="18"/>
          <w:color w:val="auto"/>
        </w:rPr>
        <w:t>.</w:t>
      </w:r>
    </w:p>
    <w:p>
      <w:pPr>
        <w:spacing w:after="0" w:line="2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We believe that investment in new technologies that are related to our core businesses is important to position us for the future. Accordingly, we have begun a program of investing in technology start-up enterprises, in which we may acquire a controlling or non-controlling interest but whose technology would be available to be commercialized by us. Examples are our recent acquisitions of all of the assets of RFWaves, Ltd. and CyOptics Israel, Ltd. There are numerous risks in investments of this nature including the limited operating history of such start-up entities, their need for capital and their limited or absence of production experience, as well as the risk that their technologies may prove ineffective or fail to gain acceptance in the marketplace. There can be no assurance, therefore, that our investments in start-up enterprises will prove successful.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Future acquisitions could require us to issue additional indebtedness or equity.</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If we were to undertake a substantial acquisition for cash, the acquisition would likely need to be financed in part through bank borrowings or the issuance of public or private debt. This acquisition financing would likely decrease our ratio of earnings to fixed charges and adversely affect other leverage criteria. Under our existing credit facility, we are required to obtain the lenders’ consent for certain additional debt financing and to comply with other covenants including the application of specific financial ratios. We are also restricted from paying cash dividends on our capital stock. We cannot assure you that the necessary acquisition financing would be available to us on acceptable terms if and when required. If we were to undertake an acquisition for equity, the acquisition may have a dilutive effect on the interests of the holders of our common stock.</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590"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i w:val="1"/>
          <w:iCs w:val="1"/>
          <w:u w:val="single" w:color="auto"/>
          <w:color w:val="auto"/>
        </w:rPr>
        <w:t>Our results are sensitive to raw material availability, quality and cost.</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Many of our products require the use of raw materials that are produced in only a limited number of regions around the world or are available from only a limited number of suppliers. Our results of operations may be materially and adversely affected if we have difficulty obtaining these raw materials, the quality of available raw materials deteriorates, or there are significant price increases for these raw materials. For example, the prices for tantalum and palladium, two raw materials that we use in our capacitors, are subject to fluctuation. For periods in which the prices of these raw materials are rising, we may be unable to pass on the increased cost to our customers which would result in decreased margins for the products in which they are used. For periods in which the prices are declining, we may be required to write down our inventory carrying cost of these raw materials, since we record our inventory at the lower of cost or market. Depending on the extent of the difference between market price and our carrying cost, this write-down could have a material adverse effect on our net earnings. We recorded substantial write-downs of tantalum and palladium in the economic downturn from 2001 to 2003, and recorded more modest write-downs in 2004.</w:t>
      </w:r>
    </w:p>
    <w:p>
      <w:pPr>
        <w:spacing w:after="0" w:line="172"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From time to time there have been short-term market shortages of raw materials. While these shortages have not historically adversely affected our ability to increase production of products containing tantalum and palladium, they have historically resulted in higher raw material costs for us. We cannot assure you that any of these market shortages in the future would not adversely affect our ability to increase production, particularly during periods of growing demand for our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backlog is subject to customer cancellation.</w:t>
      </w:r>
    </w:p>
    <w:p>
      <w:pPr>
        <w:spacing w:after="0" w:line="225"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Many of the orders that comprise our backlog may be canceled by our customers without penalty. Our customers may on occasion double and triple order components from multiple sources to ensure timely delivery when backlog is particularly long. They often cancel orders when business is weak and inventories are excessive, a situation that we have experienced during periods of economic slowdown. Therefore, we cannot be certain that the amount of our backlog does not exceed the level of orders that will ultimately be delivered. Our results of operations could be adversely impacted if customers cancel a material portion of orders in our backlog.</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face intense competition in our business, and we market our products to an increasingly concentrated group of customers.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Our business is highly competitive worldwide, with low transportation costs and few import barriers. We compete principally on the bases of product quality and reliability, availability, customer service, technological innovation, timely delivery and price. The electronics components industry has become increasingly concentrated and globalized in recent years and our major competitors, some of which are larger than us, have significant financial resources and technological capabilities.</w:t>
      </w:r>
    </w:p>
    <w:p>
      <w:pPr>
        <w:spacing w:after="0" w:line="197"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color w:val="auto"/>
        </w:rPr>
        <w:t>Our customers have become increasingly concentrated in recent years, and as a result, their buying power has increased and they have had greater ability to negotiate favorable pricing. This trend has adversely affected our average selling prices, particularly for commodity components.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may not have adequate facilities to satisfy future increases in demand for our products.</w:t>
      </w:r>
    </w:p>
    <w:p>
      <w:pPr>
        <w:spacing w:after="0" w:line="225" w:lineRule="exact"/>
        <w:rPr>
          <w:sz w:val="20"/>
          <w:szCs w:val="20"/>
          <w:color w:val="auto"/>
        </w:rPr>
      </w:pPr>
    </w:p>
    <w:p>
      <w:pPr>
        <w:ind w:right="20"/>
        <w:spacing w:after="0" w:line="323" w:lineRule="auto"/>
        <w:rPr>
          <w:sz w:val="20"/>
          <w:szCs w:val="20"/>
          <w:color w:val="auto"/>
        </w:rPr>
      </w:pPr>
      <w:r>
        <w:rPr>
          <w:rFonts w:ascii="Arial" w:cs="Arial" w:eastAsia="Arial" w:hAnsi="Arial"/>
          <w:sz w:val="15"/>
          <w:szCs w:val="15"/>
          <w:color w:val="auto"/>
        </w:rPr>
        <w:t>Our business is cyclical and in periods of a rising economy, we may experience intense demand for our products. During such periods, we may have difficulty expanding our manufacturing to satisfy demand. Factors which could limit such expansion include delays in procurement of manufacturing equipment, shortages of skilled personnel, and capacity constraints at our facilities. If we are unable to meet our customers’ requirements and our competitors sufficiently expand production, we could lose customers and/or market share. These losses could have an adverse effect on our financial condition and results of operations.</w:t>
      </w:r>
    </w:p>
    <w:p>
      <w:pPr>
        <w:spacing w:after="0" w:line="1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- 21 -</w:t>
      </w:r>
    </w:p>
    <w:p>
      <w:pPr>
        <w:sectPr>
          <w:pgSz w:w="11900" w:h="16838" w:orient="portrait"/>
          <w:cols w:equalWidth="0" w:num="1">
            <w:col w:w="11360"/>
          </w:cols>
          <w:pgMar w:left="240" w:top="590" w:right="299" w:bottom="1440" w:gutter="0" w:footer="0" w:header="0"/>
        </w:sectPr>
      </w:pPr>
    </w:p>
    <w:bookmarkStart w:id="21" w:name="page22"/>
    <w:bookmarkEnd w:id="21"/>
    <w:p>
      <w:pPr>
        <w:spacing w:after="0"/>
        <w:rPr>
          <w:sz w:val="20"/>
          <w:szCs w:val="20"/>
          <w:color w:val="auto"/>
        </w:rPr>
      </w:pPr>
      <w:r>
        <w:rPr>
          <w:rFonts w:ascii="Arial" w:cs="Arial" w:eastAsia="Arial" w:hAnsi="Arial"/>
          <w:sz w:val="18"/>
          <w:szCs w:val="18"/>
          <w:i w:val="1"/>
          <w:iCs w:val="1"/>
          <w:u w:val="single" w:color="auto"/>
          <w:color w:val="auto"/>
        </w:rPr>
        <w:t>Future changes in our environmental liability and compliance obligations may harm our ability to operate or increase costs.</w:t>
      </w:r>
    </w:p>
    <w:p>
      <w:pPr>
        <w:spacing w:after="0" w:line="225" w:lineRule="exact"/>
        <w:rPr>
          <w:sz w:val="20"/>
          <w:szCs w:val="20"/>
          <w:color w:val="auto"/>
        </w:rPr>
      </w:pPr>
    </w:p>
    <w:p>
      <w:pPr>
        <w:ind w:right="120"/>
        <w:spacing w:after="0" w:line="286" w:lineRule="auto"/>
        <w:rPr>
          <w:sz w:val="20"/>
          <w:szCs w:val="20"/>
          <w:color w:val="auto"/>
        </w:rPr>
      </w:pPr>
      <w:r>
        <w:rPr>
          <w:rFonts w:ascii="Arial" w:cs="Arial" w:eastAsia="Arial" w:hAnsi="Arial"/>
          <w:sz w:val="16"/>
          <w:szCs w:val="16"/>
          <w:color w:val="auto"/>
        </w:rPr>
        <w:t>Our manufacturing operations, products and/or product packaging are subject to environmental laws and regulations governing air emissions, wastewater discharges, the handling, disposal and remediation of hazardous substances, wastes and certain chemicals used or generated in our manufacturing processes, employee health and safety labeling or other notifications with respect to the content or other aspects of our processes, products or packaging, restrictions on the use of certain materials in or on design aspects of our products or product packaging, and responsibility for disposal of products or product packaging. We establish reserves for specifically identified potential environmental liabilities which we believe are adequate. Nevertheless, we often unavoidably inherit certain pre-existing environmental liabilities, generally based on successor liability doctrines. Although we have never been involved in any environmental matter that has had a material adverse impact on our overall operations, there can be no assurance that in connection with any past or future acquisition we will not be obligated to address environmental matters that could have a material adverse impact on our operations. In addition, more stringent environmental regulations may be enacted in the future, and we cannot presently determine the modifications, if any, in our operations that any such future regulations might require, or the cost of compliance with these regulations. In order to resolve liabilities at various sites, we have entered into various administrative orders and consent decrees, some of which may be, under certain conditions, reopened or subject to renegotiation.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products may experience a reduction in product classification levels under various military specifications.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have qualified certain of our products under various military specifications, approved and monitored by the United States Defense Electronic Supply Center, and under certain European military specifications. These products are assigned certain classification levels. In order to maintain the classification level of a product, we must continuously perform tests on the product and the results of these tests must be reported to governmental agencies. If any of our products fails to meet the requirements of the applicable classification level, that product’s classification may be reduced to a lower level. A decrease in the classification level for any of our products with a military application could have an adverse impact on the net sales and earnings attributable to that product.</w:t>
      </w:r>
    </w:p>
    <w:p>
      <w:pPr>
        <w:spacing w:after="0" w:line="170"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i w:val="1"/>
          <w:iCs w:val="1"/>
          <w:u w:val="single" w:color="auto"/>
          <w:color w:val="auto"/>
        </w:rPr>
        <w:t>Our future success is substantially dependent on our ability to attract and retain highly qualified technical, managerial, marketing, finance and administrative personnel.</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Rapid changes in technologies, frequent new product introductions, and declining average selling prices over product life cycles require us to attract and retain highly qualified personnel to develop technological innovations and bring them to market on a timely basis. Our complex operations also require us to attract and retain highly qualified administrative personnel in functions such as legal, tax, accounting, financial reporting, auditing, and treasury. The market for personnel with such qualifications is highly competitive. While we have employment agreements with five of our executives, we have not entered into employment agreements with all of our key personnel.</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loss of the services of or the failure to effectively recruit qualified personnel could have a material adverse effect on our business.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20"/>
          </w:cols>
          <w:pgMar w:left="240" w:top="590"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i w:val="1"/>
          <w:iCs w:val="1"/>
          <w:color w:val="auto"/>
        </w:rPr>
        <w:t>Factors relating to Vishay’s operations outside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obtain substantial benefits by operating in Israel, but these benefits may not continue.</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We have increased our operations in Israel over the past several years. The low tax rates in Israel applicable to earnings of our operations in that country, compared to the rates in the United States, have had the general effect of increasing our net earnings, although this was not the case during 2002, 2003, and 2004 due to losses on purchase commitments. Also, we have benefited from employment incentive grants made by the Israeli government. In 2002, the Israeli government suspended payment on one of these grants after we were forced to lay off a significant number of employees as a result of the economic downturn. Although we reached agreement with the Israeli government to resume payment on this grant, there can be no assurance that we will maintain our eligibility for this or other existing project grants. There can also be no assurance that in the future the Israeli government will continue to offer new grant and tax incentive programs applicable to us or that, if it does, such programs will provide the same level of benefits we have historically received or that we will continue to be eligible to take advantage of them. Any significant increase in the Israeli tax rates or reduction or elimination of the Israeli grant programs that have benefited us could have an adverse impact on our results of operations.</w:t>
      </w:r>
    </w:p>
    <w:p>
      <w:pPr>
        <w:spacing w:after="0" w:line="17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i w:val="1"/>
          <w:iCs w:val="1"/>
          <w:u w:val="single" w:color="auto"/>
          <w:color w:val="auto"/>
        </w:rPr>
        <w:t>We attempt to improve profitability by operating in countries in which labor costs are low, but the shift of operations to these regions may entail considerable expense.</w:t>
      </w:r>
    </w:p>
    <w:p>
      <w:pPr>
        <w:spacing w:after="0" w:line="18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Our strategy is aimed at achieving significant production cost savings through the transfer and expansion of manufacturing operations to and in countries with lower production costs, such as the Czech Republic, India, Israel, Malaysia, Mexico, the People’s Republic of China, and the Philippines. During this process, we may experience under-utilization of certain plants and factories in high-labor-cost regions and capacity constraints in plants and factories located in low-labor-cost regions. This under-utilization may result initially in production inefficiencies and higher costs. These costs include those associated with compensation in connection with work force reductions and plant closings in the higher-labor-cost regions, and start-up expenses, manufacturing and construction delays, and increased depreciation costs in connection with the initiation or expansion of production in lower-labor-cost regions. In addition, as we implement transfers of certain of our operations we may experience strikes or other types of labor unrest as a result of lay-offs or termination of our employees in high-labor-cost countries.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We are subject to the risks of political, economic and military instability in countries outside the United States in which we operate.</w:t>
      </w:r>
    </w:p>
    <w:p>
      <w:pPr>
        <w:spacing w:after="0" w:line="225"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We have operations outside the United States, and approximately 74% of our revenues during 2005 were derived from sales to customers outside the United States. Some of the countries in which we operate have in the past experienced and may continue to experience political, economic and military instability or unrest. These conditions could have an adverse impact on our ability to operate in these regions and, depending on the extent and severity of these conditions, could materially and adversely affect our overall financial condition and operating results. We have never experienced any material interruption in our Israeli operations in our 35 years of operations there, in spite of several Middle East crises, including wars. However, we might be adversely affected if events were to occur in the Middle East that interfered with our operations in Israel.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Our business may be adversely affected by the widespread outbreak of diseases.</w:t>
      </w:r>
    </w:p>
    <w:p>
      <w:pPr>
        <w:spacing w:after="0" w:line="225" w:lineRule="exact"/>
        <w:rPr>
          <w:sz w:val="20"/>
          <w:szCs w:val="20"/>
          <w:color w:val="auto"/>
        </w:rPr>
      </w:pPr>
    </w:p>
    <w:p>
      <w:pPr>
        <w:ind w:right="300"/>
        <w:spacing w:after="0" w:line="298" w:lineRule="auto"/>
        <w:rPr>
          <w:sz w:val="20"/>
          <w:szCs w:val="20"/>
          <w:color w:val="auto"/>
        </w:rPr>
      </w:pPr>
      <w:r>
        <w:rPr>
          <w:rFonts w:ascii="Arial" w:cs="Arial" w:eastAsia="Arial" w:hAnsi="Arial"/>
          <w:sz w:val="16"/>
          <w:szCs w:val="16"/>
          <w:color w:val="auto"/>
        </w:rPr>
        <w:t>The outbreak of severe acute respiratory syndrome, or SARS, that began in the People’s Republic of China adversely affected our business during the first six months of 2003, particularly in Asia where we derive approximately 35% to 40% of our revenue. This impact included disruptions in the operations of our customers, a slowdown in customer orders and reduced sales in certain end markets. If an outbreak of SARS or another disease were to recur on a comparable scale in Asia or elsewhere, we could experience similar disruptions to our business.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59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i w:val="1"/>
          <w:iCs w:val="1"/>
          <w:color w:val="auto"/>
        </w:rPr>
        <w:t>General Economic and Business Factors</w:t>
      </w:r>
    </w:p>
    <w:p>
      <w:pPr>
        <w:spacing w:after="0" w:line="225"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In addition to the factors relating specifically to our business, a variety of other factors relating to general conditions could cause actual results, performance, or achievements to differ materially from those expressed in any of our forward-looking statements. These factors include:</w:t>
      </w:r>
    </w:p>
    <w:p>
      <w:pPr>
        <w:spacing w:after="0" w:line="139" w:lineRule="exact"/>
        <w:rPr>
          <w:sz w:val="20"/>
          <w:szCs w:val="20"/>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overall economic and business conditions;</w:t>
      </w:r>
    </w:p>
    <w:p>
      <w:pPr>
        <w:spacing w:after="0" w:line="15"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competitive factors in the industries in which we conduct our business;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governmental regulation;</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changes in tax requirements, including tax rate changes, new tax laws, and revised tax law interpretations;</w:t>
      </w:r>
    </w:p>
    <w:p>
      <w:pPr>
        <w:spacing w:after="0" w:line="9" w:lineRule="exact"/>
        <w:rPr>
          <w:rFonts w:ascii="Arial" w:cs="Arial" w:eastAsia="Arial" w:hAnsi="Arial"/>
          <w:sz w:val="18"/>
          <w:szCs w:val="18"/>
          <w:color w:val="auto"/>
        </w:rPr>
      </w:pPr>
    </w:p>
    <w:p>
      <w:pPr>
        <w:ind w:left="1160" w:hanging="571"/>
        <w:spacing w:after="0"/>
        <w:tabs>
          <w:tab w:leader="none" w:pos="1160" w:val="left"/>
        </w:tabs>
        <w:numPr>
          <w:ilvl w:val="0"/>
          <w:numId w:val="8"/>
        </w:numPr>
        <w:rPr>
          <w:rFonts w:ascii="Arial" w:cs="Arial" w:eastAsia="Arial" w:hAnsi="Arial"/>
          <w:sz w:val="16"/>
          <w:szCs w:val="16"/>
          <w:color w:val="auto"/>
        </w:rPr>
      </w:pPr>
      <w:r>
        <w:rPr>
          <w:rFonts w:ascii="Arial" w:cs="Arial" w:eastAsia="Arial" w:hAnsi="Arial"/>
          <w:sz w:val="16"/>
          <w:szCs w:val="16"/>
          <w:color w:val="auto"/>
        </w:rPr>
        <w:t>changes in generally accepted accounting principles or interpretations of those principles by governmental agencies and self-regulatory groups;</w:t>
      </w:r>
    </w:p>
    <w:p>
      <w:pPr>
        <w:spacing w:after="0" w:line="32" w:lineRule="exact"/>
        <w:rPr>
          <w:rFonts w:ascii="Arial" w:cs="Arial" w:eastAsia="Arial" w:hAnsi="Arial"/>
          <w:sz w:val="16"/>
          <w:szCs w:val="16"/>
          <w:color w:val="auto"/>
        </w:rPr>
      </w:pPr>
    </w:p>
    <w:p>
      <w:pPr>
        <w:ind w:left="1160" w:hanging="571"/>
        <w:spacing w:after="0"/>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interest rate fluctuations, foreign currency rate fluctuations, and other capital market conditions; and</w:t>
      </w:r>
    </w:p>
    <w:p>
      <w:pPr>
        <w:spacing w:after="0" w:line="9" w:lineRule="exact"/>
        <w:rPr>
          <w:rFonts w:ascii="Arial" w:cs="Arial" w:eastAsia="Arial" w:hAnsi="Arial"/>
          <w:sz w:val="18"/>
          <w:szCs w:val="18"/>
          <w:color w:val="auto"/>
        </w:rPr>
      </w:pPr>
    </w:p>
    <w:p>
      <w:pPr>
        <w:ind w:left="1160" w:right="420" w:hanging="571"/>
        <w:spacing w:after="0" w:line="261" w:lineRule="auto"/>
        <w:tabs>
          <w:tab w:leader="none" w:pos="11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economic and political conditions in international markets, including governmental changes and restrictions on the ability to transfer capital across borders.</w:t>
      </w:r>
    </w:p>
    <w:p>
      <w:pPr>
        <w:spacing w:after="0" w:line="192" w:lineRule="exact"/>
        <w:rPr>
          <w:sz w:val="20"/>
          <w:szCs w:val="20"/>
          <w:color w:val="auto"/>
        </w:rPr>
      </w:pPr>
    </w:p>
    <w:p>
      <w:pPr>
        <w:jc w:val="both"/>
        <w:ind w:right="220"/>
        <w:spacing w:after="0" w:line="306" w:lineRule="auto"/>
        <w:rPr>
          <w:sz w:val="20"/>
          <w:szCs w:val="20"/>
          <w:color w:val="auto"/>
        </w:rPr>
      </w:pPr>
      <w:r>
        <w:rPr>
          <w:rFonts w:ascii="Arial" w:cs="Arial" w:eastAsia="Arial" w:hAnsi="Arial"/>
          <w:sz w:val="16"/>
          <w:szCs w:val="16"/>
          <w:color w:val="auto"/>
        </w:rPr>
        <w:t>Our common stock, traded on the New York Stock Exchange, has in the past experienced, and may continue to experience, significant fluctuations in price and volume. We believe that the financial performance and activities of other publicly traded companies in the electronic component and semiconductor industries could cause the price of our common stock to fluctuate substantially without regard to our operating performance.</w:t>
      </w:r>
    </w:p>
    <w:p>
      <w:pPr>
        <w:spacing w:after="0" w:line="161"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We operate in a continually changing business environment, and new factors emerge from time to time. Other unknown and unpredictable factors also could have a material adverse effect on our future results, performance, or achievements.</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1B</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UNRESOLVED STAFF COMMENTS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590" w:right="259" w:bottom="1440" w:gutter="0" w:footer="0" w:header="0"/>
        </w:sectPr>
      </w:pPr>
    </w:p>
    <w:bookmarkStart w:id="24" w:name="page25"/>
    <w:bookmarkEnd w:id="24"/>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2.</w:t>
      </w:r>
      <w:r>
        <w:rPr>
          <w:sz w:val="20"/>
          <w:szCs w:val="20"/>
          <w:color w:val="auto"/>
        </w:rPr>
        <w:tab/>
      </w:r>
      <w:r>
        <w:rPr>
          <w:rFonts w:ascii="Arial" w:cs="Arial" w:eastAsia="Arial" w:hAnsi="Arial"/>
          <w:sz w:val="16"/>
          <w:szCs w:val="16"/>
          <w:b w:val="1"/>
          <w:bCs w:val="1"/>
          <w:u w:val="single" w:color="auto"/>
          <w:color w:val="auto"/>
        </w:rPr>
        <w:t>PROPERTIES</w:t>
      </w:r>
    </w:p>
    <w:p>
      <w:pPr>
        <w:spacing w:after="0" w:line="231"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As of December 31, 2005, we maintained approximately 67 manufacturing facilities. The principal locations of such facilities, along with available space including administrative offices, are:</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760" w:type="dxa"/>
            <w:vAlign w:val="bottom"/>
          </w:tcPr>
          <w:p>
            <w:pPr>
              <w:jc w:val="right"/>
              <w:ind w:right="292"/>
              <w:spacing w:after="0"/>
              <w:rPr>
                <w:sz w:val="20"/>
                <w:szCs w:val="20"/>
                <w:color w:val="auto"/>
              </w:rPr>
            </w:pPr>
            <w:r>
              <w:rPr>
                <w:rFonts w:ascii="Arial" w:cs="Arial" w:eastAsia="Arial" w:hAnsi="Arial"/>
                <w:sz w:val="14"/>
                <w:szCs w:val="14"/>
                <w:b w:val="1"/>
                <w:bCs w:val="1"/>
                <w:color w:val="auto"/>
              </w:rPr>
              <w:t>Approx. Available</w:t>
            </w:r>
          </w:p>
        </w:tc>
      </w:tr>
      <w:tr>
        <w:trPr>
          <w:trHeight w:val="174"/>
        </w:trPr>
        <w:tc>
          <w:tcPr>
            <w:tcW w:w="4300" w:type="dxa"/>
            <w:vAlign w:val="bottom"/>
            <w:gridSpan w:val="5"/>
          </w:tcPr>
          <w:p>
            <w:pPr>
              <w:spacing w:after="0"/>
              <w:rPr>
                <w:sz w:val="20"/>
                <w:szCs w:val="20"/>
                <w:color w:val="auto"/>
              </w:rPr>
            </w:pPr>
            <w:r>
              <w:rPr>
                <w:rFonts w:ascii="Arial" w:cs="Arial" w:eastAsia="Arial" w:hAnsi="Arial"/>
                <w:sz w:val="14"/>
                <w:szCs w:val="14"/>
                <w:b w:val="1"/>
                <w:bCs w:val="1"/>
                <w:color w:val="auto"/>
              </w:rPr>
              <w:t>Owned Locations</w:t>
            </w:r>
          </w:p>
        </w:tc>
        <w:tc>
          <w:tcPr>
            <w:tcW w:w="540" w:type="dxa"/>
            <w:vAlign w:val="bottom"/>
          </w:tcPr>
          <w:p>
            <w:pPr>
              <w:spacing w:after="0"/>
              <w:rPr>
                <w:sz w:val="15"/>
                <w:szCs w:val="15"/>
                <w:color w:val="auto"/>
              </w:rPr>
            </w:pPr>
          </w:p>
        </w:tc>
        <w:tc>
          <w:tcPr>
            <w:tcW w:w="4300" w:type="dxa"/>
            <w:vAlign w:val="bottom"/>
          </w:tcPr>
          <w:p>
            <w:pPr>
              <w:ind w:left="1620"/>
              <w:spacing w:after="0"/>
              <w:rPr>
                <w:sz w:val="20"/>
                <w:szCs w:val="20"/>
                <w:color w:val="auto"/>
              </w:rPr>
            </w:pPr>
            <w:r>
              <w:rPr>
                <w:rFonts w:ascii="Arial" w:cs="Arial" w:eastAsia="Arial" w:hAnsi="Arial"/>
                <w:sz w:val="14"/>
                <w:szCs w:val="14"/>
                <w:b w:val="1"/>
                <w:bCs w:val="1"/>
                <w:color w:val="auto"/>
              </w:rPr>
              <w:t>Business Segment</w:t>
            </w:r>
          </w:p>
        </w:tc>
        <w:tc>
          <w:tcPr>
            <w:tcW w:w="540" w:type="dxa"/>
            <w:vAlign w:val="bottom"/>
          </w:tcPr>
          <w:p>
            <w:pPr>
              <w:spacing w:after="0"/>
              <w:rPr>
                <w:sz w:val="15"/>
                <w:szCs w:val="15"/>
                <w:color w:val="auto"/>
              </w:rPr>
            </w:pPr>
          </w:p>
        </w:tc>
        <w:tc>
          <w:tcPr>
            <w:tcW w:w="1760" w:type="dxa"/>
            <w:vAlign w:val="bottom"/>
          </w:tcPr>
          <w:p>
            <w:pPr>
              <w:jc w:val="right"/>
              <w:ind w:right="252"/>
              <w:spacing w:after="0"/>
              <w:rPr>
                <w:sz w:val="20"/>
                <w:szCs w:val="20"/>
                <w:color w:val="auto"/>
              </w:rPr>
            </w:pPr>
            <w:r>
              <w:rPr>
                <w:rFonts w:ascii="Arial" w:cs="Arial" w:eastAsia="Arial" w:hAnsi="Arial"/>
                <w:sz w:val="14"/>
                <w:szCs w:val="14"/>
                <w:b w:val="1"/>
                <w:bCs w:val="1"/>
                <w:color w:val="auto"/>
              </w:rPr>
              <w:t>Space (Square Feet)</w:t>
            </w:r>
          </w:p>
        </w:tc>
      </w:tr>
      <w:tr>
        <w:trPr>
          <w:trHeight w:val="95"/>
        </w:trPr>
        <w:tc>
          <w:tcPr>
            <w:tcW w:w="16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68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30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760" w:type="dxa"/>
            <w:vAlign w:val="bottom"/>
            <w:tcBorders>
              <w:bottom w:val="single" w:sz="8" w:color="auto"/>
            </w:tcBorders>
          </w:tcPr>
          <w:p>
            <w:pPr>
              <w:spacing w:after="0"/>
              <w:rPr>
                <w:sz w:val="8"/>
                <w:szCs w:val="8"/>
                <w:color w:val="auto"/>
              </w:rPr>
            </w:pPr>
          </w:p>
        </w:tc>
      </w:tr>
      <w:tr>
        <w:trPr>
          <w:trHeight w:val="277"/>
        </w:trPr>
        <w:tc>
          <w:tcPr>
            <w:tcW w:w="4300" w:type="dxa"/>
            <w:vAlign w:val="bottom"/>
            <w:gridSpan w:val="5"/>
          </w:tcPr>
          <w:p>
            <w:pPr>
              <w:jc w:val="center"/>
              <w:spacing w:after="0"/>
              <w:rPr>
                <w:sz w:val="20"/>
                <w:szCs w:val="20"/>
                <w:color w:val="auto"/>
              </w:rPr>
            </w:pPr>
            <w:r>
              <w:rPr>
                <w:rFonts w:ascii="Arial" w:cs="Arial" w:eastAsia="Arial" w:hAnsi="Arial"/>
                <w:sz w:val="18"/>
                <w:szCs w:val="18"/>
                <w:color w:val="auto"/>
                <w:w w:val="86"/>
              </w:rPr>
              <w:t>United States</w:t>
            </w:r>
          </w:p>
        </w:tc>
        <w:tc>
          <w:tcPr>
            <w:tcW w:w="54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760" w:type="dxa"/>
            <w:vAlign w:val="bottom"/>
          </w:tcPr>
          <w:p>
            <w:pPr>
              <w:spacing w:after="0"/>
              <w:rPr>
                <w:sz w:val="24"/>
                <w:szCs w:val="24"/>
                <w:color w:val="auto"/>
              </w:rPr>
            </w:pPr>
          </w:p>
        </w:tc>
      </w:tr>
      <w:tr>
        <w:trPr>
          <w:trHeight w:val="228"/>
        </w:trPr>
        <w:tc>
          <w:tcPr>
            <w:tcW w:w="1680" w:type="dxa"/>
            <w:vAlign w:val="bottom"/>
          </w:tcPr>
          <w:p>
            <w:pPr>
              <w:spacing w:after="0"/>
              <w:rPr>
                <w:sz w:val="20"/>
                <w:szCs w:val="20"/>
                <w:color w:val="auto"/>
              </w:rPr>
            </w:pPr>
            <w:r>
              <w:rPr>
                <w:rFonts w:ascii="Arial" w:cs="Arial" w:eastAsia="Arial" w:hAnsi="Arial"/>
                <w:sz w:val="18"/>
                <w:szCs w:val="18"/>
                <w:color w:val="auto"/>
              </w:rPr>
              <w:t>Santa Clara, CA</w:t>
            </w:r>
          </w:p>
        </w:tc>
        <w:tc>
          <w:tcPr>
            <w:tcW w:w="940" w:type="dxa"/>
            <w:vAlign w:val="bottom"/>
            <w:tcBorders>
              <w:top w:val="single" w:sz="8" w:color="auto"/>
            </w:tcBorders>
            <w:gridSpan w:val="3"/>
          </w:tcPr>
          <w:p>
            <w:pPr>
              <w:spacing w:after="0"/>
              <w:rPr>
                <w:sz w:val="19"/>
                <w:szCs w:val="19"/>
                <w:color w:val="auto"/>
              </w:rPr>
            </w:pPr>
          </w:p>
        </w:tc>
        <w:tc>
          <w:tcPr>
            <w:tcW w:w="1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Semiconductors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220,000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Wendell and Statesville, NC</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159,000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Columbus, NE</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158,000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Monroe, CT</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91,000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Malvern, PA</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79,000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Yankton, SD</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58,000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Warwick, RI</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55,000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Bennington, VT</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54,000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Grafton, WI</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49,000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Hagerstown, MD</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39,000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Niagara Falls, NY</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38,000</w:t>
            </w:r>
          </w:p>
        </w:tc>
      </w:tr>
      <w:tr>
        <w:trPr>
          <w:trHeight w:val="184"/>
        </w:trPr>
        <w:tc>
          <w:tcPr>
            <w:tcW w:w="1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Borders>
              <w:bottom w:val="single" w:sz="8" w:color="auto"/>
            </w:tcBorders>
          </w:tcPr>
          <w:p>
            <w:pPr>
              <w:jc w:val="center"/>
              <w:spacing w:after="0" w:line="184" w:lineRule="exact"/>
              <w:rPr>
                <w:sz w:val="20"/>
                <w:szCs w:val="20"/>
                <w:color w:val="auto"/>
              </w:rPr>
            </w:pPr>
            <w:r>
              <w:rPr>
                <w:rFonts w:ascii="Arial" w:cs="Arial" w:eastAsia="Arial" w:hAnsi="Arial"/>
                <w:sz w:val="18"/>
                <w:szCs w:val="18"/>
                <w:color w:val="auto"/>
                <w:w w:val="91"/>
              </w:rPr>
              <w:t>Non-U.S.</w:t>
            </w:r>
          </w:p>
        </w:tc>
        <w:tc>
          <w:tcPr>
            <w:tcW w:w="1820" w:type="dxa"/>
            <w:vAlign w:val="bottom"/>
            <w:gridSpan w:val="2"/>
          </w:tcPr>
          <w:p>
            <w:pPr>
              <w:spacing w:after="0"/>
              <w:rPr>
                <w:sz w:val="15"/>
                <w:szCs w:val="15"/>
                <w:color w:val="auto"/>
              </w:rPr>
            </w:pPr>
          </w:p>
        </w:tc>
        <w:tc>
          <w:tcPr>
            <w:tcW w:w="54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760" w:type="dxa"/>
            <w:vAlign w:val="bottom"/>
          </w:tcPr>
          <w:p>
            <w:pPr>
              <w:spacing w:after="0"/>
              <w:rPr>
                <w:sz w:val="15"/>
                <w:szCs w:val="15"/>
                <w:color w:val="auto"/>
              </w:rPr>
            </w:pPr>
          </w:p>
        </w:tc>
      </w:tr>
      <w:tr>
        <w:trPr>
          <w:trHeight w:val="228"/>
        </w:trPr>
        <w:tc>
          <w:tcPr>
            <w:tcW w:w="4300" w:type="dxa"/>
            <w:vAlign w:val="bottom"/>
            <w:gridSpan w:val="5"/>
          </w:tcPr>
          <w:p>
            <w:pPr>
              <w:spacing w:after="0"/>
              <w:rPr>
                <w:sz w:val="20"/>
                <w:szCs w:val="20"/>
                <w:color w:val="auto"/>
              </w:rPr>
            </w:pPr>
            <w:r>
              <w:rPr>
                <w:rFonts w:ascii="Arial" w:cs="Arial" w:eastAsia="Arial" w:hAnsi="Arial"/>
                <w:sz w:val="18"/>
                <w:szCs w:val="18"/>
                <w:color w:val="auto"/>
              </w:rPr>
              <w:t>Israel (5 locations)</w:t>
            </w:r>
          </w:p>
        </w:tc>
        <w:tc>
          <w:tcPr>
            <w:tcW w:w="5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Semiconductors and 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1,008,000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People’s Republic of China (3 locations)</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Semiconductors and 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584,000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Belgium (2 locations)</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498,000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Czech Republic (4 locations)</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446,000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Republic of China (Taiwan) (3 locations)</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Semiconductors and 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397,000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Germany (3 locations)</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Semiconductors and 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339,000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Portugal</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301,000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Hungary (2 locations)</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294,000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Netherlands</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286,000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France (2 locations)</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259,000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India</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252,000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Austria</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Semiconductors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153,000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Philippines</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149,000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Malaysia</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Semiconductors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113,000</w:t>
            </w:r>
          </w:p>
        </w:tc>
      </w:tr>
      <w:tr>
        <w:trPr>
          <w:trHeight w:val="216"/>
        </w:trPr>
        <w:tc>
          <w:tcPr>
            <w:tcW w:w="4300" w:type="dxa"/>
            <w:vAlign w:val="bottom"/>
            <w:gridSpan w:val="5"/>
          </w:tcPr>
          <w:p>
            <w:pPr>
              <w:spacing w:after="0"/>
              <w:rPr>
                <w:sz w:val="20"/>
                <w:szCs w:val="20"/>
                <w:color w:val="auto"/>
              </w:rPr>
            </w:pPr>
            <w:r>
              <w:rPr>
                <w:rFonts w:ascii="Arial" w:cs="Arial" w:eastAsia="Arial" w:hAnsi="Arial"/>
                <w:sz w:val="18"/>
                <w:szCs w:val="18"/>
                <w:color w:val="auto"/>
              </w:rPr>
              <w:t>Mexico</w:t>
            </w:r>
          </w:p>
        </w:tc>
        <w:tc>
          <w:tcPr>
            <w:tcW w:w="54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57,000</w:t>
            </w:r>
          </w:p>
        </w:tc>
      </w:tr>
      <w:tr>
        <w:trPr>
          <w:trHeight w:val="222"/>
        </w:trPr>
        <w:tc>
          <w:tcPr>
            <w:tcW w:w="4300" w:type="dxa"/>
            <w:vAlign w:val="bottom"/>
            <w:gridSpan w:val="5"/>
          </w:tcPr>
          <w:p>
            <w:pPr>
              <w:spacing w:after="0"/>
              <w:rPr>
                <w:sz w:val="20"/>
                <w:szCs w:val="20"/>
                <w:color w:val="auto"/>
              </w:rPr>
            </w:pPr>
            <w:r>
              <w:rPr>
                <w:rFonts w:ascii="Arial" w:cs="Arial" w:eastAsia="Arial" w:hAnsi="Arial"/>
                <w:sz w:val="18"/>
                <w:szCs w:val="18"/>
                <w:color w:val="auto"/>
              </w:rPr>
              <w:t>Japan</w:t>
            </w:r>
          </w:p>
        </w:tc>
        <w:tc>
          <w:tcPr>
            <w:tcW w:w="54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Passive Components</w:t>
            </w:r>
          </w:p>
        </w:tc>
        <w:tc>
          <w:tcPr>
            <w:tcW w:w="2300" w:type="dxa"/>
            <w:vAlign w:val="bottom"/>
            <w:gridSpan w:val="2"/>
          </w:tcPr>
          <w:p>
            <w:pPr>
              <w:jc w:val="right"/>
              <w:spacing w:after="0"/>
              <w:rPr>
                <w:sz w:val="20"/>
                <w:szCs w:val="20"/>
                <w:color w:val="auto"/>
              </w:rPr>
            </w:pPr>
            <w:r>
              <w:rPr>
                <w:rFonts w:ascii="Arial" w:cs="Arial" w:eastAsia="Arial" w:hAnsi="Arial"/>
                <w:sz w:val="18"/>
                <w:szCs w:val="18"/>
                <w:color w:val="auto"/>
              </w:rPr>
              <w:t>45,000</w:t>
            </w:r>
          </w:p>
        </w:tc>
      </w:tr>
    </w:tbl>
    <w:p>
      <w:pPr>
        <w:spacing w:after="0" w:line="210"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Leased facilities in the United States include 197,000 square feet of space located in California (Passive Components), Connecticut (Passive Components), New York (Semiconductors), and South Dakota (Passive Components). Foreign leased facilities consist of 776,000 square feet in China (Semiconductors and Passive Components), 192,000 square feet in Mexico (Passive Components), 120,000 square feet in Austria (Passive Components), 116,000 square feet in Germany (Semiconductors and Passive Components), 77,000 square feet in the Czech Republic (Passive Components), 53,000 square feet in Israel (Semiconductors and Passive Components), 40,000 square feet in Sweden (Passive Components), 13,000 square feet in the United Kingdom (Passive Components), and 3,000 square feet in Taiwan (Semiconductors).</w:t>
      </w:r>
    </w:p>
    <w:p>
      <w:pPr>
        <w:spacing w:after="0" w:line="198"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color w:val="auto"/>
        </w:rPr>
        <w:t>In the opinion of management, our properties and equipment generally are in good operating condition and are adequate for our present needs. We do not anticipate difficulty in renewing existing leases as they expire or in finding alternative facilities.</w:t>
      </w:r>
    </w:p>
    <w:p>
      <w:pPr>
        <w:spacing w:after="0" w:line="186"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40"/>
          </w:cols>
          <w:pgMar w:left="240" w:top="368" w:right="219" w:bottom="1440" w:gutter="0" w:footer="0" w:header="0"/>
        </w:sectPr>
      </w:pPr>
    </w:p>
    <w:bookmarkStart w:id="25" w:name="page26"/>
    <w:bookmarkEnd w:id="25"/>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3</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LEGAL PROCEEDINGS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From time to time we are involved in routine litigation incidental to our business. Management believes that such matters, either individually or in the aggregate, should not have a material adverse effect on our business or financial condition.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 Matters</w:t>
      </w:r>
    </w:p>
    <w:p>
      <w:pPr>
        <w:spacing w:after="0" w:line="23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We are engaged in discussions with various parties regarding patent licensing and cross patent licensing issues. In addition, we have observed that in the current electronic component and semiconductor industry business environment, companies have become more aggressive in asserting and defending patent claims against competitors. While we will continue to vigorously defend our intellectual property rights, we may become party to disputes regarding patent licensing and cross patent licensing. An unfavorable outcome regarding one of these intellectual property matters could have a material adverse effect on our business and operating results.</w:t>
      </w:r>
    </w:p>
    <w:p>
      <w:pPr>
        <w:spacing w:after="0" w:line="197"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When we believe other companies are misappropriating our intellectual property rights, we vigorously enforce those rights through legal action, and we intend to continue to do so. During 2004, we settled two suits which we had initiated to enforce our intellectual property rights. We are receiving royalties on sales of these companies’ products which use our technology. We presently have other pending legal actions that we have initiated against companies which we believe are misappropriating our intellectual property rights.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Siliconix Shareholder Matters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Proctor Litigation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January 2005, an amended class action complaint was filed in the Superior Court of California on behalf of all non-Vishay stockholders of Siliconix against Vishay, Ernst &amp; Young LLP (the independent registered public accounting firm that audits the Company’s financial statements), Dr. Felix Zandman, Chairman and Chief Technical and Business Development Officer of Vishay, and, as a nominal defendant, Siliconix. The suit purports to state various derivative and class claims against the defendants including the purported taking by Vishay of Siliconix sales subsidiaries and the profits of those subsidiaries; the purported taking by Vishay of Siliconix’s SAP software system without compensation to Siliconix; the alleged use by Vishay of Siliconix’s assets as security for Vishay loans without compensation to Siliconix; the purported misappropriation by Vishay of Siliconix’s identity; the alleged taking by Vishay of Siliconix testing equipment; the alleged use by Vishay of Siliconix to save Vishay certain credits made available by an Israeli business development agency; the alleged misuse by Vishay of Siliconix’s patents to help Vishay acquire General Semiconductor; and the allegedly improper identification of Dr. Zandman as a co-inventor on certain Siliconix patents. The action seeks injunctive relief and unspecified damages.</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color w:val="auto"/>
        </w:rPr>
        <w:t>On April 1, 2005, Vishay (i) demurred to the class action claim in the amended complaint, on the ground that plaintiffs lack standing to bring a direct claim,</w:t>
      </w:r>
    </w:p>
    <w:p>
      <w:pPr>
        <w:spacing w:after="0" w:line="38" w:lineRule="exact"/>
        <w:rPr>
          <w:sz w:val="20"/>
          <w:szCs w:val="20"/>
          <w:color w:val="auto"/>
        </w:rPr>
      </w:pPr>
    </w:p>
    <w:p>
      <w:pPr>
        <w:ind w:firstLine="8"/>
        <w:spacing w:after="0" w:line="290" w:lineRule="auto"/>
        <w:tabs>
          <w:tab w:leader="none" w:pos="258" w:val="left"/>
        </w:tabs>
        <w:numPr>
          <w:ilvl w:val="0"/>
          <w:numId w:val="9"/>
        </w:numPr>
        <w:rPr>
          <w:rFonts w:ascii="Arial" w:cs="Arial" w:eastAsia="Arial" w:hAnsi="Arial"/>
          <w:sz w:val="16"/>
          <w:szCs w:val="16"/>
          <w:color w:val="auto"/>
        </w:rPr>
      </w:pPr>
      <w:r>
        <w:rPr>
          <w:rFonts w:ascii="Arial" w:cs="Arial" w:eastAsia="Arial" w:hAnsi="Arial"/>
          <w:sz w:val="16"/>
          <w:szCs w:val="16"/>
          <w:color w:val="auto"/>
        </w:rPr>
        <w:t>moved to strike some of the allegations in the derivative cause of action as barred by the applicable statutes of limitation, and (iii) moved to dismiss the complaint on the ground that plaintiffs failed to prosecute their claims in a timely manner. Also on April 1, 2005, defendant Ernst &amp; Young moved to dismiss the claims against it and, in the alternative, for a stay of the litigation so that the causes of action asserted against Ernst &amp; Young may first be arbitrated. On June 10, 2005, Vishay and Ernst &amp; Young separately demurred to the derivative claim on the ground that as a consequence of the merger of Siliconix with a subsidiary of Vishay, plaintiffs no longer had standing to pursue a derivative claim. At a hearing on August 2, 2005, the Court sustained the parties’ demurrers to the direct and the derivative claims and granted plaintiffs leave to replead both claims.</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An amended complaint was filed in November 2005. Both Vishay and Ernst &amp; Young have demurred to the complaint, primarily on the ground that plaintiffs lack standing because of the nature of their claims and because they are no longer Siliconix shareholders.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00"/>
          </w:cols>
          <w:pgMar w:left="240" w:top="368"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Tender Offer Litigation</w:t>
      </w:r>
    </w:p>
    <w:p>
      <w:pPr>
        <w:spacing w:after="0" w:line="225"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As further described in Note 2 to our consolidated condensed financial statements, on May 12, 2005, Vishay successfully completed a tender offer for shares of Siliconix not owned by Vishay. Following the announcement of Vishay’s intention to make the tender offer for the remaining shares of Siliconix that Vishay did not already own, several purported class-action complaints were filed in the Delaware Chancery Court against Vishay, Siliconix, and the Siliconix directors, alleging, among other things, that the intended offer was unfair and a breach of fiduciary duty, and seeking, among other things, to enjoin the transaction. These actions were consolidated into a single class action, and the plaintiffs filed an amended complaint on April 18, 2005 further alleging that defendants failed to disclose or misrepresented material information relating to the tender offer. On April 28, 2005, the parties to the Delaware consolidated action executed a memorandum of understanding providing for the settlement of all claims relating to the tender offer. The settlement agreement reached with the plaintiffs was approved by the court on October 25, 2005.</w:t>
      </w:r>
    </w:p>
    <w:p>
      <w:pPr>
        <w:spacing w:after="0" w:line="172" w:lineRule="exact"/>
        <w:rPr>
          <w:sz w:val="20"/>
          <w:szCs w:val="20"/>
          <w:color w:val="auto"/>
        </w:rPr>
      </w:pPr>
    </w:p>
    <w:p>
      <w:pPr>
        <w:ind w:right="160"/>
        <w:spacing w:after="0" w:line="256" w:lineRule="auto"/>
        <w:rPr>
          <w:sz w:val="20"/>
          <w:szCs w:val="20"/>
          <w:color w:val="auto"/>
        </w:rPr>
      </w:pPr>
      <w:r>
        <w:rPr>
          <w:rFonts w:ascii="Arial" w:cs="Arial" w:eastAsia="Arial" w:hAnsi="Arial"/>
          <w:sz w:val="18"/>
          <w:szCs w:val="18"/>
          <w:color w:val="auto"/>
        </w:rPr>
        <w:t>A single stockholder class action also was filed in California state court challenging the tender offer. On April 26, 2005, the California Superior Court granted Vishay’s motion to stay the purported class action filed in California challenging the offer. A court status conference is scheduled for April 18, 2006 to address whether the named plaintiff intends to ask the court to lift the stay. Vishay will seek formal dismissal of this action, as, in its opinion, the court approval of the settlement of the Delaware consolidated action makes the California action moot.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Stockholders Seeking Appraisal Rights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May 16, 2005, Vishay effected a merger of a subsidiary of Vishay with and into Siliconix, as a result of which Siliconix became a wholly owned subsidiary of Vishay. In the merger, each share of Siliconix stock, other than those owned by Vishay and its subsidiaries, was converted into the right to receive 3.075 shares of Vishay common stock, subject to the right of Siliconix’s remaining stockholders to seek appraisal under Delaware law. The exercise period for filing a petition asserting appraisal rights under Delaware law expired on September 14, 2005. Although several holders notified the Company of their desire to exercise their appraisal rights, these holders either subsequently withdrew or otherwise did not validly assert those rights before the expiration date.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Vishay is involved in environmental remediation programs at various sites currently or formerly owned by Vishay and its subsidiaries, in addition to involvement as a potentially responsible party (“PRP”) at three Superfund sites. Certain obligations as a PRP have arisen in connection with business acquisitions. The remediation programs are on-going at two currently operating U.S. facilities, eight currently operating non-U.S. facilities, eight formerly owned U.S. sites, and one formerly owned non-U.S. site.</w:t>
      </w:r>
    </w:p>
    <w:p>
      <w:pPr>
        <w:spacing w:after="0" w:line="197"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ultimate cost of site cleanup is difficult to predict given the uncertainties regarding the extent of the required cleanup, the interpretation of applicable laws and regulations, and alternative cleanup methods. Based upon our experience with the foregoing environmental matters, we have concluded that there is at least a reasonable possibility that we will incur remedial costs in the range of $30 million to $40 million. As of December 31, 2005, we concluded that the best estimate within this range is $33.7 million, of which $28.6 million is included in other noncurrent liabilities on the consolidated balance sheet, and $5.1 million is included in accrued expenses on the consolidated balance sheet. Of the $33.7 million accrual, approximately $17.4 million is due to liabilities assumed in the acquisition of General Semiconductor; approximately $7.3 million is due to liabilities assumed in the acquisition of BCcomponents; and approximately $9.0 million is reserved for other miscellaneous environmental liabilities, the most significant of which is related to our Vitramon subsidiary in the United States. In view of our financial position and provisions for environmental matters of $33.7 million, we have concluded that any potential payment of such estimated amounts will not have a material adverse effect on our consolidated financial position, results of operations or liquidity.</w:t>
      </w:r>
    </w:p>
    <w:p>
      <w:pPr>
        <w:spacing w:after="0" w:line="168"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4.</w:t>
      </w:r>
      <w:r>
        <w:rPr>
          <w:sz w:val="20"/>
          <w:szCs w:val="20"/>
          <w:color w:val="auto"/>
        </w:rPr>
        <w:tab/>
      </w:r>
      <w:r>
        <w:rPr>
          <w:rFonts w:ascii="Arial" w:cs="Arial" w:eastAsia="Arial" w:hAnsi="Arial"/>
          <w:sz w:val="16"/>
          <w:szCs w:val="16"/>
          <w:b w:val="1"/>
          <w:bCs w:val="1"/>
          <w:u w:val="single" w:color="auto"/>
          <w:color w:val="auto"/>
        </w:rPr>
        <w:t>SUBMISSION OF MATTERS TO A VOTE OF SECURITY HOLDERS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00"/>
          </w:cols>
          <w:pgMar w:left="240" w:top="590" w:right="25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07"/>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4A.</w:t>
            </w:r>
          </w:p>
        </w:tc>
        <w:tc>
          <w:tcPr>
            <w:tcW w:w="4020" w:type="dxa"/>
            <w:vAlign w:val="bottom"/>
            <w:gridSpan w:val="4"/>
          </w:tcPr>
          <w:p>
            <w:pPr>
              <w:spacing w:after="0"/>
              <w:rPr>
                <w:sz w:val="20"/>
                <w:szCs w:val="20"/>
                <w:color w:val="auto"/>
              </w:rPr>
            </w:pPr>
            <w:r>
              <w:rPr>
                <w:rFonts w:ascii="Arial" w:cs="Arial" w:eastAsia="Arial" w:hAnsi="Arial"/>
                <w:sz w:val="18"/>
                <w:szCs w:val="18"/>
                <w:b w:val="1"/>
                <w:bCs w:val="1"/>
                <w:color w:val="auto"/>
              </w:rPr>
              <w:t>EXECUTIVE OFFICERS OF THE REGISTRANT</w:t>
            </w:r>
          </w:p>
        </w:tc>
        <w:tc>
          <w:tcPr>
            <w:tcW w:w="540" w:type="dxa"/>
            <w:vAlign w:val="bottom"/>
          </w:tcPr>
          <w:p>
            <w:pPr>
              <w:spacing w:after="0"/>
              <w:rPr>
                <w:sz w:val="17"/>
                <w:szCs w:val="17"/>
                <w:color w:val="auto"/>
              </w:rPr>
            </w:pPr>
          </w:p>
        </w:tc>
        <w:tc>
          <w:tcPr>
            <w:tcW w:w="5720" w:type="dxa"/>
            <w:vAlign w:val="bottom"/>
          </w:tcPr>
          <w:p>
            <w:pPr>
              <w:spacing w:after="0"/>
              <w:rPr>
                <w:sz w:val="17"/>
                <w:szCs w:val="17"/>
                <w:color w:val="auto"/>
              </w:rPr>
            </w:pPr>
          </w:p>
        </w:tc>
      </w:tr>
      <w:tr>
        <w:trPr>
          <w:trHeight w:val="20"/>
        </w:trPr>
        <w:tc>
          <w:tcPr>
            <w:tcW w:w="62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880" w:type="dxa"/>
            <w:vAlign w:val="bottom"/>
            <w:gridSpan w:val="3"/>
            <w:shd w:val="clear" w:color="auto" w:fill="000000"/>
          </w:tcPr>
          <w:p>
            <w:pPr>
              <w:spacing w:after="0" w:line="20" w:lineRule="exact"/>
              <w:rPr>
                <w:sz w:val="1"/>
                <w:szCs w:val="1"/>
                <w:color w:val="auto"/>
              </w:rPr>
            </w:pPr>
          </w:p>
        </w:tc>
        <w:tc>
          <w:tcPr>
            <w:tcW w:w="6400" w:type="dxa"/>
            <w:vAlign w:val="bottom"/>
            <w:gridSpan w:val="3"/>
          </w:tcPr>
          <w:p>
            <w:pPr>
              <w:spacing w:after="0" w:line="20" w:lineRule="exact"/>
              <w:rPr>
                <w:sz w:val="1"/>
                <w:szCs w:val="1"/>
                <w:color w:val="auto"/>
              </w:rPr>
            </w:pPr>
          </w:p>
        </w:tc>
      </w:tr>
      <w:tr>
        <w:trPr>
          <w:trHeight w:val="451"/>
        </w:trPr>
        <w:tc>
          <w:tcPr>
            <w:tcW w:w="11440" w:type="dxa"/>
            <w:vAlign w:val="bottom"/>
            <w:gridSpan w:val="8"/>
          </w:tcPr>
          <w:p>
            <w:pPr>
              <w:spacing w:after="0"/>
              <w:rPr>
                <w:sz w:val="20"/>
                <w:szCs w:val="20"/>
                <w:color w:val="auto"/>
              </w:rPr>
            </w:pPr>
            <w:r>
              <w:rPr>
                <w:rFonts w:ascii="Arial" w:cs="Arial" w:eastAsia="Arial" w:hAnsi="Arial"/>
                <w:sz w:val="18"/>
                <w:szCs w:val="18"/>
                <w:color w:val="auto"/>
              </w:rPr>
              <w:t>The following table sets forth certain information regarding our executive officers as of March 8, 2006:</w:t>
            </w:r>
          </w:p>
        </w:tc>
      </w:tr>
      <w:tr>
        <w:trPr>
          <w:trHeight w:val="380"/>
        </w:trPr>
        <w:tc>
          <w:tcPr>
            <w:tcW w:w="1160" w:type="dxa"/>
            <w:vAlign w:val="bottom"/>
            <w:gridSpan w:val="2"/>
          </w:tcPr>
          <w:p>
            <w:pPr>
              <w:spacing w:after="0"/>
              <w:rPr>
                <w:sz w:val="20"/>
                <w:szCs w:val="20"/>
                <w:color w:val="auto"/>
              </w:rPr>
            </w:pPr>
            <w:r>
              <w:rPr>
                <w:rFonts w:ascii="Arial" w:cs="Arial" w:eastAsia="Arial" w:hAnsi="Arial"/>
                <w:sz w:val="14"/>
                <w:szCs w:val="14"/>
                <w:b w:val="1"/>
                <w:bCs w:val="1"/>
                <w:color w:val="auto"/>
              </w:rPr>
              <w:t>Name</w:t>
            </w:r>
          </w:p>
        </w:tc>
        <w:tc>
          <w:tcPr>
            <w:tcW w:w="2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3"/>
              </w:rPr>
              <w:t>Age</w:t>
            </w:r>
          </w:p>
        </w:tc>
        <w:tc>
          <w:tcPr>
            <w:tcW w:w="540" w:type="dxa"/>
            <w:vAlign w:val="bottom"/>
          </w:tcPr>
          <w:p>
            <w:pPr>
              <w:spacing w:after="0"/>
              <w:rPr>
                <w:sz w:val="24"/>
                <w:szCs w:val="24"/>
                <w:color w:val="auto"/>
              </w:rPr>
            </w:pPr>
          </w:p>
        </w:tc>
        <w:tc>
          <w:tcPr>
            <w:tcW w:w="5720" w:type="dxa"/>
            <w:vAlign w:val="bottom"/>
          </w:tcPr>
          <w:p>
            <w:pPr>
              <w:ind w:left="2440"/>
              <w:spacing w:after="0"/>
              <w:rPr>
                <w:sz w:val="20"/>
                <w:szCs w:val="20"/>
                <w:color w:val="auto"/>
              </w:rPr>
            </w:pPr>
            <w:r>
              <w:rPr>
                <w:rFonts w:ascii="Arial" w:cs="Arial" w:eastAsia="Arial" w:hAnsi="Arial"/>
                <w:sz w:val="14"/>
                <w:szCs w:val="14"/>
                <w:b w:val="1"/>
                <w:bCs w:val="1"/>
                <w:color w:val="auto"/>
              </w:rPr>
              <w:t>Positions Held</w:t>
            </w:r>
          </w:p>
        </w:tc>
      </w:tr>
      <w:tr>
        <w:trPr>
          <w:trHeight w:val="95"/>
        </w:trPr>
        <w:tc>
          <w:tcPr>
            <w:tcW w:w="620" w:type="dxa"/>
            <w:vAlign w:val="bottom"/>
            <w:tcBorders>
              <w:bottom w:val="single" w:sz="8" w:color="auto"/>
            </w:tcBorders>
          </w:tcPr>
          <w:p>
            <w:pPr>
              <w:spacing w:after="0"/>
              <w:rPr>
                <w:sz w:val="8"/>
                <w:szCs w:val="8"/>
                <w:color w:val="auto"/>
              </w:rPr>
            </w:pPr>
          </w:p>
        </w:tc>
        <w:tc>
          <w:tcPr>
            <w:tcW w:w="2840" w:type="dxa"/>
            <w:vAlign w:val="bottom"/>
            <w:tcBorders>
              <w:bottom w:val="single" w:sz="8" w:color="auto"/>
            </w:tcBorders>
            <w:gridSpan w:val="2"/>
          </w:tcPr>
          <w:p>
            <w:pPr>
              <w:spacing w:after="0"/>
              <w:rPr>
                <w:sz w:val="8"/>
                <w:szCs w:val="8"/>
                <w:color w:val="auto"/>
              </w:rPr>
            </w:pPr>
          </w:p>
        </w:tc>
        <w:tc>
          <w:tcPr>
            <w:tcW w:w="5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5720" w:type="dxa"/>
            <w:vAlign w:val="bottom"/>
            <w:tcBorders>
              <w:bottom w:val="single" w:sz="8" w:color="auto"/>
            </w:tcBorders>
          </w:tcPr>
          <w:p>
            <w:pPr>
              <w:spacing w:after="0"/>
              <w:rPr>
                <w:sz w:val="8"/>
                <w:szCs w:val="8"/>
                <w:color w:val="auto"/>
              </w:rPr>
            </w:pPr>
          </w:p>
        </w:tc>
      </w:tr>
      <w:tr>
        <w:trPr>
          <w:trHeight w:val="316"/>
        </w:trPr>
        <w:tc>
          <w:tcPr>
            <w:tcW w:w="3460" w:type="dxa"/>
            <w:vAlign w:val="bottom"/>
            <w:gridSpan w:val="3"/>
          </w:tcPr>
          <w:p>
            <w:pPr>
              <w:spacing w:after="0"/>
              <w:rPr>
                <w:sz w:val="20"/>
                <w:szCs w:val="20"/>
                <w:color w:val="auto"/>
              </w:rPr>
            </w:pPr>
            <w:r>
              <w:rPr>
                <w:rFonts w:ascii="Arial" w:cs="Arial" w:eastAsia="Arial" w:hAnsi="Arial"/>
                <w:sz w:val="18"/>
                <w:szCs w:val="18"/>
                <w:color w:val="auto"/>
              </w:rPr>
              <w:t>Dr. Felix Zandman*</w:t>
            </w:r>
          </w:p>
        </w:tc>
        <w:tc>
          <w:tcPr>
            <w:tcW w:w="1580" w:type="dxa"/>
            <w:vAlign w:val="bottom"/>
            <w:gridSpan w:val="2"/>
          </w:tcPr>
          <w:p>
            <w:pPr>
              <w:jc w:val="center"/>
              <w:ind w:left="592"/>
              <w:spacing w:after="0"/>
              <w:rPr>
                <w:sz w:val="20"/>
                <w:szCs w:val="20"/>
                <w:color w:val="auto"/>
              </w:rPr>
            </w:pPr>
            <w:r>
              <w:rPr>
                <w:rFonts w:ascii="Arial" w:cs="Arial" w:eastAsia="Arial" w:hAnsi="Arial"/>
                <w:sz w:val="18"/>
                <w:szCs w:val="18"/>
                <w:color w:val="auto"/>
                <w:w w:val="89"/>
              </w:rPr>
              <w:t>77</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5"/>
              </w:rPr>
              <w:t>Chairman of the Board, Chief Technical and Business Development Officer</w:t>
            </w:r>
          </w:p>
        </w:tc>
      </w:tr>
      <w:tr>
        <w:trPr>
          <w:trHeight w:val="365"/>
        </w:trPr>
        <w:tc>
          <w:tcPr>
            <w:tcW w:w="3460" w:type="dxa"/>
            <w:vAlign w:val="bottom"/>
            <w:gridSpan w:val="3"/>
          </w:tcPr>
          <w:p>
            <w:pPr>
              <w:spacing w:after="0"/>
              <w:rPr>
                <w:sz w:val="20"/>
                <w:szCs w:val="20"/>
                <w:color w:val="auto"/>
              </w:rPr>
            </w:pPr>
            <w:r>
              <w:rPr>
                <w:rFonts w:ascii="Arial" w:cs="Arial" w:eastAsia="Arial" w:hAnsi="Arial"/>
                <w:sz w:val="18"/>
                <w:szCs w:val="18"/>
                <w:color w:val="auto"/>
              </w:rPr>
              <w:t>Dr. Gerald Paul*</w:t>
            </w:r>
          </w:p>
        </w:tc>
        <w:tc>
          <w:tcPr>
            <w:tcW w:w="1580" w:type="dxa"/>
            <w:vAlign w:val="bottom"/>
            <w:gridSpan w:val="2"/>
          </w:tcPr>
          <w:p>
            <w:pPr>
              <w:jc w:val="center"/>
              <w:ind w:left="592"/>
              <w:spacing w:after="0"/>
              <w:rPr>
                <w:sz w:val="20"/>
                <w:szCs w:val="20"/>
                <w:color w:val="auto"/>
              </w:rPr>
            </w:pPr>
            <w:r>
              <w:rPr>
                <w:rFonts w:ascii="Arial" w:cs="Arial" w:eastAsia="Arial" w:hAnsi="Arial"/>
                <w:sz w:val="18"/>
                <w:szCs w:val="18"/>
                <w:color w:val="auto"/>
                <w:w w:val="89"/>
              </w:rPr>
              <w:t>57</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w w:val="99"/>
              </w:rPr>
              <w:t>Chief Executive Officer, President, Chief Operating Officer, and Director</w:t>
            </w:r>
          </w:p>
        </w:tc>
      </w:tr>
      <w:tr>
        <w:trPr>
          <w:trHeight w:val="365"/>
        </w:trPr>
        <w:tc>
          <w:tcPr>
            <w:tcW w:w="3460" w:type="dxa"/>
            <w:vAlign w:val="bottom"/>
            <w:gridSpan w:val="3"/>
          </w:tcPr>
          <w:p>
            <w:pPr>
              <w:spacing w:after="0"/>
              <w:rPr>
                <w:sz w:val="20"/>
                <w:szCs w:val="20"/>
                <w:color w:val="auto"/>
              </w:rPr>
            </w:pPr>
            <w:r>
              <w:rPr>
                <w:rFonts w:ascii="Arial" w:cs="Arial" w:eastAsia="Arial" w:hAnsi="Arial"/>
                <w:sz w:val="18"/>
                <w:szCs w:val="18"/>
                <w:color w:val="auto"/>
              </w:rPr>
              <w:t>Marc Zandman*</w:t>
            </w:r>
          </w:p>
        </w:tc>
        <w:tc>
          <w:tcPr>
            <w:tcW w:w="1580" w:type="dxa"/>
            <w:vAlign w:val="bottom"/>
            <w:gridSpan w:val="2"/>
          </w:tcPr>
          <w:p>
            <w:pPr>
              <w:jc w:val="center"/>
              <w:ind w:left="592"/>
              <w:spacing w:after="0"/>
              <w:rPr>
                <w:sz w:val="20"/>
                <w:szCs w:val="20"/>
                <w:color w:val="auto"/>
              </w:rPr>
            </w:pPr>
            <w:r>
              <w:rPr>
                <w:rFonts w:ascii="Arial" w:cs="Arial" w:eastAsia="Arial" w:hAnsi="Arial"/>
                <w:sz w:val="18"/>
                <w:szCs w:val="18"/>
                <w:color w:val="auto"/>
                <w:w w:val="89"/>
              </w:rPr>
              <w:t>44</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Vice-Chairman of the Board, President-Vishay Israel Ltd.</w:t>
            </w:r>
          </w:p>
        </w:tc>
      </w:tr>
      <w:tr>
        <w:trPr>
          <w:trHeight w:val="365"/>
        </w:trPr>
        <w:tc>
          <w:tcPr>
            <w:tcW w:w="3460" w:type="dxa"/>
            <w:vAlign w:val="bottom"/>
            <w:gridSpan w:val="3"/>
          </w:tcPr>
          <w:p>
            <w:pPr>
              <w:spacing w:after="0"/>
              <w:rPr>
                <w:sz w:val="20"/>
                <w:szCs w:val="20"/>
                <w:color w:val="auto"/>
              </w:rPr>
            </w:pPr>
            <w:r>
              <w:rPr>
                <w:rFonts w:ascii="Arial" w:cs="Arial" w:eastAsia="Arial" w:hAnsi="Arial"/>
                <w:sz w:val="18"/>
                <w:szCs w:val="18"/>
                <w:color w:val="auto"/>
              </w:rPr>
              <w:t>Richard N. Grubb</w:t>
            </w:r>
          </w:p>
        </w:tc>
        <w:tc>
          <w:tcPr>
            <w:tcW w:w="1580" w:type="dxa"/>
            <w:vAlign w:val="bottom"/>
            <w:gridSpan w:val="2"/>
          </w:tcPr>
          <w:p>
            <w:pPr>
              <w:jc w:val="center"/>
              <w:ind w:left="592"/>
              <w:spacing w:after="0"/>
              <w:rPr>
                <w:sz w:val="20"/>
                <w:szCs w:val="20"/>
                <w:color w:val="auto"/>
              </w:rPr>
            </w:pPr>
            <w:r>
              <w:rPr>
                <w:rFonts w:ascii="Arial" w:cs="Arial" w:eastAsia="Arial" w:hAnsi="Arial"/>
                <w:sz w:val="18"/>
                <w:szCs w:val="18"/>
                <w:color w:val="auto"/>
                <w:w w:val="89"/>
              </w:rPr>
              <w:t>59</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Executive Vice President, Treasurer, and Chief Financial Officer</w:t>
            </w:r>
          </w:p>
        </w:tc>
      </w:tr>
      <w:tr>
        <w:trPr>
          <w:trHeight w:val="365"/>
        </w:trPr>
        <w:tc>
          <w:tcPr>
            <w:tcW w:w="1160" w:type="dxa"/>
            <w:vAlign w:val="bottom"/>
            <w:gridSpan w:val="2"/>
          </w:tcPr>
          <w:p>
            <w:pPr>
              <w:spacing w:after="0"/>
              <w:rPr>
                <w:sz w:val="20"/>
                <w:szCs w:val="20"/>
                <w:color w:val="auto"/>
              </w:rPr>
            </w:pPr>
            <w:r>
              <w:rPr>
                <w:rFonts w:ascii="Arial" w:cs="Arial" w:eastAsia="Arial" w:hAnsi="Arial"/>
                <w:sz w:val="18"/>
                <w:szCs w:val="18"/>
                <w:color w:val="auto"/>
              </w:rPr>
              <w:t>Ziv Shoshani*</w:t>
            </w:r>
          </w:p>
        </w:tc>
        <w:tc>
          <w:tcPr>
            <w:tcW w:w="2300" w:type="dxa"/>
            <w:vAlign w:val="bottom"/>
          </w:tcPr>
          <w:p>
            <w:pPr>
              <w:spacing w:after="0"/>
              <w:rPr>
                <w:sz w:val="24"/>
                <w:szCs w:val="24"/>
                <w:color w:val="auto"/>
              </w:rPr>
            </w:pPr>
          </w:p>
        </w:tc>
        <w:tc>
          <w:tcPr>
            <w:tcW w:w="1580" w:type="dxa"/>
            <w:vAlign w:val="bottom"/>
            <w:gridSpan w:val="2"/>
          </w:tcPr>
          <w:p>
            <w:pPr>
              <w:jc w:val="center"/>
              <w:ind w:left="592"/>
              <w:spacing w:after="0"/>
              <w:rPr>
                <w:sz w:val="20"/>
                <w:szCs w:val="20"/>
                <w:color w:val="auto"/>
              </w:rPr>
            </w:pPr>
            <w:r>
              <w:rPr>
                <w:rFonts w:ascii="Arial" w:cs="Arial" w:eastAsia="Arial" w:hAnsi="Arial"/>
                <w:sz w:val="18"/>
                <w:szCs w:val="18"/>
                <w:color w:val="auto"/>
                <w:w w:val="89"/>
              </w:rPr>
              <w:t>40</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720" w:type="dxa"/>
            <w:vAlign w:val="bottom"/>
          </w:tcPr>
          <w:p>
            <w:pPr>
              <w:spacing w:after="0"/>
              <w:rPr>
                <w:sz w:val="20"/>
                <w:szCs w:val="20"/>
                <w:color w:val="auto"/>
              </w:rPr>
            </w:pPr>
            <w:r>
              <w:rPr>
                <w:rFonts w:ascii="Arial" w:cs="Arial" w:eastAsia="Arial" w:hAnsi="Arial"/>
                <w:sz w:val="18"/>
                <w:szCs w:val="18"/>
                <w:color w:val="auto"/>
              </w:rPr>
              <w:t>Deputy Chief Operating Officer, Executive Vice President, and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224155</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 Member of the Executive Committee of the Board of Directors.</w:t>
      </w:r>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Dr. Felix Zandman, a founder of the Company, has been Chairman of the Board since March 1989, and has been a Director of the Company since its inception in 1962. Dr. Zandman became Chief Technical and Business Development Officer effective January 1, 2005. Dr. Zandman was Chief Executive Officer of the Company since its inception in 1962 through December 31, 2004, when Dr. Gerald Paul was appointed Chief Executive Officer. Dr. Zandman had been President of the Company from its inception until March 16, 1998.</w:t>
      </w:r>
    </w:p>
    <w:p>
      <w:pPr>
        <w:spacing w:after="0" w:line="197"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Dr. Gerald Paul was appointed Chief Executive Officer effective January 1, 2005. Dr. Paul has served as a Director of the Company since May 1993, has been Chief Operating Officer and an Executive Vice President of the Company since August 1996, and has been President of the Company since March 16, 1998. Dr. Paul was President of Vishay Electronic Components, Europe from January 1994 to August 1996. Dr. Paul has been Managing Director of Vishay Electronic GmbH, a subsidiary of the Company, since January 1991. Dr. Paul has been employed by Vishay and a predecessor company since February 1978.</w:t>
      </w:r>
    </w:p>
    <w:p>
      <w:pPr>
        <w:spacing w:after="0" w:line="167"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Marc Zandman was appointed Vice-Chairman of the Board as of March 1, 2003. He has been a Director of the Company since May 2001, and President of Vishay Israel Ltd. since April 1998. Mr. Zandman was Group Vice President of Vishay Measurements Group from August 2002 until December 31, 2004. Mr. Zandman has served in various other capacities with the Company since August 1984. He is the son of Dr. Felix Zandman, the Company’s Chairman and Chief Technical and Business Development Officer.</w:t>
      </w:r>
    </w:p>
    <w:p>
      <w:pPr>
        <w:spacing w:after="0" w:line="197" w:lineRule="exact"/>
        <w:rPr>
          <w:sz w:val="20"/>
          <w:szCs w:val="20"/>
          <w:color w:val="auto"/>
        </w:rPr>
      </w:pPr>
    </w:p>
    <w:p>
      <w:pPr>
        <w:ind w:right="60"/>
        <w:spacing w:after="0" w:line="370" w:lineRule="auto"/>
        <w:rPr>
          <w:sz w:val="20"/>
          <w:szCs w:val="20"/>
          <w:color w:val="auto"/>
        </w:rPr>
      </w:pPr>
      <w:r>
        <w:rPr>
          <w:rFonts w:ascii="Arial" w:cs="Arial" w:eastAsia="Arial" w:hAnsi="Arial"/>
          <w:sz w:val="15"/>
          <w:szCs w:val="15"/>
          <w:color w:val="auto"/>
        </w:rPr>
        <w:t>Richard N. Grubb has been Vice President, Treasurer and Chief Financial Officer of the Company since May 1994, and has been an Executive Vice President of the Company since August 1996. Mr. Grubb has been associated with the Company in various capacities since 1975, and was a Director from 1994 through 2003.</w:t>
      </w:r>
    </w:p>
    <w:p>
      <w:pPr>
        <w:spacing w:after="0" w:line="116"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Ziv Shoshani has been Executive Vice President of the Company since 2000. On January 1, 2006, he assumed the position of Deputy Chief Operating Officer. Mr. Shoshani had been Executive Vice President responsible for the Resistors and Inductors Group since 2002, and for the Measurements Group since January 1, 2005. Previously, he was Executive Vice President of the Capacitors Group in 2001 and 2002 and was Executive Vice President, Specialty Products Division in 2000 and 2001, including responsibility for oversight of the Measurements Group division. Mr. Shoshani has been employed by the Company since 1995. He is the nephew of Dr. Felix Zandman, the Company’s Chairman and Chief Technical and Business Development Officer.</w:t>
      </w:r>
    </w:p>
    <w:p>
      <w:pPr>
        <w:spacing w:after="0" w:line="17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40"/>
          </w:cols>
          <w:pgMar w:left="240" w:top="351" w:right="21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u w:val="single" w:color="auto"/>
          <w:color w:val="auto"/>
        </w:rPr>
        <w:t>PART II</w:t>
      </w:r>
    </w:p>
    <w:p>
      <w:pPr>
        <w:spacing w:after="0" w:line="225" w:lineRule="exact"/>
        <w:rPr>
          <w:sz w:val="20"/>
          <w:szCs w:val="20"/>
          <w:color w:val="auto"/>
        </w:rPr>
      </w:pPr>
    </w:p>
    <w:p>
      <w:pPr>
        <w:ind w:left="1160" w:right="300" w:hanging="1147"/>
        <w:spacing w:after="0" w:line="275" w:lineRule="auto"/>
        <w:tabs>
          <w:tab w:leader="none" w:pos="1140" w:val="left"/>
        </w:tabs>
        <w:rPr>
          <w:sz w:val="20"/>
          <w:szCs w:val="20"/>
          <w:color w:val="auto"/>
        </w:rPr>
      </w:pPr>
      <w:r>
        <w:rPr>
          <w:rFonts w:ascii="Arial" w:cs="Arial" w:eastAsia="Arial" w:hAnsi="Arial"/>
          <w:sz w:val="18"/>
          <w:szCs w:val="18"/>
          <w:b w:val="1"/>
          <w:bCs w:val="1"/>
          <w:u w:val="single" w:color="auto"/>
          <w:color w:val="auto"/>
        </w:rPr>
        <w:t>Item 5</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u w:val="single" w:color="auto"/>
          <w:color w:val="auto"/>
        </w:rPr>
        <w:t>MARKET FOR REGISTRANT’S COMMON EQUITY, RELATED STOCKHOLDER MATTERS, AND ISSUER PURCHASES OF EQUITY SECURITIES</w:t>
      </w:r>
    </w:p>
    <w:p>
      <w:pPr>
        <w:spacing w:after="0" w:line="180"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Our common stock is listed on the New York Stock Exchange under the symbol VSH. The following table sets forth the high and low sales prices for our common stock as reported on the New York Stock Exchange composite tape for the indicated fiscal quarters. We do not currently pay cash dividends on our capital stock. Our policy is to retain earnings to support the growth of our business and we do not intend to change this policy at the present time. In addition, we are restricted from paying cash dividends under the terms of our revolving credit agreement. See Note 6 to our consolidated financial statements. Holders of record of our common stock totaled approximately 1,553 at March 3, 2006.</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6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rPr>
              <w:t>2005</w:t>
            </w:r>
          </w:p>
        </w:tc>
        <w:tc>
          <w:tcPr>
            <w:tcW w:w="8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2004</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8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20" w:type="dxa"/>
            <w:vAlign w:val="bottom"/>
          </w:tcPr>
          <w:p>
            <w:pPr>
              <w:jc w:val="right"/>
              <w:ind w:right="336"/>
              <w:spacing w:after="0"/>
              <w:rPr>
                <w:sz w:val="20"/>
                <w:szCs w:val="20"/>
                <w:color w:val="auto"/>
              </w:rPr>
            </w:pPr>
            <w:r>
              <w:rPr>
                <w:rFonts w:ascii="Arial" w:cs="Arial" w:eastAsia="Arial" w:hAnsi="Arial"/>
                <w:sz w:val="14"/>
                <w:szCs w:val="14"/>
                <w:b w:val="1"/>
                <w:bCs w:val="1"/>
                <w:color w:val="auto"/>
              </w:rPr>
              <w:t>Low</w:t>
            </w:r>
          </w:p>
        </w:tc>
        <w:tc>
          <w:tcPr>
            <w:tcW w:w="28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jc w:val="right"/>
              <w:ind w:right="319"/>
              <w:spacing w:after="0"/>
              <w:rPr>
                <w:sz w:val="20"/>
                <w:szCs w:val="20"/>
                <w:color w:val="auto"/>
              </w:rPr>
            </w:pPr>
            <w:r>
              <w:rPr>
                <w:rFonts w:ascii="Arial" w:cs="Arial" w:eastAsia="Arial" w:hAnsi="Arial"/>
                <w:sz w:val="14"/>
                <w:szCs w:val="14"/>
                <w:b w:val="1"/>
                <w:bCs w:val="1"/>
                <w:color w:val="auto"/>
              </w:rPr>
              <w:t>High</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40" w:type="dxa"/>
            <w:vAlign w:val="bottom"/>
            <w:gridSpan w:val="2"/>
          </w:tcPr>
          <w:p>
            <w:pPr>
              <w:ind w:left="160"/>
              <w:spacing w:after="0"/>
              <w:rPr>
                <w:sz w:val="20"/>
                <w:szCs w:val="20"/>
                <w:color w:val="auto"/>
              </w:rPr>
            </w:pPr>
            <w:r>
              <w:rPr>
                <w:rFonts w:ascii="Arial" w:cs="Arial" w:eastAsia="Arial" w:hAnsi="Arial"/>
                <w:sz w:val="14"/>
                <w:szCs w:val="14"/>
                <w:b w:val="1"/>
                <w:bCs w:val="1"/>
                <w:color w:val="auto"/>
              </w:rPr>
              <w:t>Low</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Fourth quarter</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10.77</w:t>
            </w:r>
          </w:p>
        </w:tc>
        <w:tc>
          <w:tcPr>
            <w:tcW w:w="2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Fourth quarter</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15.37</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Third quarter</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14.25</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11.47</w:t>
            </w:r>
          </w:p>
        </w:tc>
        <w:tc>
          <w:tcPr>
            <w:tcW w:w="2860" w:type="dxa"/>
            <w:vAlign w:val="bottom"/>
          </w:tcPr>
          <w:p>
            <w:pPr>
              <w:ind w:left="880"/>
              <w:spacing w:after="0"/>
              <w:rPr>
                <w:sz w:val="20"/>
                <w:szCs w:val="20"/>
                <w:color w:val="auto"/>
              </w:rPr>
            </w:pPr>
            <w:r>
              <w:rPr>
                <w:rFonts w:ascii="Arial" w:cs="Arial" w:eastAsia="Arial" w:hAnsi="Arial"/>
                <w:sz w:val="18"/>
                <w:szCs w:val="18"/>
                <w:color w:val="auto"/>
              </w:rPr>
              <w:t>Third quarter</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17.57</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11.49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880" w:type="dxa"/>
            <w:vAlign w:val="bottom"/>
            <w:shd w:val="clear" w:color="auto" w:fill="CCEEFF"/>
          </w:tcPr>
          <w:p>
            <w:pPr>
              <w:spacing w:after="0"/>
              <w:rPr>
                <w:sz w:val="20"/>
                <w:szCs w:val="20"/>
                <w:color w:val="auto"/>
              </w:rPr>
            </w:pPr>
            <w:r>
              <w:rPr>
                <w:rFonts w:ascii="Arial" w:cs="Arial" w:eastAsia="Arial" w:hAnsi="Arial"/>
                <w:sz w:val="18"/>
                <w:szCs w:val="18"/>
                <w:color w:val="auto"/>
              </w:rPr>
              <w:t>Second quarter</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2860" w:type="dxa"/>
            <w:vAlign w:val="bottom"/>
            <w:shd w:val="clear" w:color="auto" w:fill="CCEEFF"/>
          </w:tcPr>
          <w:p>
            <w:pPr>
              <w:ind w:left="880"/>
              <w:spacing w:after="0"/>
              <w:rPr>
                <w:sz w:val="20"/>
                <w:szCs w:val="20"/>
                <w:color w:val="auto"/>
              </w:rPr>
            </w:pPr>
            <w:r>
              <w:rPr>
                <w:rFonts w:ascii="Arial" w:cs="Arial" w:eastAsia="Arial" w:hAnsi="Arial"/>
                <w:sz w:val="18"/>
                <w:szCs w:val="18"/>
                <w:color w:val="auto"/>
              </w:rPr>
              <w:t>Second quarter</w:t>
            </w: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4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880" w:type="dxa"/>
            <w:vAlign w:val="bottom"/>
          </w:tcPr>
          <w:p>
            <w:pPr>
              <w:spacing w:after="0"/>
              <w:rPr>
                <w:sz w:val="20"/>
                <w:szCs w:val="20"/>
                <w:color w:val="auto"/>
              </w:rPr>
            </w:pPr>
            <w:r>
              <w:rPr>
                <w:rFonts w:ascii="Arial" w:cs="Arial" w:eastAsia="Arial" w:hAnsi="Arial"/>
                <w:sz w:val="18"/>
                <w:szCs w:val="18"/>
                <w:color w:val="auto"/>
              </w:rPr>
              <w:t>First quarter</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15.15</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11.96</w:t>
            </w:r>
          </w:p>
        </w:tc>
        <w:tc>
          <w:tcPr>
            <w:tcW w:w="2860" w:type="dxa"/>
            <w:vAlign w:val="bottom"/>
          </w:tcPr>
          <w:p>
            <w:pPr>
              <w:ind w:left="880"/>
              <w:spacing w:after="0"/>
              <w:rPr>
                <w:sz w:val="20"/>
                <w:szCs w:val="20"/>
                <w:color w:val="auto"/>
              </w:rPr>
            </w:pPr>
            <w:r>
              <w:rPr>
                <w:rFonts w:ascii="Arial" w:cs="Arial" w:eastAsia="Arial" w:hAnsi="Arial"/>
                <w:sz w:val="18"/>
                <w:szCs w:val="18"/>
                <w:color w:val="auto"/>
              </w:rPr>
              <w:t>First quarter</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24.99</w:t>
            </w:r>
          </w:p>
        </w:tc>
        <w:tc>
          <w:tcPr>
            <w:tcW w:w="4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18.96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At March 3, 2006, we had outstanding 14,679,440 shares of Class B common stock, par value $.10 per share, each of which entitles the holder to ten votes. The Class B common stock generally is not transferable except in certain very limited instances, and there is no market for those shares. The Class B common stock is convertible, at the option of the holder, into common stock on a share for share basis. Substantially all of the Class B common stock is owned by Dr. Felix Zandman, our Chairman and Chief Technical and Business Development Officer; a family trust controlled by Dr. Zandman and Mrs. Ruta Zandman, a director; the estate of Mrs. Luella B. Slaner, a former director; the children of Mrs. Slaner; and trusts for the benefit of the grandchildren of Mrs. Slaner, either directly or beneficially. Directly, through the family trust, and as voting trustee under a voting trust agreement, Dr. Zandman has sole or shared voting power over substantially all of the outstanding Class B common stock.</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584" w:right="239" w:bottom="1440" w:gutter="0" w:footer="0" w:header="0"/>
        </w:sectPr>
      </w:pPr>
    </w:p>
    <w:bookmarkStart w:id="29" w:name="page30"/>
    <w:bookmarkEnd w:id="29"/>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6</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SELECTED FINANCIAL DATA</w:t>
      </w:r>
    </w:p>
    <w:p>
      <w:pPr>
        <w:spacing w:after="0" w:line="23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 xml:space="preserve">The following table sets forth selected consolidated financial information as of and for the fiscal years ended December 31, 2005, 2004, 2003, 2002 and 2001. This table should be read in conjunction with our consolidated financial statements and the related notes thereto included elsewhere in this Form 10-K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 except per share amounts)</w:t>
      </w:r>
      <w:r>
        <w:rPr>
          <w:rFonts w:ascii="Arial" w:cs="Arial" w:eastAsia="Arial" w:hAnsi="Arial"/>
          <w:sz w:val="18"/>
          <w:szCs w:val="18"/>
          <w:color w:val="auto"/>
        </w:rPr>
        <w:t>:</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500" w:type="dxa"/>
            <w:vAlign w:val="bottom"/>
            <w:gridSpan w:val="8"/>
          </w:tcPr>
          <w:p>
            <w:pPr>
              <w:jc w:val="right"/>
              <w:ind w:right="640"/>
              <w:spacing w:after="0"/>
              <w:rPr>
                <w:sz w:val="20"/>
                <w:szCs w:val="20"/>
                <w:color w:val="auto"/>
              </w:rPr>
            </w:pPr>
            <w:r>
              <w:rPr>
                <w:rFonts w:ascii="Arial" w:cs="Arial" w:eastAsia="Arial" w:hAnsi="Arial"/>
                <w:sz w:val="14"/>
                <w:szCs w:val="14"/>
                <w:b w:val="1"/>
                <w:bCs w:val="1"/>
                <w:color w:val="auto"/>
                <w:w w:val="97"/>
              </w:rPr>
              <w:t>As of and for the years ended December 31,</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3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60" w:type="dxa"/>
            <w:vAlign w:val="bottom"/>
          </w:tcPr>
          <w:p>
            <w:pPr>
              <w:jc w:val="right"/>
              <w:ind w:right="214"/>
              <w:spacing w:after="0"/>
              <w:rPr>
                <w:sz w:val="20"/>
                <w:szCs w:val="20"/>
                <w:color w:val="auto"/>
              </w:rPr>
            </w:pPr>
            <w:r>
              <w:rPr>
                <w:rFonts w:ascii="Arial" w:cs="Arial" w:eastAsia="Arial" w:hAnsi="Arial"/>
                <w:sz w:val="14"/>
                <w:szCs w:val="14"/>
                <w:b w:val="1"/>
                <w:bCs w:val="1"/>
                <w:color w:val="auto"/>
              </w:rPr>
              <w:t>2005 (1)</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235"/>
              <w:spacing w:after="0"/>
              <w:rPr>
                <w:sz w:val="20"/>
                <w:szCs w:val="20"/>
                <w:color w:val="auto"/>
              </w:rPr>
            </w:pPr>
            <w:r>
              <w:rPr>
                <w:rFonts w:ascii="Arial" w:cs="Arial" w:eastAsia="Arial" w:hAnsi="Arial"/>
                <w:sz w:val="14"/>
                <w:szCs w:val="14"/>
                <w:b w:val="1"/>
                <w:bCs w:val="1"/>
                <w:color w:val="auto"/>
              </w:rPr>
              <w:t>2004 (2)</w:t>
            </w:r>
          </w:p>
        </w:tc>
        <w:tc>
          <w:tcPr>
            <w:tcW w:w="1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214"/>
              <w:spacing w:after="0"/>
              <w:rPr>
                <w:sz w:val="20"/>
                <w:szCs w:val="20"/>
                <w:color w:val="auto"/>
              </w:rPr>
            </w:pPr>
            <w:r>
              <w:rPr>
                <w:rFonts w:ascii="Arial" w:cs="Arial" w:eastAsia="Arial" w:hAnsi="Arial"/>
                <w:sz w:val="14"/>
                <w:szCs w:val="14"/>
                <w:b w:val="1"/>
                <w:bCs w:val="1"/>
                <w:color w:val="auto"/>
              </w:rPr>
              <w:t>2003 (3)</w:t>
            </w:r>
          </w:p>
        </w:tc>
        <w:tc>
          <w:tcPr>
            <w:tcW w:w="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jc w:val="right"/>
              <w:ind w:right="234"/>
              <w:spacing w:after="0"/>
              <w:rPr>
                <w:sz w:val="20"/>
                <w:szCs w:val="20"/>
                <w:color w:val="auto"/>
              </w:rPr>
            </w:pPr>
            <w:r>
              <w:rPr>
                <w:rFonts w:ascii="Arial" w:cs="Arial" w:eastAsia="Arial" w:hAnsi="Arial"/>
                <w:sz w:val="14"/>
                <w:szCs w:val="14"/>
                <w:b w:val="1"/>
                <w:bCs w:val="1"/>
                <w:color w:val="auto"/>
              </w:rPr>
              <w:t>2002 (4)</w:t>
            </w: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00" w:type="dxa"/>
            <w:vAlign w:val="bottom"/>
          </w:tcPr>
          <w:p>
            <w:pPr>
              <w:jc w:val="right"/>
              <w:ind w:right="234"/>
              <w:spacing w:after="0"/>
              <w:rPr>
                <w:sz w:val="20"/>
                <w:szCs w:val="20"/>
                <w:color w:val="auto"/>
              </w:rPr>
            </w:pPr>
            <w:r>
              <w:rPr>
                <w:rFonts w:ascii="Arial" w:cs="Arial" w:eastAsia="Arial" w:hAnsi="Arial"/>
                <w:sz w:val="14"/>
                <w:szCs w:val="14"/>
                <w:b w:val="1"/>
                <w:bCs w:val="1"/>
                <w:color w:val="auto"/>
              </w:rPr>
              <w:t>2001 (5)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31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2120" w:type="dxa"/>
            <w:vAlign w:val="bottom"/>
            <w:tcBorders>
              <w:bottom w:val="single" w:sz="8" w:color="auto"/>
            </w:tcBorders>
            <w:gridSpan w:val="2"/>
            <w:shd w:val="clear" w:color="auto" w:fill="CCEEFF"/>
          </w:tcPr>
          <w:p>
            <w:pPr>
              <w:spacing w:after="0" w:line="176" w:lineRule="exact"/>
              <w:rPr>
                <w:sz w:val="20"/>
                <w:szCs w:val="20"/>
                <w:color w:val="auto"/>
              </w:rPr>
            </w:pPr>
            <w:r>
              <w:rPr>
                <w:rFonts w:ascii="Arial" w:cs="Arial" w:eastAsia="Arial" w:hAnsi="Arial"/>
                <w:sz w:val="18"/>
                <w:szCs w:val="18"/>
                <w:color w:val="auto"/>
                <w:w w:val="86"/>
              </w:rPr>
              <w:t>Statement of Operations Data:</w:t>
            </w:r>
          </w:p>
        </w:tc>
        <w:tc>
          <w:tcPr>
            <w:tcW w:w="31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8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Net revenues</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2,296,521</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2,414,654</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2,170,597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1,822,813</w:t>
            </w:r>
          </w:p>
        </w:tc>
        <w:tc>
          <w:tcPr>
            <w:tcW w:w="120" w:type="dxa"/>
            <w:vAlign w:val="bottom"/>
          </w:tcPr>
          <w:p>
            <w:pPr>
              <w:spacing w:after="0"/>
              <w:rPr>
                <w:sz w:val="18"/>
                <w:szCs w:val="18"/>
                <w:color w:val="auto"/>
              </w:rPr>
            </w:pP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1,655,346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33,590</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Earnings (loss) before income tax provision (benefit) and minority</w:t>
            </w:r>
          </w:p>
        </w:tc>
        <w:tc>
          <w:tcPr>
            <w:tcW w:w="1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3"/>
          </w:tcPr>
          <w:p>
            <w:pPr>
              <w:ind w:left="200"/>
              <w:spacing w:after="0"/>
              <w:rPr>
                <w:sz w:val="20"/>
                <w:szCs w:val="20"/>
                <w:color w:val="auto"/>
              </w:rPr>
            </w:pPr>
            <w:r>
              <w:rPr>
                <w:rFonts w:ascii="Arial" w:cs="Arial" w:eastAsia="Arial" w:hAnsi="Arial"/>
                <w:sz w:val="18"/>
                <w:szCs w:val="18"/>
                <w:color w:val="auto"/>
              </w:rPr>
              <w:t>interest</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77,772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70,017</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46,426</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(100,045)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Income tax provision (benefit)</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11,737</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(16,900)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Minority interest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3,761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11,592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8,056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9,469</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3,895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Net earnings (loss)</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62,274</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(92,614)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Basic earnings (loss) per share</w:t>
            </w:r>
          </w:p>
        </w:tc>
        <w:tc>
          <w:tcPr>
            <w:tcW w:w="180" w:type="dxa"/>
            <w:vAlign w:val="bottom"/>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0.35</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0.27</w:t>
            </w:r>
          </w:p>
        </w:tc>
        <w:tc>
          <w:tcPr>
            <w:tcW w:w="3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80"/>
              <w:spacing w:after="0"/>
              <w:rPr>
                <w:sz w:val="20"/>
                <w:szCs w:val="20"/>
                <w:color w:val="auto"/>
              </w:rPr>
            </w:pPr>
            <w:r>
              <w:rPr>
                <w:rFonts w:ascii="Arial" w:cs="Arial" w:eastAsia="Arial" w:hAnsi="Arial"/>
                <w:sz w:val="18"/>
                <w:szCs w:val="18"/>
                <w:color w:val="auto"/>
              </w:rPr>
              <w:t>(0.58)</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Diluted earnings (loss) per share</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0.34</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(0.58)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Weighted average shares outstanding – basic</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177,606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163,701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159,631</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159,413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141,171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Weighted average shares outstanding – diluted</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189,321</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160,443</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159,413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142,514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220" w:type="dxa"/>
            <w:vAlign w:val="bottom"/>
            <w:gridSpan w:val="3"/>
          </w:tcPr>
          <w:p>
            <w:pPr>
              <w:spacing w:after="0" w:line="176" w:lineRule="exact"/>
              <w:rPr>
                <w:sz w:val="20"/>
                <w:szCs w:val="20"/>
                <w:color w:val="auto"/>
              </w:rPr>
            </w:pPr>
            <w:r>
              <w:rPr>
                <w:rFonts w:ascii="Arial" w:cs="Arial" w:eastAsia="Arial" w:hAnsi="Arial"/>
                <w:sz w:val="18"/>
                <w:szCs w:val="18"/>
                <w:color w:val="auto"/>
              </w:rPr>
              <w:t>Balance Sheet Data:</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420" w:type="dxa"/>
            <w:vAlign w:val="bottom"/>
            <w:tcBorders>
              <w:top w:val="single" w:sz="8" w:color="auto"/>
            </w:tcBorders>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assets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4,527,591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4,638,590</w:t>
            </w:r>
          </w:p>
        </w:tc>
        <w:tc>
          <w:tcPr>
            <w:tcW w:w="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4,566,360</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4,315,159</w:t>
            </w:r>
          </w:p>
        </w:tc>
        <w:tc>
          <w:tcPr>
            <w:tcW w:w="12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3,951,523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751,553</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752,145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836,606</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706,316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605,031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1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1,136,466</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1,168,383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1,049,892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897,456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1,096,034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gridSpan w:val="3"/>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2,855,852</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2,773,335</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2,514,034</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2,358,787</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2,366,545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8268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left="580" w:right="120" w:hanging="572"/>
        <w:spacing w:after="0" w:line="283" w:lineRule="auto"/>
        <w:tabs>
          <w:tab w:leader="none" w:pos="5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Includes the results of SI Technologies from April 28, 2005, of Alpha Electronics K.K. from November 30, 2005, and reflects the acquisition of the minority interest in Siliconix in May 2005 and the assets of CyOptics Israel in October 2005. Also includes net charges of $51,550,000 for restructuring and severance costs, asset write-downs, and write-offs of purchased in-process research and development. These charges were partially offset by a gain on a sale of land and gains on adjustments to purchase commitments. In addition, tax expense includes an $8,977,000 benefit, primarily due to favorable foreign tax rulings. These items and their related tax consequences had a negative $0.17 effect on earnings per share. These items are more fully described in the notes to the consolidated financial statements.</w:t>
      </w:r>
    </w:p>
    <w:p>
      <w:pPr>
        <w:spacing w:after="0" w:line="1" w:lineRule="exact"/>
        <w:rPr>
          <w:rFonts w:ascii="Arial" w:cs="Arial" w:eastAsia="Arial" w:hAnsi="Arial"/>
          <w:sz w:val="16"/>
          <w:szCs w:val="16"/>
          <w:color w:val="auto"/>
        </w:rPr>
      </w:pPr>
    </w:p>
    <w:p>
      <w:pPr>
        <w:ind w:left="580" w:right="6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results of RFWaves from August 31, 2004 and Vishay MIC Technology from September 29, 2004. Also includes net charges of $89,959,000 for restructuring and severance costs, asset write-downs, inventory write-downs, losses on purchase commitments, and a write-off of purchased in-process research and development, partially offset by a gain on favorable settlement on a note receivable. These items and their related tax consequences, net of a favorable tax settlement, had a negative $0.32 effect on earnings per share. These items are more fully described in the notes to the consolidated financial statements.</w:t>
      </w:r>
    </w:p>
    <w:p>
      <w:pPr>
        <w:spacing w:after="0" w:line="2" w:lineRule="exact"/>
        <w:rPr>
          <w:rFonts w:ascii="Arial" w:cs="Arial" w:eastAsia="Arial" w:hAnsi="Arial"/>
          <w:sz w:val="18"/>
          <w:szCs w:val="18"/>
          <w:color w:val="auto"/>
        </w:rPr>
      </w:pPr>
    </w:p>
    <w:p>
      <w:pPr>
        <w:ind w:left="580" w:right="8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results of BCcomponents, acquired in December 2002. Also includes net charges of $23,947,000 for restructuring and severance costs, asset write-downs, inventory write-downs, losses on purchase commitments, and a loss on extinguishment of debt, partially offset by a gain on insurance proceeds. These items and their tax related consequences had a negative $0.11 effect on earnings per share. These items are more fully described in the notes to the consolidated financial statements.</w:t>
      </w:r>
    </w:p>
    <w:p>
      <w:pPr>
        <w:spacing w:after="0" w:line="1" w:lineRule="exact"/>
        <w:rPr>
          <w:rFonts w:ascii="Arial" w:cs="Arial" w:eastAsia="Arial" w:hAnsi="Arial"/>
          <w:sz w:val="18"/>
          <w:szCs w:val="18"/>
          <w:color w:val="auto"/>
        </w:rPr>
      </w:pPr>
    </w:p>
    <w:p>
      <w:pPr>
        <w:ind w:left="580" w:right="60" w:hanging="572"/>
        <w:spacing w:after="0" w:line="250"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results of the Infineon Malaysia optoelectronic infrared components business from January 1, 2002, of Sensortronics from January 31, 2002, of Tedea-Huntleigh from July 1, 2002, of BLH/Nobel from August 1, 2002, and of Celtron from October 1, 2002. Also includes charges for restructuring and severance costs, asset write-downs, inventory write-downs, losses on purchase commitments and other charges of $169,900,000. These items and their tax related consequences had a negative $0.85 effect on earnings per share. These items are more fully described in the notes to the consolidated financial statements.</w:t>
      </w:r>
    </w:p>
    <w:p>
      <w:pPr>
        <w:spacing w:after="0" w:line="2" w:lineRule="exact"/>
        <w:rPr>
          <w:rFonts w:ascii="Arial" w:cs="Arial" w:eastAsia="Arial" w:hAnsi="Arial"/>
          <w:sz w:val="18"/>
          <w:szCs w:val="18"/>
          <w:color w:val="auto"/>
        </w:rPr>
      </w:pPr>
    </w:p>
    <w:p>
      <w:pPr>
        <w:ind w:left="580" w:right="20" w:hanging="572"/>
        <w:spacing w:after="0" w:line="253"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Includes the results of Tansitor from January 1, 2001, of the Infineon U.S. optoelectronic infrared components business from July 27, 2001, of General Semiconductor from November 2, 2001, and of Mallory from November 7, 2001. Also includes charges for restructuring and severance costs, asset write-downs, inventory write-downs, a write-off of purchased in-process research and development, and other charges of $156,590,000. These items and their tax related consequences had a negative $0.84 effect on earnings per share. These items are more fully described in the notes to the consolidated financial statements.</w:t>
      </w:r>
    </w:p>
    <w:p>
      <w:pPr>
        <w:spacing w:after="0" w:line="199"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Management believes that stating the impact on net earnings of items such as restructuring and severance, asset write-downs, inventory write-downs, gains or losses on purchase commitments, losses on early extinguishment of debt, gains on insurance proceeds, charges for in-process research and development, special tax items, and other items is meaningful to investors because it provides insight with respect to intrinsic operating results of the Company.</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368" w:right="239" w:bottom="1440" w:gutter="0" w:footer="0" w:header="0"/>
        </w:sectPr>
      </w:pPr>
    </w:p>
    <w:bookmarkStart w:id="30" w:name="page31"/>
    <w:bookmarkEnd w:id="30"/>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7</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Vishay Intertechnology, Inc. is an international manufacturer and supplier of discrete semiconductors and passive electronic components, including power MOSFETs, power conversion and motor control integrated circuits, transistors, diodes, optoelectronic components, resistors, capacitors, inductors, strain gages, load cells, force measurement sensors, displacement sensors, and photoelastic sensors. Semiconductors and electronic components manufactured by Vishay are used in virtually all types of electronic products, including those in the computer, telecommunications, military/aerospace, instrument, automotive, medical, and consumer electronics industries.</w:t>
      </w:r>
    </w:p>
    <w:p>
      <w:pPr>
        <w:spacing w:after="0" w:line="19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Vishay operates in two segments, Semiconductors (formerly referred to as our “Active Components” segment) and Passive Components. Semiconductors segment products include transistors, diodes, rectifiers, certain types of integrated circuits and optoelectronic products. Our Semiconductors segment includes our Siliconix subsidiary, of which we completed the acquisition of the 19.6% interest that we did not already own during the second quarter of 2005. Passive Components segment products include resistors, capacitors, and inductors. We include in this segment our Measurements Group, which manufactures and markets strain gages, load cells, transducers, instruments and weighing systems whose core components are resistors that are sensitive to various types of mechanical stress. The Passive Components business had historically predominated at Vishay until the purchase of General Semiconductor in November 2001, after which the lead position shifted to the Semiconductors business. With the acquisition of BCcomponents in December 2002, revenues from our Semiconductors and Passive Components businesses are essentially split evenly.</w:t>
      </w:r>
    </w:p>
    <w:p>
      <w:pPr>
        <w:spacing w:after="0" w:line="172" w:lineRule="exact"/>
        <w:rPr>
          <w:sz w:val="20"/>
          <w:szCs w:val="20"/>
          <w:color w:val="auto"/>
        </w:rPr>
      </w:pPr>
    </w:p>
    <w:p>
      <w:pPr>
        <w:ind w:right="120"/>
        <w:spacing w:after="0" w:line="290" w:lineRule="auto"/>
        <w:rPr>
          <w:sz w:val="20"/>
          <w:szCs w:val="20"/>
          <w:color w:val="auto"/>
        </w:rPr>
      </w:pPr>
      <w:r>
        <w:rPr>
          <w:rFonts w:ascii="Arial" w:cs="Arial" w:eastAsia="Arial" w:hAnsi="Arial"/>
          <w:sz w:val="16"/>
          <w:szCs w:val="16"/>
          <w:color w:val="auto"/>
        </w:rPr>
        <w:t>Consolidated net revenues for the year ended December 31, 2005 were $2.297 billion, compared to net revenues of $2.415 billion for the year ended December 31, 2004. Net earnings for the year ended December 31, 2005 were $62.3 million or $0.34 per diluted share, compared to net earnings of $44.7 million or $0.27 per diluted share for the year ended December 31, 2004. Earnings for the year ended December 31, 2005 were impacted by restructuring and severance costs of $29.8 million, asset write-downs of $11.4 million, write-offs of purchased in-process research and development of $9.7 million, and Siliconix transaction-related expenses of $3.8 million. These items were partially offset by a gain on adjustment of existing purchase commitments of $1.0 million and a gain on sale of land of $2.1 million. In addition, tax expense includes a $9.0 million benefit, primarily due to favorable foreign tax rulings. These items and their tax related consequences had a negative $0.17 effect on earnings per share.</w:t>
      </w:r>
    </w:p>
    <w:p>
      <w:pPr>
        <w:spacing w:after="0" w:line="172" w:lineRule="exact"/>
        <w:rPr>
          <w:sz w:val="20"/>
          <w:szCs w:val="20"/>
          <w:color w:val="auto"/>
        </w:rPr>
      </w:pPr>
    </w:p>
    <w:p>
      <w:pPr>
        <w:jc w:val="both"/>
        <w:ind w:right="160"/>
        <w:spacing w:after="0" w:line="256" w:lineRule="auto"/>
        <w:rPr>
          <w:sz w:val="20"/>
          <w:szCs w:val="20"/>
          <w:color w:val="auto"/>
        </w:rPr>
      </w:pPr>
      <w:r>
        <w:rPr>
          <w:rFonts w:ascii="Arial" w:cs="Arial" w:eastAsia="Arial" w:hAnsi="Arial"/>
          <w:sz w:val="18"/>
          <w:szCs w:val="18"/>
          <w:color w:val="auto"/>
        </w:rPr>
        <w:t>Earnings for the year ended December 31, 2004 were impacted by restructuring and severance costs of $47.3 million, asset write-downs of $27.3 million, losses on purchase commitments of $16.6 million, write-downs of inventory of $0.4 million, and a write-off of purchased in-process research and development of $1.5 million. These items were partially offset by a favorable settlement of an outstanding note receivable of $3.1 million. These items and their related tax effects, net of a favorable tax settlement, reduced earnings by $0.32 per share.</w:t>
      </w:r>
    </w:p>
    <w:p>
      <w:pPr>
        <w:spacing w:after="0" w:line="197"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The business environment for electronic components was relatively friendly during 2005. While 2005 product sales were lower than 2004 levels, our cost reduction efforts are yielding margin improvements that are expected to continue into 2006. Revenues in 2005 improved compared to depressed levels in the third and fourth quarters of 2004.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20"/>
          </w:cols>
          <w:pgMar w:left="240" w:top="368" w:right="2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t>Financial Metrics</w:t>
      </w:r>
    </w:p>
    <w:p>
      <w:pPr>
        <w:spacing w:after="0" w:line="231"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We utilize several financial measures and metrics to evaluate the performance and assess the future direction of our business. These key financial measures and metrics include sales, gross profit margin, end-of-period backlog, and the book-to-bill ratio. We also monitor changes in inventory turnover and average selling prices (“ASP”).</w:t>
      </w:r>
    </w:p>
    <w:p>
      <w:pPr>
        <w:spacing w:after="0" w:line="19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Gross profit margin is computed as gross profit as a percentage of sales. Gross profit is generally net sales less cost of products sold, but also deducts certain other period costs, particularly losses on purchase commitments and inventory write-downs. Losses on purchase commitments and inventory write-downs have the impact of reducing gross profit margin in the period of the charge, but result in improved gross profit margins in subsequent periods by reducing costs of products sold as inventory is used. Gross profit margin is clearly a function of net sales, but also reflects our cost cutting programs and our ability to contain fixed costs.</w:t>
      </w:r>
    </w:p>
    <w:p>
      <w:pPr>
        <w:spacing w:after="0" w:line="197"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End-of-period backlog is one indicator of future sales. We include in our backlog only open orders that have been released by the customer for shipment in the next twelve months. If demand falls below customers’ forecasts, or if customers do not control their inventory effectively, they may cancel or reschedule the shipments that are included in our backlog, in many instances without the payment of any penalty. Therefore, the backlog is not necessarily indicative of the results to be expected for future periods.</w:t>
      </w:r>
    </w:p>
    <w:p>
      <w:pPr>
        <w:spacing w:after="0" w:line="197" w:lineRule="exact"/>
        <w:rPr>
          <w:sz w:val="20"/>
          <w:szCs w:val="20"/>
          <w:color w:val="auto"/>
        </w:rPr>
      </w:pPr>
    </w:p>
    <w:p>
      <w:pPr>
        <w:ind w:right="200"/>
        <w:spacing w:after="0" w:line="306" w:lineRule="auto"/>
        <w:rPr>
          <w:sz w:val="20"/>
          <w:szCs w:val="20"/>
          <w:color w:val="auto"/>
        </w:rPr>
      </w:pPr>
      <w:r>
        <w:rPr>
          <w:rFonts w:ascii="Arial" w:cs="Arial" w:eastAsia="Arial" w:hAnsi="Arial"/>
          <w:sz w:val="16"/>
          <w:szCs w:val="16"/>
          <w:color w:val="auto"/>
        </w:rPr>
        <w:t>Another important indicator of demand in our industry is the book-to-bill ratio, which is the ratio of the amount of product ordered during a period as compared with the product that we ship during that period. A book-to-bill ratio that is greater than one indicates that our backlog is building and that we are likely to see increasing revenues in future periods. Conversely, a book-to-bill ratio that is less than one is an indicator of declining demand and may foretell declining sales.</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focus on our inventory turnover as a measure of how well we are managing our inventory. We define inventory turnover for a financial reporting period as our cost of products sold for the four fiscal quarters ending on the last day of the reporting period divided by our average inventory (computed using each quarter-end balance) for this same period. The inventory balance used for computation of this ratio includes tantalum inventories in excess of one year supply, which are classified as other assets in the consolidated balance sheet. See Note 15 to our consolidated financial statements. A higher level of inventory turnover reflects more efficient use of our capital.</w:t>
      </w:r>
    </w:p>
    <w:p>
      <w:pPr>
        <w:spacing w:after="0" w:line="197" w:lineRule="exact"/>
        <w:rPr>
          <w:sz w:val="20"/>
          <w:szCs w:val="20"/>
          <w:color w:val="auto"/>
        </w:rPr>
      </w:pPr>
    </w:p>
    <w:p>
      <w:pPr>
        <w:jc w:val="both"/>
        <w:ind w:right="180"/>
        <w:spacing w:after="0" w:line="259" w:lineRule="auto"/>
        <w:rPr>
          <w:sz w:val="20"/>
          <w:szCs w:val="20"/>
          <w:color w:val="auto"/>
        </w:rPr>
      </w:pPr>
      <w:r>
        <w:rPr>
          <w:rFonts w:ascii="Arial" w:cs="Arial" w:eastAsia="Arial" w:hAnsi="Arial"/>
          <w:sz w:val="18"/>
          <w:szCs w:val="18"/>
          <w:color w:val="auto"/>
        </w:rPr>
        <w:t>Pricing in our industry can be volatile. We analyze trends and changes in average selling prices to evaluate likely future pricing. The erosion of average selling prices of established products is typical of the industry. However, we attempt to offset this deterioration with ongoing cost reduction activities and new product introductions, as newer products typically yield larger gross margins.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20"/>
          </w:cols>
          <w:pgMar w:left="240" w:top="584" w:right="239" w:bottom="1440" w:gutter="0" w:footer="0" w:header="0"/>
        </w:sectPr>
      </w:pPr>
    </w:p>
    <w:bookmarkStart w:id="32" w:name="page33"/>
    <w:bookmarkEnd w:id="32"/>
    <w:p>
      <w:pPr>
        <w:ind w:right="40"/>
        <w:spacing w:after="0" w:line="306" w:lineRule="auto"/>
        <w:rPr>
          <w:sz w:val="20"/>
          <w:szCs w:val="20"/>
          <w:color w:val="auto"/>
        </w:rPr>
      </w:pPr>
      <w:r>
        <w:rPr>
          <w:rFonts w:ascii="Arial" w:cs="Arial" w:eastAsia="Arial" w:hAnsi="Arial"/>
          <w:sz w:val="16"/>
          <w:szCs w:val="16"/>
          <w:color w:val="auto"/>
        </w:rPr>
        <w:t xml:space="preserve">The quarter-to-quarter trends in these financial metrics can also be an important indicator of the likely direction of our business. The following table shows net revenues, gross profit margin, the end-of-period backlog, the book-to-bill ratio, the inventory turnover, and changes in ASP for our business as a whole during the five quarters beginning with the fourth quarter of 2004 and through the fourth quarter of 2005 </w:t>
      </w:r>
      <w:r>
        <w:rPr>
          <w:rFonts w:ascii="Arial" w:cs="Arial" w:eastAsia="Arial" w:hAnsi="Arial"/>
          <w:sz w:val="16"/>
          <w:szCs w:val="16"/>
          <w:i w:val="1"/>
          <w:iCs w:val="1"/>
          <w:color w:val="auto"/>
        </w:rPr>
        <w:t>(dollars in thousands)</w:t>
      </w:r>
      <w:r>
        <w:rPr>
          <w:rFonts w:ascii="Arial" w:cs="Arial" w:eastAsia="Arial" w:hAnsi="Arial"/>
          <w:sz w:val="16"/>
          <w:szCs w:val="16"/>
          <w:color w:val="auto"/>
        </w:rPr>
        <w: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4th Quarter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1st Quarter</w:t>
            </w: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2nd Quarter</w:t>
            </w:r>
          </w:p>
        </w:tc>
        <w:tc>
          <w:tcPr>
            <w:tcW w:w="14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3rd Quarter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4th Quarter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9"/>
                <w:szCs w:val="29"/>
                <w:color w:val="auto"/>
                <w:vertAlign w:val="superscript"/>
              </w:rPr>
              <w:t>(1)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542,714</w:t>
            </w:r>
          </w:p>
        </w:tc>
        <w:tc>
          <w:tcPr>
            <w:tcW w:w="16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554,366</w:t>
            </w:r>
          </w:p>
        </w:tc>
        <w:tc>
          <w:tcPr>
            <w:tcW w:w="2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582,388</w:t>
            </w:r>
          </w:p>
        </w:tc>
        <w:tc>
          <w:tcPr>
            <w:tcW w:w="18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566,077</w:t>
            </w:r>
          </w:p>
        </w:tc>
        <w:tc>
          <w:tcPr>
            <w:tcW w:w="140" w:type="dxa"/>
            <w:vAlign w:val="bottom"/>
            <w:shd w:val="clear" w:color="auto" w:fill="CCEEFF"/>
          </w:tcPr>
          <w:p>
            <w:pPr>
              <w:spacing w:after="0"/>
              <w:rPr>
                <w:sz w:val="22"/>
                <w:szCs w:val="22"/>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593,690</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180" w:type="dxa"/>
            <w:vAlign w:val="bottom"/>
          </w:tcPr>
          <w:p>
            <w:pPr>
              <w:spacing w:after="0" w:line="256" w:lineRule="exact"/>
              <w:rPr>
                <w:sz w:val="20"/>
                <w:szCs w:val="20"/>
                <w:color w:val="auto"/>
              </w:rPr>
            </w:pPr>
            <w:r>
              <w:rPr>
                <w:rFonts w:ascii="Arial" w:cs="Arial" w:eastAsia="Arial" w:hAnsi="Arial"/>
                <w:sz w:val="18"/>
                <w:szCs w:val="18"/>
                <w:color w:val="auto"/>
              </w:rPr>
              <w:t xml:space="preserve">Gross profit margin </w:t>
            </w:r>
            <w:r>
              <w:rPr>
                <w:rFonts w:ascii="Arial" w:cs="Arial" w:eastAsia="Arial" w:hAnsi="Arial"/>
                <w:sz w:val="29"/>
                <w:szCs w:val="29"/>
                <w:color w:val="auto"/>
                <w:vertAlign w:val="superscript"/>
              </w:rPr>
              <w:t>(2)</w:t>
            </w:r>
          </w:p>
        </w:tc>
        <w:tc>
          <w:tcPr>
            <w:tcW w:w="140" w:type="dxa"/>
            <w:vAlign w:val="bottom"/>
          </w:tcPr>
          <w:p>
            <w:pPr>
              <w:spacing w:after="0"/>
              <w:rPr>
                <w:sz w:val="22"/>
                <w:szCs w:val="22"/>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15.9%</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2"/>
                <w:szCs w:val="22"/>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22.7%</w:t>
            </w:r>
          </w:p>
        </w:tc>
        <w:tc>
          <w:tcPr>
            <w:tcW w:w="14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24.0%</w:t>
            </w: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End-of-period backlog</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439,900</w:t>
            </w: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464,400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451,300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490,100</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511,300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Book-to-bill ratio</w:t>
            </w: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0.99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Inventory turnover</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3.07</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180" w:type="dxa"/>
            <w:vAlign w:val="bottom"/>
          </w:tcPr>
          <w:p>
            <w:pPr>
              <w:spacing w:after="0"/>
              <w:rPr>
                <w:sz w:val="20"/>
                <w:szCs w:val="20"/>
                <w:color w:val="auto"/>
              </w:rPr>
            </w:pPr>
            <w:r>
              <w:rPr>
                <w:rFonts w:ascii="Arial" w:cs="Arial" w:eastAsia="Arial" w:hAnsi="Arial"/>
                <w:sz w:val="18"/>
                <w:szCs w:val="18"/>
                <w:color w:val="auto"/>
              </w:rPr>
              <w:t>Change in ASP vs. prior quarter</w:t>
            </w:r>
          </w:p>
        </w:tc>
        <w:tc>
          <w:tcPr>
            <w:tcW w:w="14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-0.6%</w:t>
            </w: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18268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40" w:firstLine="8"/>
        <w:spacing w:after="0" w:line="254" w:lineRule="auto"/>
        <w:tabs>
          <w:tab w:leader="none" w:pos="249"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Net revenues include royalty revenues of $1.1 million, $0.7 million, $0.7 million, $1.6 million, and $1.9 million for the fourth quarter 2004, first quarter 2005, second quarter 2005, third quarter 2005, and fourth quarter 2005, respectively.</w:t>
      </w:r>
    </w:p>
    <w:p>
      <w:pPr>
        <w:ind w:left="260" w:hanging="252"/>
        <w:spacing w:after="0"/>
        <w:tabs>
          <w:tab w:leader="none" w:pos="2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Gross profit margin includes the impact of inventory write-downs, and gain (loss) on purchase commitments.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See “Segments” below for net revenues, book-to-bill ratio, and gross profit margin broken out by segment.</w:t>
      </w:r>
    </w:p>
    <w:p>
      <w:pPr>
        <w:spacing w:after="0" w:line="225"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While economic conditions were not as favorable as the business environment experienced during the first half of 2004, the relatively friendly worldwide business climate for the electronics industry continued into the fourth quarter of 2005. Orders steadily improved over the course of the third and fourth quarters, partially impacted by seasonal effects. For the fourth quarter of 2005, the overall book-to-bill ratio remained healthy at 1.04, following the third quarter of 2005 where the book-to-bill ratio was 1.07. Orders from distributors were particularly strong in the fourth quarter of 2005, resulting in a book-to-bill ratio for these customers of 1.09, compared to a ratio of 1.05 during the third quarter of 2005. Orders from original equipment manufacturers nearly matched orders shipped in the fourth quarter of 2005, resulting in a book-to-bill ratio for these customers of 0.99, compared to a ratio of 1.08 during the third quarter of 2005. We continue to experience pressure on selling prices, although the price decline slowed compared to historical rates of decline. As expected, pricing pressures were most significant on commodity products. Vishay continues to concentrate on less price-sensitive products and markets, where pricing pressures seem to have eased in general with demand increasing. We believe pricing will be moderately lower in 2006.</w:t>
      </w:r>
    </w:p>
    <w:p>
      <w:pPr>
        <w:spacing w:after="0" w:line="174"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As a result of our various programs to cut costs as well as to expand capacity where needed, we were able to improve our gross profit margin in each quarter of 2005 and expect to continue this improvement into 2006 due to higher volume and continued cost reduction.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590" w:right="239" w:bottom="1440" w:gutter="0" w:footer="0" w:header="0"/>
        </w:sectPr>
      </w:pPr>
    </w:p>
    <w:bookmarkStart w:id="33" w:name="page34"/>
    <w:bookmarkEnd w:id="33"/>
    <w:p>
      <w:pPr>
        <w:spacing w:after="0"/>
        <w:rPr>
          <w:sz w:val="20"/>
          <w:szCs w:val="20"/>
          <w:color w:val="auto"/>
        </w:rPr>
      </w:pPr>
      <w:r>
        <w:rPr>
          <w:rFonts w:ascii="Arial" w:cs="Arial" w:eastAsia="Arial" w:hAnsi="Arial"/>
          <w:sz w:val="18"/>
          <w:szCs w:val="18"/>
          <w:b w:val="1"/>
          <w:bCs w:val="1"/>
          <w:color w:val="auto"/>
        </w:rPr>
        <w:t>Capacity Utilization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Capacity utilization is a reflection of product demand and of available capacities.</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Capacity load generally improved during the second half of 2005 in the Passive Components segment. Our resistor lines were operating at an average of 80% to 90% of capacity, which represented an improvement over the 60% to 80% capacity utilization experienced during 2004. During the second half of 2005, our capacitor lines operated at approximately 60% to 85% of capacity, an improvement over the 50% to 60% averages achieved during the first half of 2005 and the second half of 2004, and in-line with the 65% utilization rate during the first half of 2004.</w:t>
      </w:r>
    </w:p>
    <w:p>
      <w:pPr>
        <w:spacing w:after="0" w:line="167"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We continue to operate near full capacity in most of our front-end Semiconductors facilities. We have taken and will continue to take necessary steps to increase our capacity to accommodate increased demand. These steps have included removing production bottlenecks in our fabrication facilities and securing additional equipment to expand our backend operations. We have made significant investments in expanding capacity in our Semiconductors facilities. Some of this additional capacity has come on line, and it will ramp up in future quarters. We have been implementing a project to add 8-inch silicon wafer manufacturing capabilities at the fabrication facility in Itzehoe, Germany. This project is expected to alleviate capacity constraints for high-cell-density wafers and reduce costs. We have received the benefit of grants from the government of the German state of Schleswig Holstein related to these additional investments at the Itzehoe facility. Excluding grant monies, this significant increase in capital expenditures required to support our expansion program is expected to be funded almost entirely by cash flows from operations.</w:t>
      </w:r>
    </w:p>
    <w:p>
      <w:pPr>
        <w:spacing w:after="0" w:line="172"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Our Siliconix division also maintains long-term foundry agreements with subcontractors to ensure access to external front-end capacity. Siliconix entered into a long-term foundry agreement for semiconductor manufacturing with Tower Semiconductor in May 2004, pursuant to which Siliconix will purchase semiconductor wafers valued at approximately $200 million from Tower Semiconductor over a seven to ten year period. Siliconix began to place orders pursuant to this agreement in 2005 after the completion of a technology transfer/qualification period. The agreement specifies minimum quantities per month and a fixed quantity for the term of the agreement. We must pay for any short-fall in minimum order quantities specified under the agreement. During the third quarter of 2005, Tower began to ship wafers pursuant to this agreement. The agreement provides for a gradual increase in quantities over the initial three years of the agreement. The present shipments are on schedule with the ramp-up contemplated in the agreement.</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in 2004, Siliconix entered into a five-year foundry agreement for semiconductor manufacturing with a subcontractor in Japan. This agreement was a continuation and expansion of a previous technology transfer and business agreement for the manufacture of silicon wafers. The agreement calls for Siliconix to provide a rolling twelve month forecast of estimated requirements. The first six months of this forecast are fixed as to quantity, and the subsequent six months are guaranteed not to be less than a quantity stated in the agreement. Thereafter, the monthly quantity may vary based on market demand. Under the agreement, Siliconix must guarantee that its business with this subcontractor represents a minimum percentage of wafer requirements and is required to use its best efforts not to reduce the average monthly demand rate below a specified threshold.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20"/>
          </w:cols>
          <w:pgMar w:left="240" w:top="584" w:right="239" w:bottom="1440" w:gutter="0" w:footer="0" w:header="0"/>
        </w:sectPr>
      </w:pPr>
    </w:p>
    <w:bookmarkStart w:id="34" w:name="page35"/>
    <w:bookmarkEnd w:id="34"/>
    <w:p>
      <w:pPr>
        <w:spacing w:after="0"/>
        <w:rPr>
          <w:sz w:val="20"/>
          <w:szCs w:val="20"/>
          <w:color w:val="auto"/>
        </w:rPr>
      </w:pPr>
      <w:r>
        <w:rPr>
          <w:rFonts w:ascii="Arial" w:cs="Arial" w:eastAsia="Arial" w:hAnsi="Arial"/>
          <w:sz w:val="18"/>
          <w:szCs w:val="18"/>
          <w:b w:val="1"/>
          <w:bCs w:val="1"/>
          <w:color w:val="auto"/>
        </w:rPr>
        <w:t>Acquisition Activity</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As part of our growth strategy, we seek to expand through acquisition of other manufacturers of electronic components that have established positions in major markets, reputations for product quality and reliability, and product lines with which we have substantial marketing and technical expertise. Also as part of this growth strategy, we seek to explore opportunities with privately held developers of electronic components, whether through acquisition, investment in non-controlling interests, or strategic alliances.</w:t>
      </w:r>
    </w:p>
    <w:p>
      <w:pPr>
        <w:spacing w:after="0" w:line="197"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During 2005, we completed three strategic acquisitions and also acquired the 19.6% interest in Siliconix that we did not already own. We also divested a non-core business acquired in one of these transactions. During 2004, we completed two strategic acquisitions.</w:t>
      </w:r>
    </w:p>
    <w:p>
      <w:pPr>
        <w:spacing w:after="0" w:line="186"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We are presently evaluating some smaller acquisition targets to enhance new product development, round out our product lines, or grow our high margin niche market businesses. We are also continuing our exploration of opportunities to acquire a larger target in order to gain market share and more effectively penetrate many geographic markets.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2005 Activities</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April 28, 2005, we completed the acquisition of all of the outstanding capital stock of SI Technologies, Inc., a designer, manufacturer, and marketer of high-performance industrial sensors and controls, weighing and automotive systems, and related products. The purchase price was $17.7 million in cash, plus the assumption of $10.7 million of SI Technologies debt, of which we caused $8.7 million to be repaid subsequent to closing. The remaining outstanding amounts on the short-term revolving credit facility of SI Technologies’ European subsidiary were repaid during the third quarter of 2005.</w:t>
      </w:r>
    </w:p>
    <w:p>
      <w:pPr>
        <w:spacing w:after="0" w:line="167" w:lineRule="exact"/>
        <w:rPr>
          <w:sz w:val="20"/>
          <w:szCs w:val="20"/>
          <w:color w:val="auto"/>
        </w:rPr>
      </w:pPr>
    </w:p>
    <w:p>
      <w:pPr>
        <w:jc w:val="both"/>
        <w:ind w:right="140"/>
        <w:spacing w:after="0" w:line="255" w:lineRule="auto"/>
        <w:rPr>
          <w:sz w:val="20"/>
          <w:szCs w:val="20"/>
          <w:color w:val="auto"/>
        </w:rPr>
      </w:pPr>
      <w:r>
        <w:rPr>
          <w:rFonts w:ascii="Arial" w:cs="Arial" w:eastAsia="Arial" w:hAnsi="Arial"/>
          <w:sz w:val="18"/>
          <w:szCs w:val="18"/>
          <w:color w:val="auto"/>
        </w:rPr>
        <w:t>On October 11, 2005, we sold AeroGo, Inc., SI Technologies’ subsidiary engaged in the design, manufacture, and marketing of industrial automation products, for approximately $4.9 million. The purchase price was paid in cash of $1.0 million and two promissory notes. The first promissory note, for $0.5 million, was paid in full in December 2005. The second promissory note is due in quarterly installments through 2009. The buyer prepaid approximately $0.3 million of the second promissory note in December 2005, and made an additional prepayment of approximately $0.2 million in January 2006. No gain or loss was recognized on the sale of AeroGo.</w:t>
      </w:r>
    </w:p>
    <w:p>
      <w:pPr>
        <w:spacing w:after="0" w:line="197"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In the fourth quarter of 2005, we completed two niche acquisitions. On October 24, 2005, we acquired the assets of CyOptics Israel, Ltd., which will initially be utilized primarily as a research and development facility. On November 30, 2005, we acquired Alpha Electronics K.K., a Japanese manufacturer of foil resistors. The purchase price for these two acquisitions was approximately $11 million, plus assumption of approximately $8 million of debt.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Minority Interest in Siliconix</w:t>
      </w:r>
    </w:p>
    <w:p>
      <w:pPr>
        <w:spacing w:after="0" w:line="225"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On May 12, 2005, we completed an offer to exchange shares of Vishay common stock for shares of Siliconix stock that we did not already own. Each Siliconix share tendered was exchanged for 3.075 shares of Vishay common stock, with cash paid in lieu of fractional shares of Vishay. Prior to the exchange offer, Vishay owned approximately 80.4% of the common stock of Siliconix. Following the completion of the exchange offer, Vishay’s ownership increased to approximately 95.5% of the common stock of Siliconix, which was above the threshold necessary to effect a merger without a vote of stockholders.</w:t>
      </w:r>
    </w:p>
    <w:p>
      <w:pPr>
        <w:spacing w:after="0" w:line="167"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On May 16, 2005, Vishay effected a merger of a subsidiary of Vishay with and into Siliconix, as a result of which Siliconix became a wholly owned subsidiary of Vishay. In the merger, each share of Siliconix stock, other than those owned by Vishay and its subsidiaries, was converted into 3.075 shares of Vishay common stock, subject to the right of Siliconix’s remaining stockholders to seek appraisal under Delaware law. Cash was paid in lieu of fractional shares of Vishay.</w:t>
      </w:r>
    </w:p>
    <w:p>
      <w:pPr>
        <w:spacing w:after="0" w:line="16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- 35 -</w:t>
      </w:r>
    </w:p>
    <w:p>
      <w:pPr>
        <w:sectPr>
          <w:pgSz w:w="11900" w:h="16838" w:orient="portrait"/>
          <w:cols w:equalWidth="0" w:num="1">
            <w:col w:w="11400"/>
          </w:cols>
          <w:pgMar w:left="240" w:top="584" w:right="259" w:bottom="1440" w:gutter="0" w:footer="0" w:header="0"/>
        </w:sectPr>
      </w:pPr>
    </w:p>
    <w:bookmarkStart w:id="35" w:name="page36"/>
    <w:bookmarkEnd w:id="35"/>
    <w:p>
      <w:pPr>
        <w:jc w:val="both"/>
        <w:ind w:right="20"/>
        <w:spacing w:after="0" w:line="306" w:lineRule="auto"/>
        <w:rPr>
          <w:sz w:val="20"/>
          <w:szCs w:val="20"/>
          <w:color w:val="auto"/>
        </w:rPr>
      </w:pPr>
      <w:r>
        <w:rPr>
          <w:rFonts w:ascii="Arial" w:cs="Arial" w:eastAsia="Arial" w:hAnsi="Arial"/>
          <w:sz w:val="16"/>
          <w:szCs w:val="16"/>
          <w:color w:val="auto"/>
        </w:rPr>
        <w:t>As a controlled majority-owned subsidiary, the results of operations of Siliconix were included in our consolidated financial statements prior to the acquisition of the minority interest, and the outside stockholders’ interests were shown as “minority interest” on the consolidated statements of operations and the consolidated balance sheets. The acquisition of the minority interest in Siliconix contributed approximately $10.3 million incrementally to our earnings for 2005.</w:t>
      </w:r>
    </w:p>
    <w:p>
      <w:pPr>
        <w:spacing w:after="0" w:line="16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Following the announcement of our intention to make the tender offer for the remaining shares of Siliconix that we did not already own, several purported class-action complaints were filed against Vishay, Siliconix, and the Siliconix directors, alleging, among other things, that the intended offer was unfair and a breach of fiduciary duty, and seeking, among other things, to enjoin the transaction. Additional information related to these actions is included in Item 3, “Legal Proceedings.”</w:t>
      </w:r>
    </w:p>
    <w:p>
      <w:pPr>
        <w:spacing w:after="0" w:line="1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Both Vishay and Siliconix incurred expenses associated with the defense of the stockholder litigation described above and the subsequent settlement. Additionally, Siliconix incurred expenses related to the exchange offer, including costs of the special committee of independent Siliconix directors appointed to evaluate the offer and the costs of the special committee’s financial and legal advisors. These costs do not represent Vishay’s direct costs of the acquisition, and accordingly are not included in the purchase price. These costs, aggregating $3.8 million, are included in a separate line item in the consolidated statement of operations.</w:t>
      </w:r>
    </w:p>
    <w:p>
      <w:pPr>
        <w:spacing w:after="0" w:line="197"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Purchased in-process research and development represents the value assigned in a business combination to research and development projects of the acquired business that were commenced, but not completed, at the date of acquisition, for which technological feasibility has not been established, and which have no alternative future use in research and development activities or otherwise. Amounts assigned to purchased in-process research and development meeting the above criteria must be charged to expense at the date of consummation of the business combination. A charge of $9.2 million was recorded in the second quarter of 2005, equal to approximately 19.6% of the value of Siliconix in-process research and development at the time of the acquisition of the minority interest. A charge of $0.5 million was recorded in the fourth quarter of 2005 related to purchased in-process research and development associated with the Alpha Electronics K.K. transaction.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2004 Activities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On August 31, 2004, we acquired substantially all of the assets of RFWaves, Ltd., a fab-less integrated circuit design house located in Israel. On September 29, 2004, we acquired all of the outstanding shares of Aeroflex Pearl River Inc. (renamed Vishay MIC Technology, Inc.), the former thin film interconnect subsidiary of Aeroflex, Incorporated. The total purchase price of these acquisitions was approximately $12.7 million, which included cash payments of $11.8 million plus stock options with an aggregate fair value of approximately $0.9 million. The purchase agreement for RFWaves includes provisions for Vishay to pay additional consideration subject to RFWaves achieving operational targets through 2006. The payment of this additional consideration would not be material to Vishay’s financial position or cash flows.</w:t>
      </w:r>
    </w:p>
    <w:p>
      <w:pPr>
        <w:spacing w:after="0" w:line="19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A charge of $1.5 million was recorded in the third quarter of 2004 in conjunction with purchased in-process research and development related to the RFWaves acquisition.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360"/>
          </w:cols>
          <w:pgMar w:left="240" w:top="590" w:right="29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Segments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following table shows net revenues, book-to-bill ratio, and gross profit margin broken out by segment for the five quarters beginning with the fourth quarter of 2004 through the fourth quarter of 2005 </w:t>
      </w:r>
      <w:r>
        <w:rPr>
          <w:rFonts w:ascii="Arial" w:cs="Arial" w:eastAsia="Arial" w:hAnsi="Arial"/>
          <w:sz w:val="18"/>
          <w:szCs w:val="18"/>
          <w:i w:val="1"/>
          <w:iCs w:val="1"/>
          <w:color w:val="auto"/>
        </w:rPr>
        <w:t>(dollars in thousands)</w:t>
      </w:r>
      <w:r>
        <w:rPr>
          <w:rFonts w:ascii="Arial" w:cs="Arial" w:eastAsia="Arial" w:hAnsi="Arial"/>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4th Quarter</w:t>
            </w: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3"/>
              </w:rPr>
              <w:t>1st Quarter</w:t>
            </w:r>
          </w:p>
        </w:tc>
        <w:tc>
          <w:tcPr>
            <w:tcW w:w="120" w:type="dxa"/>
            <w:vAlign w:val="bottom"/>
          </w:tcPr>
          <w:p>
            <w:pPr>
              <w:spacing w:after="0"/>
              <w:rPr>
                <w:sz w:val="14"/>
                <w:szCs w:val="14"/>
                <w:color w:val="auto"/>
              </w:rPr>
            </w:pPr>
          </w:p>
        </w:tc>
        <w:tc>
          <w:tcPr>
            <w:tcW w:w="11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2nd Quarter</w:t>
            </w:r>
          </w:p>
        </w:tc>
        <w:tc>
          <w:tcPr>
            <w:tcW w:w="14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3rd Quarter</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5"/>
              </w:rPr>
              <w:t>4th Quarter</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7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2005</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37"/>
              <w:spacing w:after="0"/>
              <w:rPr>
                <w:sz w:val="20"/>
                <w:szCs w:val="20"/>
                <w:color w:val="auto"/>
              </w:rPr>
            </w:pPr>
            <w:r>
              <w:rPr>
                <w:rFonts w:ascii="Arial" w:cs="Arial" w:eastAsia="Arial" w:hAnsi="Arial"/>
                <w:sz w:val="14"/>
                <w:szCs w:val="14"/>
                <w:b w:val="1"/>
                <w:bCs w:val="1"/>
                <w:color w:val="auto"/>
              </w:rPr>
              <w:t>2005</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3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1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Semiconductors</w:t>
            </w:r>
          </w:p>
        </w:tc>
        <w:tc>
          <w:tcPr>
            <w:tcW w:w="1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100" w:type="dxa"/>
            <w:vAlign w:val="bottom"/>
            <w:tcBorders>
              <w:top w:val="single" w:sz="8" w:color="auto"/>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37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20" w:type="dxa"/>
            <w:vAlign w:val="bottom"/>
            <w:vMerge w:val="continue"/>
          </w:tcPr>
          <w:p>
            <w:pPr>
              <w:spacing w:after="0"/>
              <w:rPr>
                <w:sz w:val="22"/>
                <w:szCs w:val="22"/>
                <w:color w:val="auto"/>
              </w:rPr>
            </w:pPr>
          </w:p>
        </w:tc>
        <w:tc>
          <w:tcPr>
            <w:tcW w:w="5180" w:type="dxa"/>
            <w:vAlign w:val="bottom"/>
            <w:gridSpan w:val="3"/>
          </w:tcPr>
          <w:p>
            <w:pPr>
              <w:spacing w:after="0" w:line="256"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9"/>
                <w:szCs w:val="29"/>
                <w:color w:val="auto"/>
                <w:vertAlign w:val="superscript"/>
              </w:rPr>
              <w:t>(1)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269,925</w:t>
            </w:r>
          </w:p>
        </w:tc>
        <w:tc>
          <w:tcPr>
            <w:tcW w:w="160" w:type="dxa"/>
            <w:vAlign w:val="bottom"/>
          </w:tcPr>
          <w:p>
            <w:pPr>
              <w:spacing w:after="0"/>
              <w:rPr>
                <w:sz w:val="22"/>
                <w:szCs w:val="22"/>
                <w:color w:val="auto"/>
              </w:rPr>
            </w:pPr>
          </w:p>
        </w:tc>
        <w:tc>
          <w:tcPr>
            <w:tcW w:w="160" w:type="dxa"/>
            <w:vAlign w:val="bottom"/>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267,927</w:t>
            </w:r>
          </w:p>
        </w:tc>
        <w:tc>
          <w:tcPr>
            <w:tcW w:w="2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283,053</w:t>
            </w:r>
          </w:p>
        </w:tc>
        <w:tc>
          <w:tcPr>
            <w:tcW w:w="18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286,872</w:t>
            </w:r>
          </w:p>
        </w:tc>
        <w:tc>
          <w:tcPr>
            <w:tcW w:w="140" w:type="dxa"/>
            <w:vAlign w:val="bottom"/>
          </w:tcPr>
          <w:p>
            <w:pPr>
              <w:spacing w:after="0"/>
              <w:rPr>
                <w:sz w:val="22"/>
                <w:szCs w:val="22"/>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304,640</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Book-to-bill ratio</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Gross profit margin</w:t>
            </w:r>
          </w:p>
        </w:tc>
        <w:tc>
          <w:tcPr>
            <w:tcW w:w="14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22.4%</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22.5%</w:t>
            </w:r>
          </w:p>
        </w:tc>
        <w:tc>
          <w:tcPr>
            <w:tcW w:w="12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23.5%</w:t>
            </w: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26.0%</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25.5%</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518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Passive Components</w:t>
            </w: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440" w:type="dxa"/>
            <w:vAlign w:val="bottom"/>
            <w:tcBorders>
              <w:top w:val="single" w:sz="8" w:color="auto"/>
            </w:tcBorders>
            <w:gridSpan w:val="2"/>
          </w:tcPr>
          <w:p>
            <w:pPr>
              <w:spacing w:after="0" w:line="256" w:lineRule="exact"/>
              <w:rPr>
                <w:sz w:val="20"/>
                <w:szCs w:val="20"/>
                <w:color w:val="auto"/>
              </w:rPr>
            </w:pPr>
            <w:r>
              <w:rPr>
                <w:rFonts w:ascii="Arial" w:cs="Arial" w:eastAsia="Arial" w:hAnsi="Arial"/>
                <w:sz w:val="18"/>
                <w:szCs w:val="18"/>
                <w:color w:val="auto"/>
              </w:rPr>
              <w:t xml:space="preserve">Net revenues </w:t>
            </w:r>
            <w:r>
              <w:rPr>
                <w:rFonts w:ascii="Arial" w:cs="Arial" w:eastAsia="Arial" w:hAnsi="Arial"/>
                <w:sz w:val="29"/>
                <w:szCs w:val="29"/>
                <w:color w:val="auto"/>
                <w:vertAlign w:val="superscript"/>
              </w:rPr>
              <w:t>(2)</w:t>
            </w:r>
          </w:p>
        </w:tc>
        <w:tc>
          <w:tcPr>
            <w:tcW w:w="374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272,789</w:t>
            </w:r>
          </w:p>
        </w:tc>
        <w:tc>
          <w:tcPr>
            <w:tcW w:w="160" w:type="dxa"/>
            <w:vAlign w:val="bottom"/>
            <w:tcBorders>
              <w:top w:val="single" w:sz="8" w:color="CCEEFF"/>
            </w:tcBorders>
          </w:tcPr>
          <w:p>
            <w:pPr>
              <w:spacing w:after="0"/>
              <w:rPr>
                <w:sz w:val="22"/>
                <w:szCs w:val="22"/>
                <w:color w:val="auto"/>
              </w:rPr>
            </w:pPr>
          </w:p>
        </w:tc>
        <w:tc>
          <w:tcPr>
            <w:tcW w:w="16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286,439</w:t>
            </w:r>
          </w:p>
        </w:tc>
        <w:tc>
          <w:tcPr>
            <w:tcW w:w="200" w:type="dxa"/>
            <w:vAlign w:val="bottom"/>
            <w:tcBorders>
              <w:top w:val="single" w:sz="8" w:color="CCEEFF"/>
            </w:tcBorders>
          </w:tcPr>
          <w:p>
            <w:pPr>
              <w:spacing w:after="0"/>
              <w:rPr>
                <w:sz w:val="22"/>
                <w:szCs w:val="22"/>
                <w:color w:val="auto"/>
              </w:rPr>
            </w:pPr>
          </w:p>
        </w:tc>
        <w:tc>
          <w:tcPr>
            <w:tcW w:w="120" w:type="dxa"/>
            <w:vAlign w:val="bottom"/>
            <w:tcBorders>
              <w:top w:val="single" w:sz="8" w:color="CCEEFF"/>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299,335</w:t>
            </w:r>
          </w:p>
        </w:tc>
        <w:tc>
          <w:tcPr>
            <w:tcW w:w="180" w:type="dxa"/>
            <w:vAlign w:val="bottom"/>
            <w:tcBorders>
              <w:top w:val="single" w:sz="8" w:color="CCEEFF"/>
            </w:tcBorders>
          </w:tcPr>
          <w:p>
            <w:pPr>
              <w:spacing w:after="0"/>
              <w:rPr>
                <w:sz w:val="22"/>
                <w:szCs w:val="22"/>
                <w:color w:val="auto"/>
              </w:rPr>
            </w:pPr>
          </w:p>
        </w:tc>
        <w:tc>
          <w:tcPr>
            <w:tcW w:w="1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279,205</w:t>
            </w:r>
          </w:p>
        </w:tc>
        <w:tc>
          <w:tcPr>
            <w:tcW w:w="140" w:type="dxa"/>
            <w:vAlign w:val="bottom"/>
            <w:tcBorders>
              <w:top w:val="single" w:sz="8" w:color="CCEEFF"/>
            </w:tcBorders>
          </w:tcPr>
          <w:p>
            <w:pPr>
              <w:spacing w:after="0"/>
              <w:rPr>
                <w:sz w:val="22"/>
                <w:szCs w:val="22"/>
                <w:color w:val="auto"/>
              </w:rPr>
            </w:pPr>
          </w:p>
        </w:tc>
        <w:tc>
          <w:tcPr>
            <w:tcW w:w="180" w:type="dxa"/>
            <w:vAlign w:val="bottom"/>
            <w:tcBorders>
              <w:top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CCEEFF"/>
            </w:tcBorders>
          </w:tcPr>
          <w:p>
            <w:pPr>
              <w:jc w:val="right"/>
              <w:spacing w:after="0"/>
              <w:rPr>
                <w:sz w:val="20"/>
                <w:szCs w:val="20"/>
                <w:color w:val="auto"/>
              </w:rPr>
            </w:pPr>
            <w:r>
              <w:rPr>
                <w:rFonts w:ascii="Arial" w:cs="Arial" w:eastAsia="Arial" w:hAnsi="Arial"/>
                <w:sz w:val="18"/>
                <w:szCs w:val="18"/>
                <w:color w:val="auto"/>
              </w:rPr>
              <w:t>289,050</w:t>
            </w:r>
          </w:p>
        </w:tc>
        <w:tc>
          <w:tcPr>
            <w:tcW w:w="140" w:type="dxa"/>
            <w:vAlign w:val="bottom"/>
            <w:tcBorders>
              <w:top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Book-to-bill ratio</w:t>
            </w: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0.94</w:t>
            </w: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82"/>
        </w:trPr>
        <w:tc>
          <w:tcPr>
            <w:tcW w:w="20" w:type="dxa"/>
            <w:vAlign w:val="bottom"/>
          </w:tcPr>
          <w:p>
            <w:pPr>
              <w:spacing w:after="0"/>
              <w:rPr>
                <w:sz w:val="24"/>
                <w:szCs w:val="24"/>
                <w:color w:val="auto"/>
              </w:rPr>
            </w:pPr>
          </w:p>
        </w:tc>
        <w:tc>
          <w:tcPr>
            <w:tcW w:w="5180" w:type="dxa"/>
            <w:vAlign w:val="bottom"/>
            <w:gridSpan w:val="3"/>
          </w:tcPr>
          <w:p>
            <w:pPr>
              <w:spacing w:after="0"/>
              <w:rPr>
                <w:sz w:val="20"/>
                <w:szCs w:val="20"/>
                <w:color w:val="auto"/>
              </w:rPr>
            </w:pPr>
            <w:r>
              <w:rPr>
                <w:rFonts w:ascii="Arial" w:cs="Arial" w:eastAsia="Arial" w:hAnsi="Arial"/>
                <w:sz w:val="18"/>
                <w:szCs w:val="18"/>
                <w:color w:val="auto"/>
              </w:rPr>
              <w:t xml:space="preserve">Gross profit margin </w:t>
            </w:r>
            <w:r>
              <w:rPr>
                <w:rFonts w:ascii="Arial" w:cs="Arial" w:eastAsia="Arial" w:hAnsi="Arial"/>
                <w:sz w:val="29"/>
                <w:szCs w:val="29"/>
                <w:color w:val="auto"/>
                <w:vertAlign w:val="superscript"/>
              </w:rPr>
              <w:t>(3)</w:t>
            </w:r>
          </w:p>
        </w:tc>
        <w:tc>
          <w:tcPr>
            <w:tcW w:w="140" w:type="dxa"/>
            <w:vAlign w:val="bottom"/>
          </w:tcPr>
          <w:p>
            <w:pPr>
              <w:spacing w:after="0"/>
              <w:rPr>
                <w:sz w:val="24"/>
                <w:szCs w:val="24"/>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9.5%</w:t>
            </w: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24"/>
                <w:szCs w:val="24"/>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1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18268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19" w:lineRule="exact"/>
        <w:rPr>
          <w:sz w:val="20"/>
          <w:szCs w:val="20"/>
          <w:color w:val="auto"/>
        </w:rPr>
      </w:pPr>
    </w:p>
    <w:p>
      <w:pPr>
        <w:ind w:firstLine="8"/>
        <w:spacing w:after="0" w:line="254"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revenues for the Semiconductors segment include royalty revenues of $0.5 million, $0.7 million, $0.7 million, $1.6 million, and $1.9 million for the fourth quarter 2004, first quarter 2005, second quarter 2005, third quarter 2005, and fourth quarter 2005, respectively.</w:t>
      </w:r>
    </w:p>
    <w:p>
      <w:pPr>
        <w:ind w:right="20" w:firstLine="8"/>
        <w:spacing w:after="0" w:line="250" w:lineRule="auto"/>
        <w:tabs>
          <w:tab w:leader="none" w:pos="249"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revenues for the Passive Components segment include royalty revenues of $0.6 million for the fourth quarter of 2004 and an immaterial amount of royalty revenue in the second quarter of 2005.</w:t>
      </w:r>
    </w:p>
    <w:p>
      <w:pPr>
        <w:ind w:left="260" w:hanging="252"/>
        <w:spacing w:after="0"/>
        <w:tabs>
          <w:tab w:leader="none" w:pos="2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Gross profit margin for the Passive Components segment includes the impact of inventory write-downs and (gain) loss on purchase commitments.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 Management</w:t>
      </w:r>
    </w:p>
    <w:p>
      <w:pPr>
        <w:spacing w:after="0" w:line="231" w:lineRule="exact"/>
        <w:rPr>
          <w:sz w:val="20"/>
          <w:szCs w:val="20"/>
          <w:color w:val="auto"/>
        </w:rPr>
      </w:pPr>
    </w:p>
    <w:p>
      <w:pPr>
        <w:ind w:right="120"/>
        <w:spacing w:after="0" w:line="318" w:lineRule="auto"/>
        <w:rPr>
          <w:sz w:val="20"/>
          <w:szCs w:val="20"/>
          <w:color w:val="auto"/>
        </w:rPr>
      </w:pPr>
      <w:r>
        <w:rPr>
          <w:rFonts w:ascii="Arial" w:cs="Arial" w:eastAsia="Arial" w:hAnsi="Arial"/>
          <w:sz w:val="15"/>
          <w:szCs w:val="15"/>
          <w:color w:val="auto"/>
        </w:rPr>
        <w:t>We place a strong emphasis on reducing our costs. One way we do this is by moving production to the extent possible from high-labor-cost markets, such as the United States and Western Europe, to lower-labor-cost markets, such as the Czech Republic, Israel, India, Malaysia, Mexico, the People’s Republic of China and the Philippines. The percentage of our total headcount in lower-labor-cost countries is a measure of the extent to which we are successful in implementing this program. This percentage was 72.8% at the end of 2005, as compared to 71.8% at the end of 2004, 69% at the end of 2003, 65% at the end of 2002, 61% at the end of 2001, and 57% at the end of 2000. Our long-term target is to have between 75% and 80% of our headcount in lower-labor-cost countries.</w:t>
      </w:r>
    </w:p>
    <w:p>
      <w:pPr>
        <w:spacing w:after="0" w:line="15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color w:val="auto"/>
        </w:rPr>
        <w:t>Since 2001, we have been implementing aggressive cost reduction programs to enhance our competitiveness, particularly in light of the erosion of average selling prices of established products that is typical of the industry.</w:t>
      </w:r>
    </w:p>
    <w:p>
      <w:pPr>
        <w:spacing w:after="0" w:line="186"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We are placing particular emphasis on cost reduction in our capacitor lines, which were hardest hit by the market downturn experienced from 2001 to 2003 and where the business continues to suffer from worldwide overcapacity. During 2005, we closed our Sanford, Maine tantalum capacitor manufacturing facility. We continue to consolidate our existing film capacitor lines within the business of BCcomponents, including transferring production to India and the People’s Republic of China after closing facilities in Germany and the Czech Republic and reducing production in Portugal and Belgium. We also finalized the first phase of a production transfer of tantalum molded finishing operations from Israel to the People’s Republic of China. We will begin the implementation of the second phase of this transfer during the first half of 2006.</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- 37 -</w:t>
      </w:r>
    </w:p>
    <w:p>
      <w:pPr>
        <w:sectPr>
          <w:pgSz w:w="11900" w:h="16838" w:orient="portrait"/>
          <w:cols w:equalWidth="0" w:num="1">
            <w:col w:w="11420"/>
          </w:cols>
          <w:pgMar w:left="240" w:top="584" w:right="239" w:bottom="1440" w:gutter="0" w:footer="0" w:header="0"/>
        </w:sectPr>
      </w:pPr>
    </w:p>
    <w:bookmarkStart w:id="37" w:name="page38"/>
    <w:bookmarkEnd w:id="37"/>
    <w:p>
      <w:pPr>
        <w:ind w:right="60"/>
        <w:spacing w:after="0" w:line="256" w:lineRule="auto"/>
        <w:rPr>
          <w:sz w:val="20"/>
          <w:szCs w:val="20"/>
          <w:color w:val="auto"/>
        </w:rPr>
      </w:pPr>
      <w:r>
        <w:rPr>
          <w:rFonts w:ascii="Arial" w:cs="Arial" w:eastAsia="Arial" w:hAnsi="Arial"/>
          <w:sz w:val="18"/>
          <w:szCs w:val="18"/>
          <w:color w:val="auto"/>
        </w:rPr>
        <w:t>During 2005, we closed our Norfolk, Nebraska resistors manufacturing facility. During the second quarter of 2005, we shipped our first thin film chips from Israel, a key milestone in the planned production transfer of this product line from Germany. During the third quarter of 2005, we announced the transfer of non-linear resistors finishing operations from Evere, Belgium to Danshui, China, and announced that we plan to close our Swindon, UK variable resistors facility and transfer production to the Czech Republic.</w:t>
      </w:r>
    </w:p>
    <w:p>
      <w:pPr>
        <w:spacing w:after="0" w:line="19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During 2005, we completed the closure of our Colmar, France small signal diode facility and transferred the production to the People’s Republic of China and Hungary. We also continued the transfer of our power diode production from the Republic of China (Taiwan) to the People’s Republic of China, which was substantially completed as of the end of the third quarter of 2005, with a few product qualifications still pending.</w:t>
      </w:r>
    </w:p>
    <w:p>
      <w:pPr>
        <w:spacing w:after="0" w:line="161" w:lineRule="exact"/>
        <w:rPr>
          <w:sz w:val="20"/>
          <w:szCs w:val="20"/>
          <w:color w:val="auto"/>
        </w:rPr>
      </w:pPr>
    </w:p>
    <w:p>
      <w:pPr>
        <w:ind w:right="240"/>
        <w:spacing w:after="0" w:line="294" w:lineRule="auto"/>
        <w:rPr>
          <w:sz w:val="20"/>
          <w:szCs w:val="20"/>
          <w:color w:val="auto"/>
        </w:rPr>
      </w:pPr>
      <w:r>
        <w:rPr>
          <w:rFonts w:ascii="Arial" w:cs="Arial" w:eastAsia="Arial" w:hAnsi="Arial"/>
          <w:sz w:val="16"/>
          <w:szCs w:val="16"/>
          <w:color w:val="auto"/>
        </w:rPr>
        <w:t>Our 2005 restructuring plans also included the integration of acquired businesses. The integration of the operations of Vishay MIC Technology, acquired in September 2004, into our existing Electro-Films facility was finalized ahead of plan during the second quarter of 2005. The Pearl River, New York facility acquired in the MIC Technology acquisition is presently being marketed for sale. We continue to integrate SI Technologies, acquired in April 2005, into our existing businesses, including consolidating the Tustin, California facility and our existing transducer and strain gage facility in Covina, California. We expect substantial synergies from the integration of the SI Technologies business, which we expect to further enhance the profitability of our Measurements Group.</w:t>
      </w:r>
    </w:p>
    <w:p>
      <w:pPr>
        <w:spacing w:after="0" w:line="170"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During 2005, we achieved approximately $44 million of savings as a result of our restructuring and other cost savings efforts. In April 2005, we began evaluating additional restructuring initiatives to improve the results of underperforming divisions, which we expect will eventually generate additional annual cost savings of $40 million, of which we believe approximately $20 million will begin to be realized in 2006. Our cost savings initiatives are expected to include a combination of production transfers, plant closures, and overhead streamlining.</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restructuring plans for 2006 include moving certain back-end Siliconix division production from the Republic of China (Taiwan) to the People’s Republic of China; consolidating some locations in Hungary and Germany; shifting production for a portion of our film capacitor product lines from Belgium to India and China; shifting production for a portion of our aluminum capacitor product lines from the Netherlands to Austria and/or sub-contractors; and completing a second phase of transferring our tantalum molded capacitor finishing operation from Israel to the People’s Republic of China.</w:t>
      </w:r>
    </w:p>
    <w:p>
      <w:pPr>
        <w:spacing w:after="0" w:line="16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While streamlining and reducing fixed overhead, we are exercising caution so that we will not negatively impact our customer service or our ability to further develop products and processes. Our cost management plans also include expansion of certain critical capacities, which we hope will reduce average materials and processing costs.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Israeli Government Incentives</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Our production facilities in Israel benefit from incentives offered by the Israeli government for the creation of jobs and capital investment in that country. These benefits take the form of government grants and reduced tax rates that are lower than those in the United States.</w:t>
      </w:r>
    </w:p>
    <w:p>
      <w:pPr>
        <w:spacing w:after="0" w:line="186"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These reduced tax rates apply to specific approved projects and are normally available for a period of ten or fifteen years. The lower tax rates in Israel applicable to us ordinarily have resulted in increased earnings compared to what earnings would have been had statutory United States tax rates applied. During 2005, we resolved certain tax matters with the Israeli government, resulting in a tax benefit of $6.9 million. Including this benefit, the net impact of the tax rates in Israel was an increase in earnings of approximately $8.9 million during 2005. However, due to write-downs of inventories and the losses on purchase commitments recorded in 2002, 2003, and 2004, the application of the Israeli tax rates rather than United States tax rates resulted in decreases in net income of $18.9 million in 2004 and $3.1 million in 2003 as compared to what earnings would have been had statutory United States tax rates applied.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590" w:right="259" w:bottom="1440" w:gutter="0" w:footer="0" w:header="0"/>
        </w:sectPr>
      </w:pPr>
    </w:p>
    <w:bookmarkStart w:id="38" w:name="page39"/>
    <w:bookmarkEnd w:id="38"/>
    <w:p>
      <w:pPr>
        <w:ind w:right="40"/>
        <w:spacing w:after="0" w:line="298" w:lineRule="auto"/>
        <w:rPr>
          <w:sz w:val="20"/>
          <w:szCs w:val="20"/>
          <w:color w:val="auto"/>
        </w:rPr>
      </w:pPr>
      <w:r>
        <w:rPr>
          <w:rFonts w:ascii="Arial" w:cs="Arial" w:eastAsia="Arial" w:hAnsi="Arial"/>
          <w:sz w:val="16"/>
          <w:szCs w:val="16"/>
          <w:color w:val="auto"/>
        </w:rPr>
        <w:t>Israeli government grants are awarded to specific projects. These grants are intended to promote employment in Israel’s industrial sector and are conditioned on the recipient maintaining certain prescribed employment levels. Grants are paid when the related projects are approved by the Israeli government and become operational. Israeli government grants, recorded as a reduction in the costs of products sold, were $6.9 million, $8.9 million, and $12.4 million in 2005, 2004, and 2003, respectively. At December 31, 2005, our consolidated balance sheet reflected $11.9 million in deferred grant income.</w:t>
      </w:r>
    </w:p>
    <w:p>
      <w:pPr>
        <w:spacing w:after="0" w:line="167" w:lineRule="exact"/>
        <w:rPr>
          <w:sz w:val="20"/>
          <w:szCs w:val="20"/>
          <w:color w:val="auto"/>
        </w:rPr>
      </w:pPr>
    </w:p>
    <w:p>
      <w:pPr>
        <w:ind w:right="200"/>
        <w:spacing w:after="0" w:line="289" w:lineRule="auto"/>
        <w:rPr>
          <w:sz w:val="20"/>
          <w:szCs w:val="20"/>
          <w:color w:val="auto"/>
        </w:rPr>
      </w:pPr>
      <w:r>
        <w:rPr>
          <w:rFonts w:ascii="Arial" w:cs="Arial" w:eastAsia="Arial" w:hAnsi="Arial"/>
          <w:sz w:val="16"/>
          <w:szCs w:val="16"/>
          <w:color w:val="auto"/>
        </w:rPr>
        <w:t>During the second quarter of 2002, the government of Israel informed us that because the headcount in our Israeli subsidiaries decreased significantly over the previous 18 months, the government intended to withhold up to $15 million in grant monies otherwise due to us. The grant, which was made by the Israeli government under an economic stimulus program, was conditioned in part on minimum employment levels at certain of our Israeli facilities. The Israeli government argued that we had not maintained employment at the required minimum levels. During the fourth quarter of 2002, we settled our dispute with the government of Israel, and the government agreed to continue making grant payments to us. Under the terms of the settlement with the Israeli government, we were required to employ at least an additional 1,500 employees in Israel by December 31, 2005 in order to preserve our eligibility for the government grant and tax benefits. While we met the target employment level to satisfy the eligibility requirements for our Israeli government grants, economic circumstances could compel future additional layoffs.</w:t>
      </w:r>
    </w:p>
    <w:p>
      <w:pPr>
        <w:spacing w:after="0" w:line="172" w:lineRule="exact"/>
        <w:rPr>
          <w:sz w:val="20"/>
          <w:szCs w:val="20"/>
          <w:color w:val="auto"/>
        </w:rPr>
      </w:pPr>
    </w:p>
    <w:p>
      <w:pPr>
        <w:ind w:right="520"/>
        <w:spacing w:after="0" w:line="332" w:lineRule="auto"/>
        <w:rPr>
          <w:sz w:val="20"/>
          <w:szCs w:val="20"/>
          <w:color w:val="auto"/>
        </w:rPr>
      </w:pPr>
      <w:r>
        <w:rPr>
          <w:rFonts w:ascii="Arial" w:cs="Arial" w:eastAsia="Arial" w:hAnsi="Arial"/>
          <w:sz w:val="16"/>
          <w:szCs w:val="16"/>
          <w:color w:val="auto"/>
        </w:rPr>
        <w:t>If we were no longer able to maintain the required level of employment in the future, we could be required to return some grant funds and repay certain tax benefits that were previously awarded to us. The effect of the return of these funds would be to reduce our income in future years.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Write-Downs of Inventory and Purchase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Tantalum</w:t>
      </w:r>
    </w:p>
    <w:p>
      <w:pPr>
        <w:spacing w:after="0" w:line="225" w:lineRule="exact"/>
        <w:rPr>
          <w:sz w:val="20"/>
          <w:szCs w:val="20"/>
          <w:color w:val="auto"/>
        </w:rPr>
      </w:pPr>
    </w:p>
    <w:p>
      <w:pPr>
        <w:jc w:val="both"/>
        <w:spacing w:after="0" w:line="335" w:lineRule="auto"/>
        <w:rPr>
          <w:sz w:val="20"/>
          <w:szCs w:val="20"/>
          <w:color w:val="auto"/>
        </w:rPr>
      </w:pPr>
      <w:r>
        <w:rPr>
          <w:rFonts w:ascii="Arial" w:cs="Arial" w:eastAsia="Arial" w:hAnsi="Arial"/>
          <w:sz w:val="15"/>
          <w:szCs w:val="15"/>
          <w:color w:val="auto"/>
        </w:rPr>
        <w:t>Tantalum is the principal material used in the manufacture of tantalum capacitors. We generally purchase this metal in powder or wire form, although in 2000 and early 2001, when we perceived possible supply shortages, we also stockpiled quantities of tantalum ore. In July and November of 2000, we entered into purchase contracts with Cabot Corporation for tantalum powder and wire that committed us to minimum purchases of these materials at fixed prices through 2006.</w:t>
      </w:r>
    </w:p>
    <w:p>
      <w:pPr>
        <w:spacing w:after="0" w:line="142"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In 2001 through 2003, as a result of the general downturn in the electronics business, we experienced a significant decrease in capacitor sales. Prices of tantalum ore, powder and wire and of palladium also experienced significant declines. As a result of these declines in prices, we recorded in costs of products sold write-downs of tantalum inventories to then-current market value of $5.4 million and $25.7 million during the years ended December 31, 2003 and 2002, respectively. Also as a result of this decline in prices, we recorded losses on purchase commitments for tantalum of $11.4 million and $106.0 million for the years ended December 31, 2003 and 2002, respectively.</w:t>
      </w:r>
    </w:p>
    <w:p>
      <w:pPr>
        <w:spacing w:after="0" w:line="19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Losses on purchase commitments and the related liability recorded on our consolidated balance sheet is estimated based on our contractually obligated purchase prices, expected market prices, and the contractually obligated mix of tantalum-grades to be purchased. The mix of tantalum-grades to be purchased is within a range specified by the contracts. The pricing trend for tantalum has been relatively stable since 2003. The mix of our purchases of tantalum grades during 2004 and 2005 was significantly different than initially assumed, which resulted in adjustments to our purchase commitment liability (additional losses) in 2004 and 2005 of approximately $16.2 million and $6.0 million, respectively. Furthermore, one of our contracts for tantalum purchases provides for price reductions in 2006 if certain conditions are met. We have confirmed with Cabot that we have met all of these conditions, and accordingly, our estimates of our liability for these purchase commitments as of December 31, 2005 are based on the assumption that we will receive these conditional price reductions in 2006. As a result of meeting the criteria to receive these lower contract prices for 2006, we recorded a favorable adjustment of approximately $7.0 million, resulting in a net gain of approximately $1.0 million for the year ended December 31, 2005.</w:t>
      </w:r>
    </w:p>
    <w:p>
      <w:pPr>
        <w:spacing w:after="0" w:line="174" w:lineRule="exact"/>
        <w:rPr>
          <w:sz w:val="20"/>
          <w:szCs w:val="20"/>
          <w:color w:val="auto"/>
        </w:rPr>
      </w:pPr>
    </w:p>
    <w:p>
      <w:pPr>
        <w:jc w:val="both"/>
        <w:ind w:right="660"/>
        <w:spacing w:after="0" w:line="259" w:lineRule="auto"/>
        <w:rPr>
          <w:sz w:val="20"/>
          <w:szCs w:val="20"/>
          <w:color w:val="auto"/>
        </w:rPr>
      </w:pPr>
      <w:r>
        <w:rPr>
          <w:rFonts w:ascii="Arial" w:cs="Arial" w:eastAsia="Arial" w:hAnsi="Arial"/>
          <w:sz w:val="18"/>
          <w:szCs w:val="18"/>
          <w:color w:val="auto"/>
        </w:rPr>
        <w:t>If the downward market pricing trend were to resume, we could again be required to write down the carrying value of our tantalum inventory and record additional losses on our purchase commitments. Changes in our mix of tantalum-grade purchases could also require us to record additional losses on our purchase commitments.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590" w:right="239" w:bottom="1440" w:gutter="0" w:footer="0" w:header="0"/>
        </w:sectPr>
      </w:pPr>
    </w:p>
    <w:bookmarkStart w:id="39" w:name="page40"/>
    <w:bookmarkEnd w:id="39"/>
    <w:p>
      <w:pPr>
        <w:ind w:right="20"/>
        <w:spacing w:after="0" w:line="254" w:lineRule="auto"/>
        <w:rPr>
          <w:sz w:val="20"/>
          <w:szCs w:val="20"/>
          <w:color w:val="auto"/>
        </w:rPr>
      </w:pPr>
      <w:r>
        <w:rPr>
          <w:rFonts w:ascii="Arial" w:cs="Arial" w:eastAsia="Arial" w:hAnsi="Arial"/>
          <w:sz w:val="18"/>
          <w:szCs w:val="18"/>
          <w:color w:val="auto"/>
        </w:rPr>
        <w:t>During the past five years, our minimum purchase commitments under the contracts with Cabot have exceeded our production requirements for tantalum capacitors. This is expected to be the case in 2006, the final year of the contract. Tantalum powder and wire have an indefinite shelf life; therefore, we believe that we will eventually utilize all of the material in our inventory or purchased under the contracts. Based on usage currently expected in 2006, our inventory on hand plus our future purchase commitments represent approximately 3 years of usage. We have little visibility of the demand for our tantalum capacitor products beyond twelve months. It is almost certain that our actual requirements of tantalum will differ from those projected, and likely that the difference will be material. Also see “Contractual Commitments” below.</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Palladium</w:t>
      </w:r>
    </w:p>
    <w:p>
      <w:pPr>
        <w:spacing w:after="0" w:line="225" w:lineRule="exact"/>
        <w:rPr>
          <w:sz w:val="20"/>
          <w:szCs w:val="20"/>
          <w:color w:val="auto"/>
        </w:rPr>
      </w:pPr>
    </w:p>
    <w:p>
      <w:pPr>
        <w:ind w:right="320"/>
        <w:spacing w:after="0" w:line="306" w:lineRule="auto"/>
        <w:rPr>
          <w:sz w:val="20"/>
          <w:szCs w:val="20"/>
          <w:color w:val="auto"/>
        </w:rPr>
      </w:pPr>
      <w:r>
        <w:rPr>
          <w:rFonts w:ascii="Arial" w:cs="Arial" w:eastAsia="Arial" w:hAnsi="Arial"/>
          <w:sz w:val="16"/>
          <w:szCs w:val="16"/>
          <w:color w:val="auto"/>
        </w:rPr>
        <w:t>Palladium is a precious metal used in the production of multi-layer ceramic capacitors that we purchase under short-term contracts. We recorded in costs of products sold write-downs of palladium inventories to then-current market value of $0.4 million and $1.6 million for the years ended December 31, 2004 and 2003, respectively, and a loss on purchase commitments of $0.4 million during the year ended December 31, 2004.</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w:t>
      </w:r>
    </w:p>
    <w:p>
      <w:pPr>
        <w:spacing w:after="0" w:line="231"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2005, we realized approximately 74% of our revenues from customers outside the United States. Any third party sales not using the U.S. dollar as the functional currency must be reported in the local currency and be translated at the weighted average exchange rate. This translation has an impact on the net sales line of the consolidated statements of operations and also on the expense lines of the consolidated statements of operations. We generally do not purchase foreign currency exchange contracts or other derivative instruments to hedge our exposure to foreign currency fluctuations, although we do maintain cash balances in foreign currencies to act as a natural hedge of certain net exposures. As of December 31, 2005 and 2004, we had no outstanding foreign currency forward exchange contracts.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31" w:lineRule="exact"/>
        <w:rPr>
          <w:sz w:val="20"/>
          <w:szCs w:val="20"/>
          <w:color w:val="auto"/>
        </w:rPr>
      </w:pPr>
    </w:p>
    <w:p>
      <w:pPr>
        <w:ind w:right="740"/>
        <w:spacing w:after="0" w:line="268" w:lineRule="auto"/>
        <w:rPr>
          <w:sz w:val="20"/>
          <w:szCs w:val="20"/>
          <w:color w:val="auto"/>
        </w:rPr>
      </w:pPr>
      <w:r>
        <w:rPr>
          <w:rFonts w:ascii="Arial" w:cs="Arial" w:eastAsia="Arial" w:hAnsi="Arial"/>
          <w:sz w:val="18"/>
          <w:szCs w:val="18"/>
          <w:color w:val="auto"/>
        </w:rPr>
        <w:t>Our significant accounting policies are summarized in Note 1 to our consolidated financial statements. We identify here a number of policies that entail significant judgments or estimates.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We recognize revenue on product sales during the period when the sales process is complete. This generally occurs when products are shipped to the customer in accordance with terms of an agreement of sale, title and risk of loss have been transferred, collectibility is reasonably assured and pricing is fixed or determinable. For a small percentage of sales where title and risk of loss passes at point of delivery, we recognize revenue upon delivery to the customer, assuming all other criteria for revenue recognition are met. We historically have had agreements with distributors that provided limited rights of product return. Beginning in 2002, we modified these arrangements to allow distributors a limited credit for unsaleable products, which we term a “scrap allowance.” Consistent with industry practice, we also have a “stock, ship and debit” program whereby we consider, and grant at our discretion, requests by distributors for credits on previously purchased products that remain in distributors’ inventory, to enable the distributors to offer more competitive pricing. In addition, we have contractual arrangements whereby we provide distributors with protection against price reductions that we initiate after sale of product to the distributor and prior to resale by the distributor.</w:t>
      </w:r>
    </w:p>
    <w:p>
      <w:pPr>
        <w:spacing w:after="0" w:line="174"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We record end of period accruals for each of the programs based upon our estimate of future credits under the programs that will be attributable to sales recorded through the end of the period. We calculate reductions of revenue attributable to each of the programs during any period by computing the change in the accruals from the prior period and adding the credits actually given to distributors during the period under the programs. These procedures require the exercise of significant judgments, but we believe they enable us to estimate reasonably future credits under the programs.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380"/>
          </w:cols>
          <w:pgMar w:left="240" w:top="590" w:right="279" w:bottom="1440" w:gutter="0" w:footer="0" w:header="0"/>
        </w:sectPr>
      </w:pPr>
    </w:p>
    <w:bookmarkStart w:id="40" w:name="page41"/>
    <w:bookmarkEnd w:id="40"/>
    <w:p>
      <w:pPr>
        <w:ind w:right="60"/>
        <w:spacing w:after="0" w:line="289" w:lineRule="auto"/>
        <w:rPr>
          <w:sz w:val="20"/>
          <w:szCs w:val="20"/>
          <w:color w:val="auto"/>
        </w:rPr>
      </w:pPr>
      <w:r>
        <w:rPr>
          <w:rFonts w:ascii="Arial" w:cs="Arial" w:eastAsia="Arial" w:hAnsi="Arial"/>
          <w:sz w:val="16"/>
          <w:szCs w:val="16"/>
          <w:color w:val="auto"/>
        </w:rPr>
        <w:t>Recording and monitoring of these accruals takes place at our subsidiaries and divisions, with input from sales and marketing personnel and review, assessment and, if necessary, adjustment by corporate management. While our subsidiaries and divisions utilize different methodologies based on their individual experiences, all of the methodologies take into account certain elements that management considers relevant, such as sales to distributors during the relevant period, inventory levels at the distributors, current and projected market trends and conditions, recent and historical activity under the relevant programs, changes in program policies, and open requests for credits. In our judgment, the different methodologies provide us with equally reliable estimates upon which to base our accruals. We do not track the credits that we record against specific products sold from distributor inventories, so as to directly compare revenue reduction for credits recorded during any period with credits ultimately awarded in respect of products sold during that period. Nevertheless, we believe that we have an adequate basis to assess the reasonableness and reliability of our estimates.</w:t>
      </w:r>
    </w:p>
    <w:p>
      <w:pPr>
        <w:spacing w:after="0" w:line="172"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We recognize royalty revenue in accordance with agreed upon terms when performance obligations are satisfied, the amount is fixed or determinable, and collectibility is reasonably assured. We earn royalties at the point of sale of products which incorporate licensed intellectual property. Accordingly, the amount of royalties recognized is determined based on our licensees’ periodic reporting to us and judgments and estimates by Vishay management that we believe are reasonable. However, it is possible that actual results may differ from our estimates.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25"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Our receivables represent a significant portion of our current assets. We are required to estimate the collectibility of our receivables and to establish allowances for the amount of receivables that will prove uncollectible. We base these allowances on our historical collection experience, the length of time our receivables are outstanding, the financial circumstances of individual customers, and general business and economic conditions.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We value our inventories at the lower of cost or market, with cost determined under the first-in first-out method and market based upon net realizable value. The valuation of our inventories requires our management to make market estimates. For instance, in the case of tantalum, we estimate market value by obtaining current quotations from available sources of supply. For work in process goods, we are required to estimate the cost to completion of the products and the prices at which we will be able to sell the products. For finished goods, we must assess the prices at which we believe the inventory can be sold. Over the past few years, we have recorded write-downs of our tantalum and palladium inventories to then-current market value. Inventories are also adjusted for estimated obsolescence and written down to net realizable value based upon estimates of future demand, technology developments and market conditions.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Estimates of Restructuring and Severance Costs and Purchase-Related Restructuring Costs</w:t>
      </w:r>
    </w:p>
    <w:p>
      <w:pPr>
        <w:spacing w:after="0" w:line="225"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In 2005, 2004, and 2003, we recorded restructuring and severance costs of approximately $29.8 million, $47.3 million and $28.5 million, respectively, related to our existing businesses. Our restructuring activities related to existing business were designed to reduce both our fixed and variable costs, particularly in response to the reduced demand for our products occasioned by the electronics industry downturn experienced from 2001 to 2003. These included the disposition of fixed assets and the termination of employees. Acquisition-related restructuring costs are included in the allocation of the cost of the acquired business and generally add to goodwill. Other restructuring costs are expensed during the period in which we determine that we will incur those costs, and all of the requirements for accrual are met.</w:t>
      </w:r>
    </w:p>
    <w:p>
      <w:pPr>
        <w:spacing w:after="0" w:line="198"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Because these costs are recorded based upon estimates, our actual expenditures for the restructuring activities may differ from the initially recorded costs. If this happens, we will have to adjust our estimates in future periods. In the case of acquisition-related restructuring costs, if our initial estimate is too high, this would generally require a change in value of the goodwill appearing on our balance sheet, but would not affect our earnings. Assuming our allocation of purchase price of the respective acquisition is finalized, if our initial estimate of purchase-related restructuring costs is too low, we would be required to record additional expenses in future periods.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- 41 -</w:t>
      </w:r>
    </w:p>
    <w:p>
      <w:pPr>
        <w:sectPr>
          <w:pgSz w:w="11900" w:h="16838" w:orient="portrait"/>
          <w:cols w:equalWidth="0" w:num="1">
            <w:col w:w="11420"/>
          </w:cols>
          <w:pgMar w:left="240" w:top="590" w:right="239" w:bottom="1440" w:gutter="0" w:footer="0" w:header="0"/>
        </w:sectPr>
      </w:pPr>
    </w:p>
    <w:bookmarkStart w:id="41" w:name="page42"/>
    <w:bookmarkEnd w:id="41"/>
    <w:p>
      <w:pPr>
        <w:ind w:right="420"/>
        <w:spacing w:after="0" w:line="268" w:lineRule="auto"/>
        <w:rPr>
          <w:sz w:val="20"/>
          <w:szCs w:val="20"/>
          <w:color w:val="auto"/>
        </w:rPr>
      </w:pPr>
      <w:r>
        <w:rPr>
          <w:rFonts w:ascii="Arial" w:cs="Arial" w:eastAsia="Arial" w:hAnsi="Arial"/>
          <w:sz w:val="18"/>
          <w:szCs w:val="18"/>
          <w:color w:val="auto"/>
        </w:rPr>
        <w:t>In the case of other restructuring costs, we could be required either to record additional expenses in future periods, if our initial estimates were too low, or to reverse part of the charges that we recorded initially, if our initial estimates were too high.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Raw Material Write-Downs</w:t>
      </w:r>
    </w:p>
    <w:p>
      <w:pPr>
        <w:spacing w:after="0" w:line="225" w:lineRule="exact"/>
        <w:rPr>
          <w:sz w:val="20"/>
          <w:szCs w:val="20"/>
          <w:color w:val="auto"/>
        </w:rPr>
      </w:pPr>
    </w:p>
    <w:p>
      <w:pPr>
        <w:spacing w:after="0" w:line="323" w:lineRule="auto"/>
        <w:rPr>
          <w:sz w:val="20"/>
          <w:szCs w:val="20"/>
          <w:color w:val="auto"/>
        </w:rPr>
      </w:pPr>
      <w:r>
        <w:rPr>
          <w:rFonts w:ascii="Arial" w:cs="Arial" w:eastAsia="Arial" w:hAnsi="Arial"/>
          <w:sz w:val="15"/>
          <w:szCs w:val="15"/>
          <w:color w:val="auto"/>
        </w:rPr>
        <w:t>In recent years, we took charges against contractual commitments to purchase tantalum powder and wire through 2006 and wrote-down our existing inventory of tantalum ore, powder and wire to then-present market value. We did this because the current market prices of tantalum are substantially below the prices at which we are committed to purchase tantalum in the future under long-term contracts and the prices at which we were carrying our tantalum raw materials inventory. These actions involved significant judgments on our part, including decisions of whether to take these charges and write-downs, their timing and their amount.</w:t>
      </w:r>
    </w:p>
    <w:p>
      <w:pPr>
        <w:spacing w:after="0" w:line="15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made the decision to take the charges and write-downs after our management concluded that the substantial fall-off in the demand for tantalum capacitors was likely to continue for the foreseeable future. Combining this assessment with the worldwide over-capacity in tantalum production, we could not foresee when tantalum prices might recover from their currently depressed levels. Although we believe that both the charges and write-downs as well as their timing were appropriate under the circumstances, our visibility for future demand and pricing is limited and the judgments made by our management necessarily involved subjective assessments.</w:t>
      </w:r>
    </w:p>
    <w:p>
      <w:pPr>
        <w:spacing w:after="0" w:line="197" w:lineRule="exact"/>
        <w:rPr>
          <w:sz w:val="20"/>
          <w:szCs w:val="20"/>
          <w:color w:val="auto"/>
        </w:rPr>
      </w:pPr>
    </w:p>
    <w:p>
      <w:pPr>
        <w:ind w:right="20"/>
        <w:spacing w:after="0" w:line="308" w:lineRule="auto"/>
        <w:rPr>
          <w:sz w:val="20"/>
          <w:szCs w:val="20"/>
          <w:color w:val="auto"/>
        </w:rPr>
      </w:pPr>
      <w:r>
        <w:rPr>
          <w:rFonts w:ascii="Arial" w:cs="Arial" w:eastAsia="Arial" w:hAnsi="Arial"/>
          <w:sz w:val="15"/>
          <w:szCs w:val="15"/>
          <w:color w:val="auto"/>
        </w:rPr>
        <w:t>Losses on purchase commitments and the related liability recorded on our consolidated balance sheet is estimated based on our contractually obligated purchase prices, expected market prices, and the contractually obligated mix of tantalum-grades to be purchased. The mix of tantalum-grades to be purchased is within a range specified by the contracts. There is no established market on which tantalum raw materials are regularly traded and quoted. We based our determination of current market price on quotations from two suppliers of these materials. We cannot say that the prices at which we could currently enter into contracts for the purchase of tantalum would be the same as these quoted prices. Had we made other assumptions on current and future prices for tantalum, the amount of the inventory write-downs and the losses on our purchase commitments would have been different. The pricing trend for tantalum has been relatively stable since 2003. The mix of our purchases of tantalum grades during 2005 and 2004 was significantly different than initially assumed, which resulted in adjustments to our purchase commitment liability being recorded. Furthermore, one of our contracts with Cabot for tantalum purchases provides for price reductions in 2006 if certain conditions are met. We have confirmed with Cabot that we have met all of these conditions, and accordingly, our estimates of our liability recorded for these purchase commitments as of December 31, 2005 are based on the assumption that we will receive these conditional price reductions in 2006.</w:t>
      </w:r>
    </w:p>
    <w:p>
      <w:pPr>
        <w:spacing w:after="0" w:line="163" w:lineRule="exact"/>
        <w:rPr>
          <w:sz w:val="20"/>
          <w:szCs w:val="20"/>
          <w:color w:val="auto"/>
        </w:rPr>
      </w:pPr>
    </w:p>
    <w:p>
      <w:pPr>
        <w:jc w:val="both"/>
        <w:ind w:right="640"/>
        <w:spacing w:after="0" w:line="259" w:lineRule="auto"/>
        <w:rPr>
          <w:sz w:val="20"/>
          <w:szCs w:val="20"/>
          <w:color w:val="auto"/>
        </w:rPr>
      </w:pPr>
      <w:r>
        <w:rPr>
          <w:rFonts w:ascii="Arial" w:cs="Arial" w:eastAsia="Arial" w:hAnsi="Arial"/>
          <w:sz w:val="18"/>
          <w:szCs w:val="18"/>
          <w:color w:val="auto"/>
        </w:rPr>
        <w:t>If the downward market pricing trend were to resume, we could again be required to write down the carrying value of our tantalum inventory and record additional losses on our purchase commitments. Changes in our mix of tantalum-grade purchases could also require us to record additional losses on our purchase commitments.</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If tantalum prices were to recover in the future, we would not reverse the write-downs that we have taken on our raw materials inventory, so that our cost of materials will continue to reflect these write-downs regardless of future price increases in tantalum. This could have the effect of increasing the earnings that we realize in future periods.</w:t>
      </w:r>
    </w:p>
    <w:p>
      <w:pPr>
        <w:spacing w:after="0" w:line="194"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Based upon similar considerations, we recorded write-downs of our palladium inventory to market value in 2004 and 2003. We also recorded a loss on purchase commitments for palladium in 2004.</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00"/>
          </w:cols>
          <w:pgMar w:left="240" w:top="590"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Goodwill</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 xml:space="preserve">Goodwill represents the excess of the cost of businesses acquired over the fair value of the related net assets at the date of acquisition. Goodwill is tested for impairment at least annually. These tests will be performed more frequently if there are triggering events. Statement of Financial Accounting Standards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prescribes a two-step method for determining goodwill impairment. In the first step, we determine the fair value of the reporting unit using a comparable companies market multiple approach. The comparable companies utilized in our evaluation are the members of our peer group included in the presentation of our stock performance in our annual proxy statement. If the net book value of the reporting unit exceeds the fair value, we would then perform the second step of the impairment test, which requires allocation of the reporting unit’s fair value to all of its assets and liabilities in a manner similar to a purchase price allocation, with any residual fair value being allocated to goodwill. An impairment charge will be recognized only when the implied fair value of a reporting unit’s goodwill is less than its carrying amount. We noted no impairment in our annual assessment of goodwill during the years ended December 31, 2005, 2004, or 2003.</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We assess the impairment of our long-lived assets, other than goodwill and tradenames, including property and equipment, and identifiable intangible assets subject to amortization, whenever events or changes in circumstances indicate the carrying value may not be recoverable. Factors we consider important, which could trigger an impairment review, include significant changes in the manner of our use of the asset, changes in historical or projected operating performance and significant negative economic trends.</w:t>
      </w:r>
    </w:p>
    <w:p>
      <w:pPr>
        <w:spacing w:after="0" w:line="197" w:lineRule="exact"/>
        <w:rPr>
          <w:sz w:val="20"/>
          <w:szCs w:val="20"/>
          <w:color w:val="auto"/>
        </w:rPr>
      </w:pPr>
    </w:p>
    <w:p>
      <w:pPr>
        <w:ind w:right="40"/>
        <w:spacing w:after="0" w:line="298" w:lineRule="auto"/>
        <w:rPr>
          <w:sz w:val="20"/>
          <w:szCs w:val="20"/>
          <w:color w:val="auto"/>
        </w:rPr>
      </w:pPr>
      <w:r>
        <w:rPr>
          <w:rFonts w:ascii="Arial" w:cs="Arial" w:eastAsia="Arial" w:hAnsi="Arial"/>
          <w:sz w:val="16"/>
          <w:szCs w:val="16"/>
          <w:color w:val="auto"/>
        </w:rPr>
        <w:t>During the years ended December 31, 2005, 2004 and 2003, we recorded asset write-downs of $11.4 million, $27.3 million, and $1.0 million, respectively. Asset write-downs included amounts to reduce the carrying value of certain buildings which had been vacated as part of our restructuring activities, based on expected future selling prices. Asset write downs in 2005 and 2004 also included charges to write down certain equipment to salvage value after we determined that it would not be used at other Vishay locations subsequent to the completion of our restructuring plans.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Significant judgment is required in determining our effective tax rate and in evaluating our tax positions. We establish accruals for certain tax contingencies when, despite the belief that our tax return positions are fully supported, we believe that certain positions will be challenged and that our positions may not be fully sustained. The tax contingency accruals are adjusted in light of changing facts and circumstances, such as the progress of tax audits, case law, and emerging legislation. These accruals are based on management’s best estimate of potential tax exposures. When particular matters arise, a number of years may elapse before such matters are audited and finally resolved. Favorable resolution of such matters could be recognized as a reduction to our effective tax rate in the year of resolution. Unfavorable resolution of any particular issue could increase the effective tax rate and may require the use of cash in the year of resolution. During 2004 and 2005, several matters were favorably resolved as a result of the completion of examinations and the retroactive approval of our application for tax incentives in certain jurisdictions.</w:t>
      </w:r>
    </w:p>
    <w:p>
      <w:pPr>
        <w:spacing w:after="0" w:line="172" w:lineRule="exact"/>
        <w:rPr>
          <w:sz w:val="20"/>
          <w:szCs w:val="20"/>
          <w:color w:val="auto"/>
        </w:rPr>
      </w:pPr>
    </w:p>
    <w:p>
      <w:pPr>
        <w:ind w:right="100"/>
        <w:spacing w:after="0" w:line="323" w:lineRule="auto"/>
        <w:rPr>
          <w:sz w:val="20"/>
          <w:szCs w:val="20"/>
          <w:color w:val="auto"/>
        </w:rPr>
      </w:pPr>
      <w:r>
        <w:rPr>
          <w:rFonts w:ascii="Arial" w:cs="Arial" w:eastAsia="Arial" w:hAnsi="Arial"/>
          <w:sz w:val="15"/>
          <w:szCs w:val="15"/>
          <w:color w:val="auto"/>
        </w:rPr>
        <w:t>We have recorded deferred tax assets representing future tax benefits, but may not be able to realize these future tax benefits in certain jurisdictions. Significant judgment is required in determining the expected future realizability of these deferred tax assets. We periodically evaluate the realizability of our deferred tax assets by assessing our valuation allowance and by adjusting the amount of such allowance, if necessary. The factors used to assess the likelihood of realization include our forecast of future taxable income and available tax planning strategies that could be implemented to realize the net deferred tax assets.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00"/>
          </w:cols>
          <w:pgMar w:left="240" w:top="59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Statement of operations captions as a percentage of sales and the effective tax rates were as follows:</w:t>
      </w:r>
    </w:p>
    <w:p>
      <w:pPr>
        <w:spacing w:after="0" w:line="221" w:lineRule="exact"/>
        <w:rPr>
          <w:sz w:val="20"/>
          <w:szCs w:val="20"/>
          <w:color w:val="auto"/>
        </w:rPr>
      </w:pPr>
    </w:p>
    <w:p>
      <w:pPr>
        <w:ind w:left="8740"/>
        <w:spacing w:after="0"/>
        <w:rPr>
          <w:sz w:val="20"/>
          <w:szCs w:val="20"/>
          <w:color w:val="auto"/>
        </w:rPr>
      </w:pPr>
      <w:r>
        <w:rPr>
          <w:rFonts w:ascii="Arial" w:cs="Arial" w:eastAsia="Arial" w:hAnsi="Arial"/>
          <w:sz w:val="14"/>
          <w:szCs w:val="14"/>
          <w:b w:val="1"/>
          <w:bCs w:val="1"/>
          <w:color w:val="auto"/>
        </w:rPr>
        <w:t>Years ended 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4910455</wp:posOffset>
            </wp:positionH>
            <wp:positionV relativeFrom="paragraph">
              <wp:posOffset>68580</wp:posOffset>
            </wp:positionV>
            <wp:extent cx="22555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25552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42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40" w:type="dxa"/>
            <w:vAlign w:val="bottom"/>
          </w:tcPr>
          <w:p>
            <w:pPr>
              <w:jc w:val="right"/>
              <w:ind w:right="315"/>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15"/>
                <w:szCs w:val="15"/>
                <w:color w:val="auto"/>
              </w:rPr>
            </w:pPr>
          </w:p>
        </w:tc>
        <w:tc>
          <w:tcPr>
            <w:tcW w:w="1060" w:type="dxa"/>
            <w:vAlign w:val="bottom"/>
          </w:tcPr>
          <w:p>
            <w:pPr>
              <w:jc w:val="right"/>
              <w:ind w:right="315"/>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720" w:type="dxa"/>
            <w:vAlign w:val="bottom"/>
          </w:tcPr>
          <w:p>
            <w:pPr>
              <w:spacing w:after="0"/>
              <w:rPr>
                <w:sz w:val="8"/>
                <w:szCs w:val="8"/>
                <w:color w:val="auto"/>
              </w:rPr>
            </w:pPr>
          </w:p>
        </w:tc>
        <w:tc>
          <w:tcPr>
            <w:tcW w:w="6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720" w:type="dxa"/>
            <w:vAlign w:val="bottom"/>
          </w:tcPr>
          <w:p>
            <w:pPr>
              <w:spacing w:after="0"/>
              <w:rPr>
                <w:sz w:val="8"/>
                <w:szCs w:val="8"/>
                <w:color w:val="auto"/>
              </w:rPr>
            </w:pPr>
          </w:p>
        </w:tc>
        <w:tc>
          <w:tcPr>
            <w:tcW w:w="680" w:type="dxa"/>
            <w:vAlign w:val="bottom"/>
          </w:tcPr>
          <w:p>
            <w:pPr>
              <w:spacing w:after="0"/>
              <w:rPr>
                <w:sz w:val="8"/>
                <w:szCs w:val="8"/>
                <w:color w:val="auto"/>
              </w:rPr>
            </w:pPr>
          </w:p>
        </w:tc>
        <w:tc>
          <w:tcPr>
            <w:tcW w:w="3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Costs of products sold</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77.1%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76.3%</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Gross profit*</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w w:val="90"/>
              </w:rPr>
              <w:t>23.0%</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23.0%</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Selling, general &amp; administrative expenses</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16.4%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Operating income</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4.2%</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3.9%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Earnings before taxes &amp; minority interest</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tcPr>
          <w:p>
            <w:pPr>
              <w:spacing w:after="0"/>
              <w:rPr>
                <w:sz w:val="20"/>
                <w:szCs w:val="20"/>
                <w:color w:val="auto"/>
              </w:rPr>
            </w:pPr>
            <w:r>
              <w:rPr>
                <w:rFonts w:ascii="Arial" w:cs="Arial" w:eastAsia="Arial" w:hAnsi="Arial"/>
                <w:sz w:val="18"/>
                <w:szCs w:val="18"/>
                <w:color w:val="auto"/>
              </w:rPr>
              <w:t>Net earnings</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2.7%</w:t>
            </w:r>
          </w:p>
        </w:tc>
        <w:tc>
          <w:tcPr>
            <w:tcW w:w="1240" w:type="dxa"/>
            <w:vAlign w:val="bottom"/>
            <w:gridSpan w:val="2"/>
          </w:tcPr>
          <w:p>
            <w:pPr>
              <w:jc w:val="right"/>
              <w:ind w:right="80"/>
              <w:spacing w:after="0"/>
              <w:rPr>
                <w:sz w:val="20"/>
                <w:szCs w:val="20"/>
                <w:color w:val="auto"/>
              </w:rPr>
            </w:pPr>
            <w:r>
              <w:rPr>
                <w:rFonts w:ascii="Arial" w:cs="Arial" w:eastAsia="Arial" w:hAnsi="Arial"/>
                <w:sz w:val="18"/>
                <w:szCs w:val="18"/>
                <w:color w:val="auto"/>
              </w:rPr>
              <w:t>1.9%</w:t>
            </w:r>
          </w:p>
        </w:tc>
        <w:tc>
          <w:tcPr>
            <w:tcW w:w="1200" w:type="dxa"/>
            <w:vAlign w:val="bottom"/>
            <w:gridSpan w:val="2"/>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Effective tax rate</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0"/>
              </w:rPr>
              <w:t>15.1%</w:t>
            </w: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19.6%</w:t>
            </w: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222885</wp:posOffset>
            </wp:positionV>
            <wp:extent cx="182689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ind w:right="140" w:firstLine="8"/>
        <w:spacing w:after="0" w:line="268" w:lineRule="auto"/>
        <w:tabs>
          <w:tab w:leader="none" w:pos="132" w:val="left"/>
        </w:tabs>
        <w:numPr>
          <w:ilvl w:val="0"/>
          <w:numId w:val="13"/>
        </w:numPr>
        <w:rPr>
          <w:rFonts w:ascii="Arial" w:cs="Arial" w:eastAsia="Arial" w:hAnsi="Arial"/>
          <w:sz w:val="18"/>
          <w:szCs w:val="18"/>
          <w:color w:val="auto"/>
        </w:rPr>
      </w:pPr>
      <w:r>
        <w:rPr>
          <w:rFonts w:ascii="Arial" w:cs="Arial" w:eastAsia="Arial" w:hAnsi="Arial"/>
          <w:sz w:val="18"/>
          <w:szCs w:val="18"/>
          <w:color w:val="auto"/>
        </w:rPr>
        <w:t>- Reflects (gain) loss on purchase commitments of $(1.0) million, $16.6 million, and $11.4 million during the years ended December 31, 2005, 2004 and 2003,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5"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Net revenues for the year ended December 31, 2005 were $118.1 million, or 5% less than net revenues for the year ended December 31, 2004. Net revenues for 2005 include royalty revenues of $4.9 million, versus $1.1 million in 2004. The decrease in net product sales in 2005 compared to 2004 is primarily attributable to the comparatively depressed market conditions experienced in the first half of 2005 versus the very favorable worldwide macroeconomic factors which resulted in a very strong first half of 2004. The first half of 2004 was also favorably impacted by distributors building inventory. For the year ended December 31, 2005, unit sales volume decreased by 0.6% and average selling prices decreased by 4.5% versus 2004. Currency changes had a minimal impact on net revenues compared to 2004.</w:t>
      </w:r>
    </w:p>
    <w:p>
      <w:pPr>
        <w:spacing w:after="0" w:line="198" w:lineRule="exact"/>
        <w:rPr>
          <w:sz w:val="20"/>
          <w:szCs w:val="20"/>
          <w:color w:val="auto"/>
        </w:rPr>
      </w:pPr>
    </w:p>
    <w:p>
      <w:pPr>
        <w:ind w:right="220"/>
        <w:spacing w:after="0" w:line="290" w:lineRule="auto"/>
        <w:rPr>
          <w:sz w:val="20"/>
          <w:szCs w:val="20"/>
          <w:color w:val="auto"/>
        </w:rPr>
      </w:pPr>
      <w:r>
        <w:rPr>
          <w:rFonts w:ascii="Arial" w:cs="Arial" w:eastAsia="Arial" w:hAnsi="Arial"/>
          <w:sz w:val="16"/>
          <w:szCs w:val="16"/>
          <w:color w:val="auto"/>
        </w:rPr>
        <w:t>Sales to each of our end-use markets during 2005 were less than sales in 2004, although market conditions in many end-use market segments have improved in 2005 as compared to the second half of 2004. For example, the industrial market continued to be strong worldwide. The automotive market continued to be strong in Europe and Japan, although results for U.S. automotive customers were disappointing. Growth in the laptop and PC market, driven by technical progress, resulted in improvements in the second quarter of 2005, ahead of a substantial seasonal upturn noticed in the third quarter of 2005. In the telecommunications sector, the worldwide move to 3G mobile phones increased sales of our products for end-uses in the sector during 2005, principally in the first and third quarters. During 2005, sales of products for use in consumer products were relatively strong in the U.S., and improved in Asia, although they remained weak in Europe.</w:t>
      </w:r>
    </w:p>
    <w:p>
      <w:pPr>
        <w:spacing w:after="0" w:line="172" w:lineRule="exact"/>
        <w:rPr>
          <w:sz w:val="20"/>
          <w:szCs w:val="20"/>
          <w:color w:val="auto"/>
        </w:rPr>
      </w:pPr>
    </w:p>
    <w:p>
      <w:pPr>
        <w:ind w:right="80"/>
        <w:spacing w:after="0" w:line="288" w:lineRule="auto"/>
        <w:rPr>
          <w:sz w:val="20"/>
          <w:szCs w:val="20"/>
          <w:color w:val="auto"/>
        </w:rPr>
      </w:pPr>
      <w:r>
        <w:rPr>
          <w:rFonts w:ascii="Arial" w:cs="Arial" w:eastAsia="Arial" w:hAnsi="Arial"/>
          <w:sz w:val="16"/>
          <w:szCs w:val="16"/>
          <w:color w:val="auto"/>
        </w:rPr>
        <w:t>Net revenues for the year ended December 31, 2004 increased by $244.1 million, or 11% over the prior year. Net revenues for 2004 included royalty revenues of $1.1 million versus zero in 2003. The increase in net sales was attributable to strong volumes and positive foreign currency effects, partially offset by lower pricing. Despite the weaker market conditions during the second half of 2004 compared to the first half of 2004, virtually all market segments performed better during 2004 versus 2003. Telecom (networks and mobile phones) was particularly strong in Asia and Europe during the first half of 2004. Automotive products were solid in 2004, particularly in Europe. Industrial products were strong throughout all of 2004. In the consumer products segment, we noted some softening in Asia during the second half of 2004, especially compared to the strong conditions noted during the first half of the year. The European consumer products segment was relatively weak during 2004. During the second half of 2004, we also noted a slow-down in notebook computers and mobile phones, mainly impacting sales in Asia. The weakening of the U.S. dollar against foreign currencies for the year ended December 31, 2004 resulted in increases in reported revenues of $81 million as compared to 2003.</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584" w:right="239" w:bottom="1440" w:gutter="0" w:footer="0" w:header="0"/>
        </w:sectPr>
      </w:pPr>
    </w:p>
    <w:bookmarkStart w:id="44" w:name="page45"/>
    <w:bookmarkEnd w:id="44"/>
    <w:p>
      <w:pPr>
        <w:ind w:right="20"/>
        <w:spacing w:after="0" w:line="287" w:lineRule="auto"/>
        <w:rPr>
          <w:sz w:val="20"/>
          <w:szCs w:val="20"/>
          <w:color w:val="auto"/>
        </w:rPr>
      </w:pPr>
      <w:r>
        <w:rPr>
          <w:rFonts w:ascii="Arial" w:cs="Arial" w:eastAsia="Arial" w:hAnsi="Arial"/>
          <w:sz w:val="16"/>
          <w:szCs w:val="16"/>
          <w:color w:val="auto"/>
        </w:rPr>
        <w:t>We deduct, from the sales that we record to distributors, allowances for future credits that we expect to provide for returns, scrapped product and price adjustments under various programs made available to the distributors. We make deductions corresponding to particular sales in the period in which the sales are made, although the corresponding credits may not be issued until future periods. We estimate the deductions based on sales levels to distributors, inventory levels at the distributors, current and projected market trends and conditions, recent and historical activity under the relevant programs, changes in program policies and open requests for credits. We recorded deductions from gross sales under our distributor incentive programs of $51.8 million, $51.4 million, and $67.2 million for the years ended December 31, 2005, 2004 and 2003, respectively, or, as a percentage of gross sales 2.2%, 2.1%, and 3.0%, respectively. Actual credits issued under the programs for the years ended December 31, 2005, 2004 and 2003 were approximately $53.8 million, $55.9 million, and $62.4 million, respectively. Increases and decreases in these incentives are largely attributable to the then-current business climate. The general decrease in the incentives since 2003 is indicative of the generally improving business climate affecting our distributors and the electronic component industry. The decrease is also attributable to changes in our pricing structure during 2004 to more closely match the distributors’ pricing structure to their end-use customers.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Gross Profit and Margins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Costs of products sold as a percentage of net revenues for the year ended December 31, 2005 was 77.1%, as compared to 76.3% for the year ended December 31, 2004. Gross profit as a percentage of net revenues for the year ended December 31, 2005 was 23.0%, the same as the prior year. Gross profit margins for 2005 reflect lower average selling prices, partially offset by the impact of our cost reduction programs. Gross profit margins for 2005 also reflect adjustments to our tantalum purchase commitment liability representing a gain of $1.0 million, compared to losses on tantalum purchase commitments of $16.2 million and losses on palladium purchase commitments of $0.4 million during 2004.</w:t>
      </w:r>
    </w:p>
    <w:p>
      <w:pPr>
        <w:spacing w:after="0" w:line="197"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Costs of products sold as a percentage of net revenues for the year ended December 31, 2004 was 76.3%, as compared to 77.9% for the prior year. Gross profit as a percentage of net sales for the year ended December 31, 2004 was 23.0% as compared to 21.6% for the prior year. Gross profit margins for 2004 were favorably impacted by volume increases and our cost reduction programs, partially offset by lower pricing. Gross profit for 2004 reflected a write-down of palladium inventories to current market value of $0.4 million, included in cost of goods sold, and losses on tantalum purchase commitments of $16.2 million and losses on palladium purchase commitments of $0.4 million. Gross profit for 2003 reflected a write-down of tantalum and palladium inventories to then-current market value of $7.0 million, which was included in cost of goods sold, and losses on tantalum purchase commitments of $11.4 million.</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See “Israeli Government Incentives” regarding Israeli government grants, which are recorded as a reduction to costs of products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Discussion and analysis of sales and gross profit margins for our Semiconductors and Passive Components segments are provided below.</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Semiconductors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7"/>
              </w:rPr>
              <w:t>Years ended December 31,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8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80" w:type="dxa"/>
            <w:vAlign w:val="bottom"/>
          </w:tcPr>
          <w:p>
            <w:pPr>
              <w:jc w:val="right"/>
              <w:ind w:right="459"/>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4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7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1,142,492</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1,204,094</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1,065,741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3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24.4%</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- 45 -</w:t>
            </w: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90" w:right="239" w:bottom="1440" w:gutter="0" w:footer="0" w:header="0"/>
        </w:sectPr>
      </w:pPr>
    </w:p>
    <w:bookmarkStart w:id="45" w:name="page46"/>
    <w:bookmarkEnd w:id="45"/>
    <w:p>
      <w:pPr>
        <w:ind w:right="60"/>
        <w:spacing w:after="0" w:line="291" w:lineRule="auto"/>
        <w:rPr>
          <w:sz w:val="20"/>
          <w:szCs w:val="20"/>
          <w:color w:val="auto"/>
        </w:rPr>
      </w:pPr>
      <w:r>
        <w:rPr>
          <w:rFonts w:ascii="Arial" w:cs="Arial" w:eastAsia="Arial" w:hAnsi="Arial"/>
          <w:sz w:val="16"/>
          <w:szCs w:val="16"/>
          <w:color w:val="auto"/>
        </w:rPr>
        <w:t>Net revenues of the Semiconductors segment for the year ended December 31, 2005 were $1,142.5 million, as compared to $1,204.1 million for the year ended December 31, 2004, a decrease of 5%. The decrease in net product sales in 2005 compared to 2004 is primarily attributable to the comparatively depressed market conditions experienced in the first half of 2005 versus the very favorable worldwide macroeconomic factors which resulted in a very strong first half of 2004. For the full year 2005, unit sales volume increased by 0.9%, which was more than offset by a decrease in average selling prices of 6.1% versus 2004. Currency changes had a minimal impact on net revenues compared to 2004. Gross profit as a percentage of net revenues in 2005 was 24.4%, compared to 26.8% in 2004, principally due to the decline in average selling prices during 2005, partially offset by our cost cutting efforts.</w:t>
      </w:r>
    </w:p>
    <w:p>
      <w:pPr>
        <w:spacing w:after="0" w:line="174"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Net revenues of the Semiconductors segment for the year ended December 31, 2004 were $1,204.1 million, as compared to $1,065.7 million for the year ended December 31, 2003, an increase of 13%. The increase in sales in 2004 was primarily attributable to increased volumes and the positive impact of foreign currency exchange rates, partially offset by lower prices versus 2003. The weakening of the U.S. dollar against foreign currencies for the year ended December 31, 2004 resulted in increases in reported revenues of $34 million as compared to 2003. Our Semiconductors business was particularly impacted by the decline in distributor orders noted in the second half of 2004. Despite these sequential declines in sales as compared to the first half of 2004, demand was stronger across all product lines and virtually all market segments versus 2003. Volumes increased approximately 15% in 2004, which was offset by a 4% decline in average selling prices versus the prior year. The volume increase was due to improved market conditions, and also due to the absence of the 2003 SARS-related sales declines in Asia, particularly at our Siliconix subsidiary, which sells approximately 70% of its products to customers in Asia. Gross margins were 26.8%, as compared to 26.1% for the prior year. The improvement in margins was attributable to higher volumes and lower costs.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Passive Components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0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0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7"/>
              </w:rPr>
              <w:t>Years ended December 31,</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80" w:type="dxa"/>
            <w:vAlign w:val="bottom"/>
            <w:gridSpan w:val="2"/>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080" w:type="dxa"/>
            <w:vAlign w:val="bottom"/>
            <w:gridSpan w:val="2"/>
          </w:tcPr>
          <w:p>
            <w:pPr>
              <w:spacing w:after="0"/>
              <w:rPr>
                <w:sz w:val="20"/>
                <w:szCs w:val="20"/>
                <w:color w:val="auto"/>
              </w:rPr>
            </w:pPr>
            <w:r>
              <w:rPr>
                <w:rFonts w:ascii="Arial" w:cs="Arial" w:eastAsia="Arial" w:hAnsi="Arial"/>
                <w:sz w:val="14"/>
                <w:szCs w:val="14"/>
                <w:b w:val="1"/>
                <w:bCs w:val="1"/>
                <w:i w:val="1"/>
                <w:iCs w:val="1"/>
                <w:color w:val="auto"/>
              </w:rPr>
              <w:t>(In thousands)</w:t>
            </w: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2005</w:t>
            </w:r>
          </w:p>
        </w:tc>
        <w:tc>
          <w:tcPr>
            <w:tcW w:w="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20" w:type="dxa"/>
            <w:vAlign w:val="bottom"/>
          </w:tcPr>
          <w:p>
            <w:pPr>
              <w:jc w:val="right"/>
              <w:ind w:right="459"/>
              <w:spacing w:after="0"/>
              <w:rPr>
                <w:sz w:val="20"/>
                <w:szCs w:val="20"/>
                <w:color w:val="auto"/>
              </w:rPr>
            </w:pPr>
            <w:r>
              <w:rPr>
                <w:rFonts w:ascii="Arial" w:cs="Arial" w:eastAsia="Arial" w:hAnsi="Arial"/>
                <w:sz w:val="14"/>
                <w:szCs w:val="14"/>
                <w:b w:val="1"/>
                <w:bCs w:val="1"/>
                <w:color w:val="auto"/>
              </w:rPr>
              <w:t>2003</w:t>
            </w: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06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06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6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1,154,029</w:t>
            </w:r>
          </w:p>
        </w:tc>
        <w:tc>
          <w:tcPr>
            <w:tcW w:w="16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1,210,560</w:t>
            </w:r>
          </w:p>
        </w:tc>
        <w:tc>
          <w:tcPr>
            <w:tcW w:w="2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1,104,856</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060" w:type="dxa"/>
            <w:vAlign w:val="bottom"/>
          </w:tcPr>
          <w:p>
            <w:pPr>
              <w:spacing w:after="0"/>
              <w:rPr>
                <w:sz w:val="20"/>
                <w:szCs w:val="20"/>
                <w:color w:val="auto"/>
              </w:rPr>
            </w:pPr>
            <w:r>
              <w:rPr>
                <w:rFonts w:ascii="Arial" w:cs="Arial" w:eastAsia="Arial" w:hAnsi="Arial"/>
                <w:sz w:val="18"/>
                <w:szCs w:val="18"/>
                <w:color w:val="auto"/>
              </w:rPr>
              <w:t>Gross margin percentage</w:t>
            </w: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21.5%</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17.3%</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00"/>
        <w:spacing w:after="0" w:line="289" w:lineRule="auto"/>
        <w:rPr>
          <w:sz w:val="20"/>
          <w:szCs w:val="20"/>
          <w:color w:val="auto"/>
        </w:rPr>
      </w:pPr>
      <w:r>
        <w:rPr>
          <w:rFonts w:ascii="Arial" w:cs="Arial" w:eastAsia="Arial" w:hAnsi="Arial"/>
          <w:sz w:val="16"/>
          <w:szCs w:val="16"/>
          <w:color w:val="auto"/>
        </w:rPr>
        <w:t>Net revenues of the Passive Components segment for the year ended December 31, 2005 were $1,154.0 million, as compared to $1,210.6 million for the year ended December 31, 2004, a decrease of 5%. The acquisition of SI Technologies on April 28, 2005 contributed $21 million to revenues for the year ended December 31, 2005. The decrease in net revenues in 2005 versus 2004 is attributable to the comparably depressed market conditions experienced in 2005 versus the comparably favorable worldwide macroeconomic factors in 2004, particularly a very strong first half of 2004. For the year ended December 31, 2005, unit sales volume decreased by 2.8% and average selling prices decreased by 2.2% versus the year ended December 31, 2004. Currency changes had a minimal impact on net revenues compared to 2004. Gross profit as a percentage of net revenues in 2005 was 21.5%, compared to 19.2% in 2004, principally due to adjustments to our purchase commitment liabilities representing a gain of $1.0 million for 2005 and a loss of $16.6 million for 2004. This improvement was partially offset by the declines in sales volume and average selling prices versus 2004.</w:t>
      </w:r>
    </w:p>
    <w:p>
      <w:pPr>
        <w:spacing w:after="0" w:line="172"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Several significant cost reduction programs have been initiated in all Passive Components product lines, including combining facilities and shifting production to lower cost regions. The impact of these cost savings plans has been partially offset by the underutilization of capacity in commodity products.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- 46 -</w:t>
      </w:r>
    </w:p>
    <w:p>
      <w:pPr>
        <w:sectPr>
          <w:pgSz w:w="11900" w:h="16838" w:orient="portrait"/>
          <w:cols w:equalWidth="0" w:num="1">
            <w:col w:w="11420"/>
          </w:cols>
          <w:pgMar w:left="240" w:top="590" w:right="239" w:bottom="1440" w:gutter="0" w:footer="0" w:header="0"/>
        </w:sectPr>
      </w:pPr>
    </w:p>
    <w:bookmarkStart w:id="46" w:name="page47"/>
    <w:bookmarkEnd w:id="46"/>
    <w:p>
      <w:pPr>
        <w:ind w:right="60"/>
        <w:spacing w:after="0" w:line="287" w:lineRule="auto"/>
        <w:rPr>
          <w:sz w:val="20"/>
          <w:szCs w:val="20"/>
          <w:color w:val="auto"/>
        </w:rPr>
      </w:pPr>
      <w:r>
        <w:rPr>
          <w:rFonts w:ascii="Arial" w:cs="Arial" w:eastAsia="Arial" w:hAnsi="Arial"/>
          <w:sz w:val="16"/>
          <w:szCs w:val="16"/>
          <w:color w:val="auto"/>
        </w:rPr>
        <w:t>Net revenues of the Passive Components segment for the year ended December 31, 2004 were $1,210.6 million, as compared to $1,104.9 million for the year ended December 31, 2003, an increase of 10%. The increase in net revenues was attributable to volume increases in all Passive Components product lines and the positive impact of foreign currency exchange rates, partially offset by price declines. Volumes increased approximately 11% in 2004, which was offset by a 5% decline in average selling prices versus 2003. The weakening of the U.S. dollar against foreign currencies for the year ended December 31, 2004 resulted in increases in reported revenues of $47 million as compared to 2003. Gross profit as a percentage of net revenues in 2004 were 19.2% as compared to 17.3% for 2003. Margins were affected negatively by raw material related write-downs in both 2004 and 2003. During 2004, we recorded write-downs of $0.4 million to reduce palladium inventories to market value. We also recorded losses on tantalum purchase commitments of $16.2 million and on palladium purchase commitments of $0.4 million during 2004. During 2003, we recorded write-downs of $7.0 million to reduce tantalum and palladium inventories to then-current market value, and losses on purchase commitments for future delivery of tantalum of $11.4 million. The improvement in gross margins in 2004 is primarily due to lower inventory-related charges, higher volume, lower obsolescence costs, and our cost reduction programs, partially offset by lower prices.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Selling, General, and Administrative Expenses</w:t>
      </w:r>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Selling, general, and administrative (SG&amp;A) expenses were 16.4% of net revenues for 2005 as compared to 16.0% of net revenues for the prior year. The increase in this percentage is largely attributable to a decrease in product sales, as SG&amp;A expenses for 2005 have decreased by $9.4 million versus 2004. The Company’s cost reduction initiatives referred to above also target SG&amp;A costs.</w:t>
      </w:r>
    </w:p>
    <w:p>
      <w:pPr>
        <w:spacing w:after="0" w:line="194"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SG&amp;A expenses for the year ended December 31, 2004 were 16.0% of net revenues as compared to 17.5% of net revenues for the year ended December 31, 2003. The reduction in this percentage is largely due to increased sales, but also reflected progress in our cost reduction initiatives, including streamlining the operations of BCcomponents, which we acquired in December 2002. This improvement, as a percentage of revenues, was achieved despite increased costs associated with Sarbanes-Oxley compliance requirements.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and Severance Costs and Related Asset Write-Downs</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Our restructuring activities have been designed to reduce both fixed and variable costs, particularly in response to the reduced demand for products occasioned by the electronics industry downturn experienced from 2001 to 2003. These activities include the closing of facilities and the termination of employees. Because costs are recorded based upon estimates, actual expenditures for the restructuring activities may differ from the initially recorded costs. If the initial estimates are too low or too high, we could be required either to record additional expenses in future periods or to reverse previously recorded expenses. We anticipate that we will realize the benefits of our restructuring through lower labor costs and other operating expenses in future periods. We expect to continue to restructure our operations and incur restructuring and severance costs as explained in “Cost Management” above and in Note 4 to our consolidated financial statements.</w:t>
      </w:r>
    </w:p>
    <w:p>
      <w:pPr>
        <w:spacing w:after="0" w:line="174" w:lineRule="exact"/>
        <w:rPr>
          <w:sz w:val="20"/>
          <w:szCs w:val="20"/>
          <w:color w:val="auto"/>
        </w:rPr>
      </w:pPr>
    </w:p>
    <w:p>
      <w:pPr>
        <w:ind w:right="220"/>
        <w:spacing w:after="0" w:line="306" w:lineRule="auto"/>
        <w:rPr>
          <w:sz w:val="20"/>
          <w:szCs w:val="20"/>
          <w:color w:val="auto"/>
        </w:rPr>
      </w:pPr>
      <w:r>
        <w:rPr>
          <w:rFonts w:ascii="Arial" w:cs="Arial" w:eastAsia="Arial" w:hAnsi="Arial"/>
          <w:sz w:val="16"/>
          <w:szCs w:val="16"/>
          <w:color w:val="auto"/>
        </w:rPr>
        <w:t>We continued our restructuring activities during 2005, recording restructuring and severance costs of $29.8 million, and recording related asset write-downs of $11.4 million. Our restructuring programs initiated in 2005 are part of a plan to reduce annual fixed costs by approximately $50 million. We are also investigating other cost savings initiatives to generate an additional $40 million in annual cost savings beginning in 2006.</w:t>
      </w:r>
    </w:p>
    <w:p>
      <w:pPr>
        <w:spacing w:after="0" w:line="161"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Our restructuring program has been on-going since 2001. We recorded restructuring and severance costs for the years ended December 31, 2004, 2003, 2002 and 2001 of $47.3 million, $28.5 million, $18.6 million, and $40.9 million, respectively. We also recorded asset write-downs of $27.3 million, $1.0 million, $12.4 million, and $21.0 million during the years ended December 31, 2004, 2003, 2002, and 2001, respectively. We have realized, and expect to continue to realize, annual cost savings associated with the restructuring activities initiated in 2001, 2002, 2003, and 2004.</w:t>
      </w:r>
    </w:p>
    <w:p>
      <w:pPr>
        <w:spacing w:after="0" w:line="167"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Restructuring and severance costs are separate from plant closure, employee termination and similar integration costs we incur in connection with our acquisition activities. These amounts are included in the costs of our acquisitions and do not affect earnings or losses on our statement of operations.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380"/>
          </w:cols>
          <w:pgMar w:left="240" w:top="590" w:right="27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i w:val="1"/>
          <w:iCs w:val="1"/>
          <w:color w:val="auto"/>
        </w:rPr>
        <w:t>Other Income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2005 Compared to 2004</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Interest expense for the year ended December 31, 2005 decreased by $0.7 million as compared to the prior year. This decrease is primarily attributable to the repurchase of $102.1 million of our Liquid Yield Option™ Notes (“LYONs”) during the second quarter of 2004, partially offset by an increase in the interest rate on our variable rate exchangeable notes.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tables analyze the components of the line “Other” on the consolidated statement of operations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Years ended December 31,</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2005</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2004</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(2,310)</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87"/>
              </w:rPr>
              <w:t>13,880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8,702</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5,178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Losses on disposal of property and equipment</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rPr>
              <w:t>(202)</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(1,697)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Incentive from Chinese government</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703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2,377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(1,674)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Favorable settlement of note receivable</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20" w:type="dxa"/>
            <w:vAlign w:val="bottom"/>
          </w:tcPr>
          <w:p>
            <w:pPr>
              <w:spacing w:after="0"/>
              <w:rPr>
                <w:sz w:val="9"/>
                <w:szCs w:val="9"/>
                <w:color w:val="auto"/>
              </w:rPr>
            </w:pPr>
          </w:p>
        </w:tc>
        <w:tc>
          <w:tcPr>
            <w:tcW w:w="600" w:type="dxa"/>
            <w:vAlign w:val="bottom"/>
          </w:tcPr>
          <w:p>
            <w:pPr>
              <w:spacing w:after="0"/>
              <w:rPr>
                <w:sz w:val="9"/>
                <w:szCs w:val="9"/>
                <w:color w:val="auto"/>
              </w:rPr>
            </w:pPr>
          </w:p>
        </w:tc>
        <w:tc>
          <w:tcPr>
            <w:tcW w:w="7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2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15,401</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22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10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-29210</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5748655</wp:posOffset>
            </wp:positionH>
            <wp:positionV relativeFrom="paragraph">
              <wp:posOffset>-29210</wp:posOffset>
            </wp:positionV>
            <wp:extent cx="12700"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color w:val="auto"/>
        </w:rPr>
        <w:t>The year ended December 31, 2004 includes a one-time gain of $3.1 million due to the favorable settlement of an outstanding note receivable. There was no comparable item in 2005.</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2004 Compared to 2003</w:t>
      </w:r>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Interest expense for the year ended December 31, 2004 decreased by $5.0 million, as compared to the prior year. This decrease was primarily attributable to repayment of debt with the proceeds of lower interest rate debt issued in the third quarter of 2003. These proceeds, from our issuance of our 3-5/8% convertible subordinated notes, were used to repay approximately $171 million principal amount of General Semiconductor’s 5.75% convertible notes, approximately $97 million accreted principal amount of our LYONs and $130 million in borrowings under our revolving credit facility in the third quarter of 2003. Additionally, on June 4, 2004, we repurchased $102.1 million accreted principal amount of our LYONs through the issuance of 5,534,905 shares of common stock.</w:t>
      </w:r>
    </w:p>
    <w:p>
      <w:pPr>
        <w:spacing w:after="0" w:line="170"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We recorded a loss of $9.9 million for extinguishment of debt during the year ended December 31, 2003 on the redemption of $171 million principal amount of the General Semiconductor notes and the repurchase of $97 million in accreted principal amount of our LYONs. Also during 2003, we recorded a gain of $33.9 million on the receipt of insurance proceeds in excess of book value subsequent to the destruction of the thin film resistor facility of our Electro-Films, Inc. subsidiary in Warwick, Rhode Island. That facility has now been completely rebuilt into a state-of-the-art production center. No comparable losses or gains were recorded in 2004. These items are reported on separate lines in the consolidated statement of operations.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- 48 -</w:t>
      </w:r>
    </w:p>
    <w:p>
      <w:pPr>
        <w:sectPr>
          <w:pgSz w:w="11900" w:h="16838" w:orient="portrait"/>
          <w:cols w:equalWidth="0" w:num="1">
            <w:col w:w="11380"/>
          </w:cols>
          <w:pgMar w:left="240" w:top="590" w:right="27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 xml:space="preserve">The following table analyzes the components of the line “Other” on the consolidated statements of operations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40" w:type="dxa"/>
            <w:vAlign w:val="bottom"/>
            <w:gridSpan w:val="4"/>
          </w:tcPr>
          <w:p>
            <w:pPr>
              <w:jc w:val="right"/>
              <w:ind w:right="120"/>
              <w:spacing w:after="0"/>
              <w:rPr>
                <w:sz w:val="20"/>
                <w:szCs w:val="20"/>
                <w:color w:val="auto"/>
              </w:rPr>
            </w:pPr>
            <w:r>
              <w:rPr>
                <w:rFonts w:ascii="Arial" w:cs="Arial" w:eastAsia="Arial" w:hAnsi="Arial"/>
                <w:sz w:val="14"/>
                <w:szCs w:val="14"/>
                <w:b w:val="1"/>
                <w:bCs w:val="1"/>
                <w:color w:val="auto"/>
                <w:w w:val="89"/>
              </w:rPr>
              <w:t>Years ended December 31,</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20" w:type="dxa"/>
            <w:vAlign w:val="bottom"/>
          </w:tcPr>
          <w:p>
            <w:pPr>
              <w:spacing w:after="0"/>
              <w:rPr>
                <w:sz w:val="22"/>
                <w:szCs w:val="22"/>
                <w:color w:val="auto"/>
              </w:rPr>
            </w:pPr>
          </w:p>
        </w:tc>
        <w:tc>
          <w:tcPr>
            <w:tcW w:w="13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2004</w:t>
            </w: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2003</w:t>
            </w: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Foreign exchange loss</w:t>
            </w: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(2,310)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(5,235)</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Interest income</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8,702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7,228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Dividend income</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Losses on disposal of property and equipment</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4"/>
              </w:rPr>
              <w:t>(1,697)</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(2,521)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Gain on interest rate swap</w:t>
            </w: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3,783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Incentive from Chinese government</w:t>
            </w:r>
          </w:p>
        </w:tc>
        <w:tc>
          <w:tcPr>
            <w:tcW w:w="6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820" w:type="dxa"/>
            <w:vAlign w:val="bottom"/>
          </w:tcPr>
          <w:p>
            <w:pPr>
              <w:spacing w:after="0"/>
              <w:rPr>
                <w:sz w:val="20"/>
                <w:szCs w:val="20"/>
                <w:color w:val="auto"/>
              </w:rPr>
            </w:pPr>
            <w:r>
              <w:rPr>
                <w:rFonts w:ascii="Arial" w:cs="Arial" w:eastAsia="Arial" w:hAnsi="Arial"/>
                <w:sz w:val="18"/>
                <w:szCs w:val="18"/>
                <w:color w:val="auto"/>
              </w:rPr>
              <w:t>Favorable settlement of note receivable</w:t>
            </w: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3,100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5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10,700</w:t>
            </w:r>
          </w:p>
        </w:tc>
        <w:tc>
          <w:tcPr>
            <w:tcW w:w="12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2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3656330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4591050</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178816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788160" cy="29845"/>
                    </a:xfrm>
                    <a:prstGeom prst="rect">
                      <a:avLst/>
                    </a:prstGeom>
                    <a:noFill/>
                  </pic:spPr>
                </pic:pic>
              </a:graphicData>
            </a:graphic>
          </wp:anchor>
        </w:drawing>
      </w:r>
    </w:p>
    <w:p>
      <w:pPr>
        <w:spacing w:after="0" w:line="293"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The year ended December 31, 2004 includes a one-time gain of $3.1 million due to the favorable settlement of an outstanding note receivable, and includes $2.4 million received from the Chinese government as an incentive for being a foreign investment partner in China. There were no comparable items in 2003. The year ended December 31, 2003 included a gain on expiration of an interest rate swap of $3.8 million, and there was no comparable item in 2004.</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Minority Interest</w:t>
      </w:r>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Minority interest in earnings decreased $7.8 million for the year ended December 31, 2005 as compared to the prior year, primarily due to our acquisition of the minority interest in Siliconix on May 12, 2005. Siliconix earnings for the year-to-date period through May 12, 2005 were lower than for the comparable prior year period.</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Minority interest in earnings increased by $3.5 million for the year ended December 31, 2004 as compared to the year ended December 31, 2003, primarily due to an increase in net earnings of Siliconix, of which we owned 80.4% of the outstanding shares during those years.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effective tax rate, based on earnings before income taxes and minority interest, for the year ended December 31, 2005 was 15.1%, as compared to 19.6% for the year ended December 31, 2004, and 24.8% for the year ended December 31, 2003.</w:t>
      </w:r>
    </w:p>
    <w:p>
      <w:pPr>
        <w:spacing w:after="0" w:line="186"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Income tax expense for 2005 was impacted by benefits totaling $9.0 million, primarily due to favorable foreign tax rulings. The effective tax rates for 2005 reflect this net benefit, partially offset by the non-deductibility of certain items, including the write-off of in-process research and development and Siliconix transaction-related expenses. Income tax expense for 2005 was also impacted by the favorable completion of an audit of our consolidated U.S. tax returns for the years 2000 through 2002, and related carryback years, offset by the tax impact of repatriating $130 million of earnings that had previously been expected to be reinvested outside of the United States indefinitely. The repatriation allowed us to utilize a portion of our net operating loss carryforwards in the United States. The net tax expense of these items was immaterial.</w:t>
      </w:r>
    </w:p>
    <w:p>
      <w:pPr>
        <w:spacing w:after="0" w:line="198"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The effective tax rate for the year ended December 31, 2004 reflects the favorable settlement of a tax audit in Germany, which resulted in a decrease in tax expense of $10.6 million.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- 49 -</w:t>
      </w:r>
    </w:p>
    <w:p>
      <w:pPr>
        <w:sectPr>
          <w:pgSz w:w="11900" w:h="16838" w:orient="portrait"/>
          <w:cols w:equalWidth="0" w:num="1">
            <w:col w:w="11400"/>
          </w:cols>
          <w:pgMar w:left="240" w:top="590" w:right="259" w:bottom="1440" w:gutter="0" w:footer="0" w:header="0"/>
        </w:sectPr>
      </w:pPr>
    </w:p>
    <w:bookmarkStart w:id="49" w:name="page50"/>
    <w:bookmarkEnd w:id="49"/>
    <w:p>
      <w:pPr>
        <w:ind w:right="80"/>
        <w:spacing w:after="0" w:line="294" w:lineRule="auto"/>
        <w:rPr>
          <w:sz w:val="20"/>
          <w:szCs w:val="20"/>
          <w:color w:val="auto"/>
        </w:rPr>
      </w:pPr>
      <w:r>
        <w:rPr>
          <w:rFonts w:ascii="Arial" w:cs="Arial" w:eastAsia="Arial" w:hAnsi="Arial"/>
          <w:sz w:val="16"/>
          <w:szCs w:val="16"/>
          <w:color w:val="auto"/>
        </w:rPr>
        <w:t>The effective tax rates for 2005, 2004, and 2003 reflect the fact that we could not recognize for accounting purposes the tax benefit of losses incurred in certain jurisdictions, although these losses are available to offset future taxable income. Under applicable accounting principles, we may not recognize deferred tax assets for loss carryforwards in jurisdictions where there is a recent history of cumulative losses, where there is no taxable income in the carryback period, where there is insufficient evidence of future earnings to overcome the loss history and where there is no other positive evidence, such as the likely reversal of taxable temporary differences, that would result in the utilization of loss carryforwards for tax purposes.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Cash and cash equivalents were $622.6 million as of December 31, 2005. We had an additional $9.9 million invested in highly-liquid short-term investments as of December 31, 2005. Approximately $466.5 million (75%) of our cash balance at December 31, 2005 was held by our non-U.S. subsidiaries. This compares to approximately 94% of our cash held by non-U.S. subsidiaries at December 31, 2004. During the third quarter of 2005, we repatriated approximately $130 million of earnings generated by our non-U.S. subsidiaries. Under U.S. tax law, any repatriation of earnings and cash back to the United States is deemed to be a dividend and is subject to U.S. income taxes, state income taxes, and foreign withholding taxes. At the present time, we expect our remaining cash and profits generated by foreign subsidiaries to continue to be reinvested indefinitely.</w:t>
      </w:r>
    </w:p>
    <w:p>
      <w:pPr>
        <w:spacing w:after="0" w:line="174" w:lineRule="exact"/>
        <w:rPr>
          <w:sz w:val="20"/>
          <w:szCs w:val="20"/>
          <w:color w:val="auto"/>
        </w:rPr>
      </w:pPr>
    </w:p>
    <w:p>
      <w:pPr>
        <w:jc w:val="both"/>
        <w:ind w:right="40"/>
        <w:spacing w:after="0" w:line="255" w:lineRule="auto"/>
        <w:rPr>
          <w:sz w:val="20"/>
          <w:szCs w:val="20"/>
          <w:color w:val="auto"/>
        </w:rPr>
      </w:pPr>
      <w:r>
        <w:rPr>
          <w:rFonts w:ascii="Arial" w:cs="Arial" w:eastAsia="Arial" w:hAnsi="Arial"/>
          <w:sz w:val="18"/>
          <w:szCs w:val="18"/>
          <w:color w:val="auto"/>
        </w:rPr>
        <w:t>Our financial condition as of December 31, 2005 continued to be strong, with a current ratio (current assets to current liabilities) of 3.4 to 1, compared to a ratio of 3.3 to 1 at December 31, 2004. The increase in this ratio is primarily due to the payment of various liabilities, including the payment of accrued restructuring costs at various locations. Our ratio of long-term debt, less current portion, to stockholders’ equity was 0.26 to 1 at December 31, 2005, as compared to a ratio of 0.27 to 1 at December 31, 2004. The improvement in this ratio during 2005 is primarily due to an increase in equity as a result of our issuance of common stock to complete the acquisition of the Siliconix minority interest.</w:t>
      </w:r>
    </w:p>
    <w:p>
      <w:pPr>
        <w:spacing w:after="0" w:line="19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Cash flows from operations were $202.9 million for the year ended December 31, 2005 as compared to $233.1 million for the year ended December 31, 2004, despite increased earnings. The decrease is primarily due to changes in working capital resulting from cash payments related to our restructuring activities and for purchases of tantalum under our purchase commitments with Cabot.</w:t>
      </w:r>
    </w:p>
    <w:p>
      <w:pPr>
        <w:spacing w:after="0" w:line="19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Cash paid for property and equipment for the year ended December 31, 2005 was $136.7 million, as compared to $158.6 million in the prior year. In 2005, we made an additional $5.9 million of capital expenditures pursuant to capital lease agreements. Our capital expenditures are projected to be approximately $170 million in 2006, principally to expand capacity in the Semiconductors businesses. Purchase of businesses, net of cash acquired, of $26.4 million for 2005 represents the cash paid to acquire SI Technologies, the assets of CyOptics Israel, and Alpha Electronics K.K., plus cash paid for direct acquisition costs related to the purchase of the minority interest of Siliconix. Purchase of businesses, net of cash acquired, of $24.9 million for 2004 represents cash payments for the acquisition of the assets of RFWaves and Aeroflex Pearl River, Inc. (renamed Vishay MIC Technology, Inc.), and payments made related to liabilities assumed from previous acquisitions.</w:t>
      </w:r>
    </w:p>
    <w:p>
      <w:pPr>
        <w:spacing w:after="0" w:line="20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Our debt levels are essentially the same at December 31, 2005 as they were at December 31, 2004, primarily due to approximately $8 million of debt assumed in the Alpha Electronics K.K. transaction and accretion of interest on our LYONs of approximately $4 million, offset by repayments of amounts outstanding on our revolving credit facility of $11 million.</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At December 31, 2005, we had committed and uncommitted short-term credit lines with various U.S. and foreign banks aggregating approximately $70.8 million, of which approximately $66.2 million was unused.</w:t>
      </w:r>
    </w:p>
    <w:p>
      <w:pPr>
        <w:spacing w:after="0" w:line="186" w:lineRule="exact"/>
        <w:rPr>
          <w:sz w:val="20"/>
          <w:szCs w:val="20"/>
          <w:color w:val="auto"/>
        </w:rPr>
      </w:pPr>
    </w:p>
    <w:p>
      <w:pPr>
        <w:ind w:right="240"/>
        <w:spacing w:after="0" w:line="306" w:lineRule="auto"/>
        <w:rPr>
          <w:sz w:val="20"/>
          <w:szCs w:val="20"/>
          <w:color w:val="auto"/>
        </w:rPr>
      </w:pPr>
      <w:r>
        <w:rPr>
          <w:rFonts w:ascii="Arial" w:cs="Arial" w:eastAsia="Arial" w:hAnsi="Arial"/>
          <w:sz w:val="16"/>
          <w:szCs w:val="16"/>
          <w:color w:val="auto"/>
        </w:rPr>
        <w:t>We maintain a secured revolving credit facility of $400 million, which expires in May 2007. At December 31, 2005, there were no amounts outstanding under the revolving credit facility, as compared to $11.0 million outstanding at December 31, 2004. The amounts outstanding under the revolving credit facility at December 31, 2004 represented $11.0 million borrowed by our Asian subsidiary. These amounts were fully repaid in the second quarter of 2005.</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00"/>
          </w:cols>
          <w:pgMar w:left="240" w:top="590" w:right="259" w:bottom="1440" w:gutter="0" w:footer="0" w:header="0"/>
        </w:sectPr>
      </w:pPr>
    </w:p>
    <w:bookmarkStart w:id="50" w:name="page51"/>
    <w:bookmarkEnd w:id="50"/>
    <w:p>
      <w:pPr>
        <w:ind w:right="180"/>
        <w:spacing w:after="0" w:line="294" w:lineRule="auto"/>
        <w:rPr>
          <w:sz w:val="20"/>
          <w:szCs w:val="20"/>
          <w:color w:val="auto"/>
        </w:rPr>
      </w:pPr>
      <w:r>
        <w:rPr>
          <w:rFonts w:ascii="Arial" w:cs="Arial" w:eastAsia="Arial" w:hAnsi="Arial"/>
          <w:sz w:val="16"/>
          <w:szCs w:val="16"/>
          <w:color w:val="auto"/>
        </w:rPr>
        <w:t>The revolving credit facility restricts us from paying cash dividends and requires us to comply with other covenants, including the maintenance of specific financial ratios. We were in compliance with all covenants at December 31, 2005. Pursuant to the amended and restated credit facility agreement, we must maintain a tangible net worth of $850 million plus 50% of net income (without offset for losses) and 75% of net proceeds of equity offerings since July 1, 2003. Our tangible net worth at December 31, 2005, as calculated pursuant to the terms of the credit facility, was $1,242 million, which is $302 million more than the minimum required under the related credit facility covenant.</w:t>
      </w:r>
    </w:p>
    <w:p>
      <w:pPr>
        <w:spacing w:after="0" w:line="170"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Borrowings under the revolving credit facility are secured by pledges of stock in certain significant subsidiaries and certain guarantees by significant subsidiaries. The subsidiaries would be required to perform under the guarantees in the event that Vishay failed to make principal or interest payments under the revolving credit facility. Subsequent to the acquisition of the minority interest in Siliconix, Siliconix became a party to our revolving credit agreement. Certain of Vishay’s other subsidiaries are also permitted to borrow under the revolving credit facility. Any borrowings of these subsidiaries under the credit facility are guaranteed by Vishay.</w:t>
      </w:r>
    </w:p>
    <w:p>
      <w:pPr>
        <w:spacing w:after="0" w:line="19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While the timing and location of scheduled payments for certain liabilities may require us to draw on our revolving credit facilities from time to time, for the next twelve months, management expects that cash flows from operations will be sufficient to meet our normal operating requirements, to meet our obligations under restructuring and acquisition integration programs, and to fund our research and development and capital expenditure plans. Acquisition activity may require additional borrowing under our revolving credit facilities or may otherwise require us to incur additional debt. Additionally, if the holders of the LYONs exercise their option to require Vishay to repurchase the notes at their accreted value on June 4, 2006, we expect to be able to utilize our revolving credit facility (or Vishay common stock) to finance the repurchase. The accreted value of all currently outstanding LYONs would be approximately $138 million on June 4, 2006.</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Commitments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As of December 31, 2005 we had contractual obligations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4"/>
          </w:tcPr>
          <w:p>
            <w:pPr>
              <w:jc w:val="right"/>
              <w:ind w:right="376"/>
              <w:spacing w:after="0"/>
              <w:rPr>
                <w:sz w:val="20"/>
                <w:szCs w:val="20"/>
                <w:color w:val="auto"/>
              </w:rPr>
            </w:pPr>
            <w:r>
              <w:rPr>
                <w:rFonts w:ascii="Arial" w:cs="Arial" w:eastAsia="Arial" w:hAnsi="Arial"/>
                <w:sz w:val="14"/>
                <w:szCs w:val="14"/>
                <w:b w:val="1"/>
                <w:bCs w:val="1"/>
                <w:color w:val="auto"/>
              </w:rPr>
              <w:t>Payments due by period</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220" w:type="dxa"/>
            <w:vAlign w:val="bottom"/>
          </w:tcPr>
          <w:p>
            <w:pPr>
              <w:spacing w:after="0"/>
              <w:rPr>
                <w:sz w:val="20"/>
                <w:szCs w:val="20"/>
                <w:color w:val="auto"/>
              </w:rPr>
            </w:pPr>
          </w:p>
        </w:tc>
        <w:tc>
          <w:tcPr>
            <w:tcW w:w="110" w:type="dxa"/>
            <w:vAlign w:val="bottom"/>
          </w:tcPr>
          <w:p>
            <w:pPr>
              <w:spacing w:after="0"/>
              <w:rPr>
                <w:sz w:val="20"/>
                <w:szCs w:val="20"/>
                <w:color w:val="auto"/>
              </w:rPr>
            </w:pPr>
          </w:p>
        </w:tc>
        <w:tc>
          <w:tcPr>
            <w:tcW w:w="93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136"/>
              <w:spacing w:after="0"/>
              <w:rPr>
                <w:sz w:val="20"/>
                <w:szCs w:val="20"/>
                <w:color w:val="auto"/>
              </w:rPr>
            </w:pPr>
            <w:r>
              <w:rPr>
                <w:rFonts w:ascii="Arial" w:cs="Arial" w:eastAsia="Arial" w:hAnsi="Arial"/>
                <w:sz w:val="14"/>
                <w:szCs w:val="14"/>
                <w:b w:val="1"/>
                <w:bCs w:val="1"/>
                <w:color w:val="auto"/>
              </w:rPr>
              <w:t>Less than</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jc w:val="right"/>
              <w:ind w:right="317"/>
              <w:spacing w:after="0"/>
              <w:rPr>
                <w:sz w:val="20"/>
                <w:szCs w:val="20"/>
                <w:color w:val="auto"/>
              </w:rPr>
            </w:pPr>
            <w:r>
              <w:rPr>
                <w:rFonts w:ascii="Arial" w:cs="Arial" w:eastAsia="Arial" w:hAnsi="Arial"/>
                <w:sz w:val="14"/>
                <w:szCs w:val="14"/>
                <w:b w:val="1"/>
                <w:bCs w:val="1"/>
                <w:color w:val="auto"/>
              </w:rPr>
              <w:t>1-3</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316"/>
              <w:spacing w:after="0"/>
              <w:rPr>
                <w:sz w:val="20"/>
                <w:szCs w:val="20"/>
                <w:color w:val="auto"/>
              </w:rPr>
            </w:pPr>
            <w:r>
              <w:rPr>
                <w:rFonts w:ascii="Arial" w:cs="Arial" w:eastAsia="Arial" w:hAnsi="Arial"/>
                <w:sz w:val="14"/>
                <w:szCs w:val="14"/>
                <w:b w:val="1"/>
                <w:bCs w:val="1"/>
                <w:color w:val="auto"/>
              </w:rPr>
              <w:t>4-5</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After 5</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930" w:type="dxa"/>
            <w:vAlign w:val="bottom"/>
          </w:tcPr>
          <w:p>
            <w:pPr>
              <w:jc w:val="right"/>
              <w:ind w:right="254"/>
              <w:spacing w:after="0"/>
              <w:rPr>
                <w:sz w:val="20"/>
                <w:szCs w:val="20"/>
                <w:color w:val="auto"/>
              </w:rPr>
            </w:pPr>
            <w:r>
              <w:rPr>
                <w:rFonts w:ascii="Arial" w:cs="Arial" w:eastAsia="Arial" w:hAnsi="Arial"/>
                <w:sz w:val="14"/>
                <w:szCs w:val="14"/>
                <w:b w:val="1"/>
                <w:bCs w:val="1"/>
                <w:color w:val="auto"/>
              </w:rPr>
              <w:t>Total</w:t>
            </w: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36"/>
              <w:spacing w:after="0"/>
              <w:rPr>
                <w:sz w:val="20"/>
                <w:szCs w:val="20"/>
                <w:color w:val="auto"/>
              </w:rPr>
            </w:pPr>
            <w:r>
              <w:rPr>
                <w:rFonts w:ascii="Arial" w:cs="Arial" w:eastAsia="Arial" w:hAnsi="Arial"/>
                <w:sz w:val="14"/>
                <w:szCs w:val="14"/>
                <w:b w:val="1"/>
                <w:bCs w:val="1"/>
                <w:color w:val="auto"/>
              </w:rPr>
              <w:t>1 year</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jc w:val="right"/>
              <w:ind w:right="257"/>
              <w:spacing w:after="0"/>
              <w:rPr>
                <w:sz w:val="20"/>
                <w:szCs w:val="20"/>
                <w:color w:val="auto"/>
              </w:rPr>
            </w:pPr>
            <w:r>
              <w:rPr>
                <w:rFonts w:ascii="Arial" w:cs="Arial" w:eastAsia="Arial" w:hAnsi="Arial"/>
                <w:sz w:val="14"/>
                <w:szCs w:val="14"/>
                <w:b w:val="1"/>
                <w:bCs w:val="1"/>
                <w:color w:val="auto"/>
              </w:rPr>
              <w:t>years</w:t>
            </w:r>
          </w:p>
        </w:tc>
        <w:tc>
          <w:tcPr>
            <w:tcW w:w="2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56"/>
              <w:spacing w:after="0"/>
              <w:rPr>
                <w:sz w:val="20"/>
                <w:szCs w:val="20"/>
                <w:color w:val="auto"/>
              </w:rPr>
            </w:pPr>
            <w:r>
              <w:rPr>
                <w:rFonts w:ascii="Arial" w:cs="Arial" w:eastAsia="Arial" w:hAnsi="Arial"/>
                <w:sz w:val="14"/>
                <w:szCs w:val="14"/>
                <w:b w:val="1"/>
                <w:bCs w:val="1"/>
                <w:color w:val="auto"/>
              </w:rPr>
              <w:t>years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7"/>
              </w:rPr>
              <w:t>years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753,086</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4,573</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899</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746,081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Interest payments on long-term debt</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817,382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26,006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45,725</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45,004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700,647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Capital and operating leases</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137,032</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30,091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22,231</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55,518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Expected pension and postretirement plan funding</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326,293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25,610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57,136</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62,327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181,220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Estimated costs to complete construction in progress</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Purchase commitments -tantalum</w:t>
            </w:r>
          </w:p>
        </w:tc>
        <w:tc>
          <w:tcPr>
            <w:tcW w:w="110" w:type="dxa"/>
            <w:vAlign w:val="bottom"/>
          </w:tcPr>
          <w:p>
            <w:pPr>
              <w:spacing w:after="0"/>
              <w:rPr>
                <w:sz w:val="18"/>
                <w:szCs w:val="18"/>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67,100</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67,100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jc w:val="right"/>
              <w:ind w:right="36"/>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Purchase commitments -Tower</w:t>
            </w:r>
          </w:p>
        </w:tc>
        <w:tc>
          <w:tcPr>
            <w:tcW w:w="110" w:type="dxa"/>
            <w:vAlign w:val="bottom"/>
            <w:shd w:val="clear" w:color="auto" w:fill="CCEEFF"/>
          </w:tcPr>
          <w:p>
            <w:pPr>
              <w:spacing w:after="0"/>
              <w:rPr>
                <w:sz w:val="18"/>
                <w:szCs w:val="18"/>
                <w:color w:val="auto"/>
              </w:rPr>
            </w:pP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196,000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51,000</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58,000</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Purchase commitments - other</w:t>
            </w:r>
          </w:p>
        </w:tc>
        <w:tc>
          <w:tcPr>
            <w:tcW w:w="110" w:type="dxa"/>
            <w:vAlign w:val="bottom"/>
          </w:tcPr>
          <w:p>
            <w:pPr>
              <w:spacing w:after="0"/>
              <w:rPr>
                <w:sz w:val="19"/>
                <w:szCs w:val="19"/>
                <w:color w:val="auto"/>
              </w:rPr>
            </w:pPr>
          </w:p>
        </w:tc>
        <w:tc>
          <w:tcPr>
            <w:tcW w:w="930" w:type="dxa"/>
            <w:vAlign w:val="bottom"/>
          </w:tcPr>
          <w:p>
            <w:pPr>
              <w:jc w:val="right"/>
              <w:spacing w:after="0"/>
              <w:rPr>
                <w:sz w:val="20"/>
                <w:szCs w:val="20"/>
                <w:color w:val="auto"/>
              </w:rPr>
            </w:pPr>
            <w:r>
              <w:rPr>
                <w:rFonts w:ascii="Arial" w:cs="Arial" w:eastAsia="Arial" w:hAnsi="Arial"/>
                <w:sz w:val="18"/>
                <w:szCs w:val="18"/>
                <w:color w:val="auto"/>
              </w:rPr>
              <w:t>111,000</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48,000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54,000</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9,000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2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3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2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3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Total contractual cash obligations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3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2,431,293</w:t>
            </w: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234,841</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242,525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197,461</w:t>
            </w: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1,756,466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52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3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3321685</wp:posOffset>
            </wp:positionH>
            <wp:positionV relativeFrom="paragraph">
              <wp:posOffset>-29210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3390265</wp:posOffset>
            </wp:positionH>
            <wp:positionV relativeFrom="paragraph">
              <wp:posOffset>-29210</wp:posOffset>
            </wp:positionV>
            <wp:extent cx="380301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803015" cy="29845"/>
                    </a:xfrm>
                    <a:prstGeom prst="rect">
                      <a:avLst/>
                    </a:prstGeom>
                    <a:noFill/>
                  </pic:spPr>
                </pic:pic>
              </a:graphicData>
            </a:graphic>
          </wp:anchor>
        </w:drawing>
      </w:r>
    </w:p>
    <w:p>
      <w:pPr>
        <w:spacing w:after="0" w:line="293"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Pursuant to the terms of the LYONs due 2021, the remaining holders of the LYONs will have the right to “put” these notes to us on June 4, 2006, June 4, 2011, and June 4, 2016 at their accreted values on those dates, as set forth in the notes. The aggregate purchase price for the June 2006 put date would be approximately $138 million.</w:t>
      </w:r>
    </w:p>
    <w:p>
      <w:pPr>
        <w:spacing w:after="0" w:line="194" w:lineRule="exact"/>
        <w:rPr>
          <w:sz w:val="20"/>
          <w:szCs w:val="20"/>
          <w:color w:val="auto"/>
        </w:rPr>
      </w:pPr>
    </w:p>
    <w:p>
      <w:pPr>
        <w:jc w:val="both"/>
        <w:ind w:right="140"/>
        <w:spacing w:after="0" w:line="335" w:lineRule="auto"/>
        <w:rPr>
          <w:sz w:val="20"/>
          <w:szCs w:val="20"/>
          <w:color w:val="auto"/>
        </w:rPr>
      </w:pPr>
      <w:r>
        <w:rPr>
          <w:rFonts w:ascii="Arial" w:cs="Arial" w:eastAsia="Arial" w:hAnsi="Arial"/>
          <w:sz w:val="15"/>
          <w:szCs w:val="15"/>
          <w:color w:val="auto"/>
        </w:rPr>
        <w:t>Pursuant to the terms of the convertible subordinated notes due 2023, the holders of these notes will have the right to “put” these notes to us on August 1, 2008, August 1, 2010, August 1, 2013 and August 1, 2018 at a redemption price equal to 100% of the principal amount of the notes ($500 million). The commitments set forth in the table are based on the stated maturity dates and do not assume acceleration of payment pursuant to the respective options of the holders.</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590" w:right="239" w:bottom="1440" w:gutter="0" w:footer="0" w:header="0"/>
        </w:sectPr>
      </w:pPr>
    </w:p>
    <w:bookmarkStart w:id="51" w:name="page52"/>
    <w:bookmarkEnd w:id="51"/>
    <w:p>
      <w:pPr>
        <w:spacing w:after="0" w:line="318" w:lineRule="auto"/>
        <w:rPr>
          <w:sz w:val="20"/>
          <w:szCs w:val="20"/>
          <w:color w:val="auto"/>
        </w:rPr>
      </w:pPr>
      <w:r>
        <w:rPr>
          <w:rFonts w:ascii="Arial" w:cs="Arial" w:eastAsia="Arial" w:hAnsi="Arial"/>
          <w:sz w:val="15"/>
          <w:szCs w:val="15"/>
          <w:color w:val="auto"/>
        </w:rPr>
        <w:t>Commitments for interest payments on long-term debt are based on the stated maturity dates of each agreement, one of which bears a maturity date of 2102. Various factors could have a material effect on the amount of future interest payments. These factors include the facts that substantially all of our debt instruments are convertible into common stock, that the holders of our LYONs due 2021 and our convertible subordinated notes due 2023 have an option to “put” these notes to us on specified dates, and that interest commitments for our variable-rate exchangeable notes due 2102 are based on the rate prevailing at December 31, 2005. Commitments for interest payments on long-term debt also include commitment fees under our revolving credit facility, which expires in May 2007.</w:t>
      </w:r>
    </w:p>
    <w:p>
      <w:pPr>
        <w:spacing w:after="0" w:line="15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maintain long-term foundry agreements with subcontractors to ensure access to external front-end capacity for our semiconductor products. Our Siliconix division has an agreement with Tower Semiconductor, pursuant to which we will place orders valued at approximately $200 million for the purchase of semiconductor wafers to be manufactured in Tower’s Fab 1 facility over a seven to ten year period. The agreement specifies minimum quantities per month and a fixed quantity for the term of the agreement. We must pay for any short-fall in minimum order quantities specified under the agreement. Acceleration of wafer delivery generally relieves obligations in the later years of the agreement. The commitments set forth above represent the minimum monthly quantities per year. We expect our orders to approximate this delivery schedule.</w:t>
      </w:r>
    </w:p>
    <w:p>
      <w:pPr>
        <w:spacing w:after="0" w:line="174"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In 2004, our Siliconix division entered a five-year foundry agreement for semiconductor manufacturing with a subcontractor in Japan. The agreement calls for Siliconix to provide a rolling twelve month forecast of estimated requirements. The first six months of this forecast are fixed as to quantity, and the subsequent six months are guaranteed not to be less than a quantity stated in the agreement. Thereafter, the monthly quantity may vary based on market demand. Under the agreement Siliconix must guarantee that its business with this subcontractor represents a minimum percentage of wafer requirements and is required to use its best efforts not to reduce the average monthly demand rate below a specified threshold (“best efforts threshold”). The purchase commitments in the table above represent the minimum commitments for year one (based on the fixed quantities for months one through six and the minimum average quantities for months seven through twelve), and the expected minimum commitment based on the best efforts threshold for the remainder of the agreement. Our actual purchases in future periods are expected to be greater than these minimum commitments.</w:t>
      </w:r>
    </w:p>
    <w:p>
      <w:pPr>
        <w:spacing w:after="0" w:line="172"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Generally accepted accounting principles require that management evaluate if purchase commitments are at prices in excess of current market price. The purchase commitments for silicon wafers entered by Siliconix are for the manufacture of proprietary products using Siliconix-owned technology licensed to these subcontractors by Siliconix, and accordingly, management can only estimate the “market price” of the wafers which are the subject of these commitments. Management believes that these commitments are at prices which are not in excess of estimated current market prices.</w:t>
      </w:r>
    </w:p>
    <w:p>
      <w:pPr>
        <w:spacing w:after="0" w:line="167" w:lineRule="exact"/>
        <w:rPr>
          <w:sz w:val="20"/>
          <w:szCs w:val="20"/>
          <w:color w:val="auto"/>
        </w:rPr>
      </w:pPr>
    </w:p>
    <w:p>
      <w:pPr>
        <w:ind w:right="520"/>
        <w:spacing w:after="0" w:line="268" w:lineRule="auto"/>
        <w:rPr>
          <w:sz w:val="20"/>
          <w:szCs w:val="20"/>
          <w:color w:val="auto"/>
        </w:rPr>
      </w:pPr>
      <w:r>
        <w:rPr>
          <w:rFonts w:ascii="Arial" w:cs="Arial" w:eastAsia="Arial" w:hAnsi="Arial"/>
          <w:sz w:val="18"/>
          <w:szCs w:val="18"/>
          <w:color w:val="auto"/>
        </w:rPr>
        <w:t>For a further discussion of long-term debt, pensions, operating leases, and purchase commitments, see Notes 6, 11, 13, and 15 to our consolidated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31" w:lineRule="exact"/>
        <w:rPr>
          <w:sz w:val="20"/>
          <w:szCs w:val="20"/>
          <w:color w:val="auto"/>
        </w:rPr>
      </w:pPr>
    </w:p>
    <w:p>
      <w:pPr>
        <w:ind w:right="420"/>
        <w:spacing w:after="0" w:line="268" w:lineRule="auto"/>
        <w:rPr>
          <w:sz w:val="20"/>
          <w:szCs w:val="20"/>
          <w:color w:val="auto"/>
        </w:rPr>
      </w:pPr>
      <w:r>
        <w:rPr>
          <w:rFonts w:ascii="Arial" w:cs="Arial" w:eastAsia="Arial" w:hAnsi="Arial"/>
          <w:sz w:val="18"/>
          <w:szCs w:val="18"/>
          <w:color w:val="auto"/>
        </w:rPr>
        <w:t>Normally, inflation does not have a significant impact on our operations as our products are not generally sold on long-term contracts. Consequently, we can adjust our selling prices, to the extent permitted by competition, to reflect cost increases caused by inflation.</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jc w:val="both"/>
        <w:ind w:right="160"/>
        <w:spacing w:after="0" w:line="259" w:lineRule="auto"/>
        <w:rPr>
          <w:sz w:val="20"/>
          <w:szCs w:val="20"/>
          <w:color w:val="auto"/>
        </w:rPr>
      </w:pPr>
      <w:r>
        <w:rPr>
          <w:rFonts w:ascii="Arial" w:cs="Arial" w:eastAsia="Arial" w:hAnsi="Arial"/>
          <w:sz w:val="18"/>
          <w:szCs w:val="18"/>
          <w:color w:val="auto"/>
        </w:rPr>
        <w:t>Several new accounting pronouncements were issued during 2005, as more fully described in Note 1 to our consolidated financial statements. The adoption of these new standards, some of which are not effective until future periods, is not expected to have a material effect on our financial position, results of operations or liquidity.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20"/>
          </w:cols>
          <w:pgMar w:left="240" w:top="590" w:right="239" w:bottom="1440" w:gutter="0" w:footer="0" w:header="0"/>
        </w:sectPr>
      </w:pPr>
    </w:p>
    <w:bookmarkStart w:id="52" w:name="page53"/>
    <w:bookmarkEnd w:id="52"/>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7A</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QUANTITATIVE AND QUALITATIVE DISCLOSURES ABOUT MARKET RISK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Disclosure</w:t>
      </w:r>
    </w:p>
    <w:p>
      <w:pPr>
        <w:spacing w:after="0" w:line="231" w:lineRule="exact"/>
        <w:rPr>
          <w:sz w:val="20"/>
          <w:szCs w:val="20"/>
          <w:color w:val="auto"/>
        </w:rPr>
      </w:pPr>
    </w:p>
    <w:p>
      <w:pPr>
        <w:jc w:val="both"/>
        <w:ind w:right="100"/>
        <w:spacing w:after="0" w:line="303" w:lineRule="auto"/>
        <w:rPr>
          <w:sz w:val="20"/>
          <w:szCs w:val="20"/>
          <w:color w:val="auto"/>
        </w:rPr>
      </w:pPr>
      <w:r>
        <w:rPr>
          <w:rFonts w:ascii="Arial" w:cs="Arial" w:eastAsia="Arial" w:hAnsi="Arial"/>
          <w:sz w:val="15"/>
          <w:szCs w:val="15"/>
          <w:color w:val="auto"/>
        </w:rPr>
        <w:t>Our cash flows and earnings are subject to fluctuations resulting from changes in foreign currency exchange rates and interest rates. We manage our exposure to these market risks through internally established policies and procedures and, when deemed appropriate, through the use of derivative financial instruments. Our policies do not allow speculation in derivative instruments for profit or execution of derivative instrument contracts for which there are no underlying exposures.</w:t>
      </w:r>
    </w:p>
    <w:p>
      <w:pPr>
        <w:spacing w:after="0" w:line="1"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We do not use financial instruments for trading purposes and we are not a party to any leveraged derivatives. We monitor our underlying market risk exposures on an ongoing basis and believe that we can modify or adapt our hedging strategies as needed.</w:t>
      </w:r>
    </w:p>
    <w:p>
      <w:pPr>
        <w:spacing w:after="0" w:line="192"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We are exposed to changes in interest rates on our floating rate revolving credit facility. At December 31, 2005, there were no amounts outstanding under this facility, as compared to $11 million at December 31, 2004. On a selective basis, we from time to time enter into interest rate swap or cap agreements to reduce the potential negative impact that increases in interest rates could have on our outstanding variable rate debt. The impact of interest rate instruments on our results of operations in each of the three years ended December 31, 2005, 2004, and 2003 was not significant. See Notes 6 and 14 to our consolidated financial statements for components of our long-term debt and interest rate swap arrangements.</w:t>
      </w:r>
    </w:p>
    <w:p>
      <w:pPr>
        <w:spacing w:after="0" w:line="170"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In August 1998, we entered into six interest rate swap agreements with a total notional amount of $300 million to manage interest rate risk related to our multicurrency revolving line of credit. As of December 31, 2002, five of these six agreements had been terminated. The remaining agreement had a notional amount of $100 million and required us to make payments to the counterparty at variable rates based on USD-LIBOR-BBA rates. This agreement expired in 2003. During the year ended December 31, 2003, we had a pretax gain of approximately $3.8 million related to the expiration of the final swap agreement. See Note 14 to our consolidated financial statements.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31"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Many of our products require the use of raw materials that are produced in only a limited number of regions around the world or are available from only a limited number of suppliers. Our results of operations may be materially and adversely affected if we have difficulty obtaining these raw materials, the quality of available raw materials deteriorates, or there are significant price increases for these raw materials. For example, the prices for tantalum and palladium, two raw materials that we use in our capacitors, are subject to fluctuation. For periods in which the prices of these raw materials are rising, we may be unable to pass on the increased cost to our customers which would result in decreased margins for the products in which they are used. For periods in which the prices are declining, we may be required to write down our inventory carrying cost of these raw materials, since we record our inventory at the lower of cost or market. Depending on the extent of the difference between market price and our carrying cost, this write-down could have a material adverse effect on our net earnings. We recorded substantial write-downs of tantalum and palladium in the economic downturn from 2001 to 2003, and recorded more modest write-downs in 2004.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Risk</w:t>
      </w:r>
    </w:p>
    <w:p>
      <w:pPr>
        <w:spacing w:after="0" w:line="231"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We are exposed to foreign currency exchange rate risks. Our significant foreign subsidiaries are located in Germany, France, Israel and Asia. In most locations, we have introduced a “netting” policy where subsidiaries pay all intercompany balances within thirty days. As of December 31, 2005, we did not have any outstanding foreign currency forward exchange contracts.</w:t>
      </w:r>
    </w:p>
    <w:p>
      <w:pPr>
        <w:spacing w:after="0" w:line="194"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In the normal course of business, our financial position is routinely subjected to a variety of risks, including market risks associated with interest rate movements, currency rate movements on non-U.S. dollar denominated assets and liabilities and collectibility of accounts receivable.</w:t>
      </w:r>
    </w:p>
    <w:p>
      <w:pPr>
        <w:spacing w:after="0" w:line="133"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8.</w:t>
      </w:r>
      <w:r>
        <w:rPr>
          <w:sz w:val="20"/>
          <w:szCs w:val="20"/>
          <w:color w:val="auto"/>
        </w:rPr>
        <w:tab/>
      </w:r>
      <w:r>
        <w:rPr>
          <w:rFonts w:ascii="Arial" w:cs="Arial" w:eastAsia="Arial" w:hAnsi="Arial"/>
          <w:sz w:val="16"/>
          <w:szCs w:val="16"/>
          <w:b w:val="1"/>
          <w:bCs w:val="1"/>
          <w:u w:val="single" w:color="auto"/>
          <w:color w:val="auto"/>
        </w:rPr>
        <w:t>FINANCIAL STATEMENTS AND SUPPLEMENTARY DATA</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The financial statements required by this Item are included herein, commencing on page F-1 of this report.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- 53 -</w:t>
      </w:r>
    </w:p>
    <w:p>
      <w:pPr>
        <w:sectPr>
          <w:pgSz w:w="11900" w:h="16838" w:orient="portrait"/>
          <w:cols w:equalWidth="0" w:num="1">
            <w:col w:w="11400"/>
          </w:cols>
          <w:pgMar w:left="240" w:top="368" w:right="259" w:bottom="1440" w:gutter="0" w:footer="0" w:header="0"/>
        </w:sectPr>
      </w:pPr>
    </w:p>
    <w:bookmarkStart w:id="53" w:name="page54"/>
    <w:bookmarkEnd w:id="53"/>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9</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CHANGES IN AND DISAGREEMENTS WITH ACCOUNTANTS ON ACCOUNTING AND FINANCIAL DISCLOSURE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9A</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Conclusion Regarding the Effectiveness of Disclosure Controls and Procedures</w:t>
      </w:r>
    </w:p>
    <w:p>
      <w:pPr>
        <w:spacing w:after="0" w:line="231" w:lineRule="exact"/>
        <w:rPr>
          <w:sz w:val="20"/>
          <w:szCs w:val="20"/>
          <w:color w:val="auto"/>
        </w:rPr>
      </w:pPr>
    </w:p>
    <w:p>
      <w:pPr>
        <w:jc w:val="both"/>
        <w:ind w:right="300"/>
        <w:spacing w:after="0" w:line="298"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the Chief Executive Officer (“CEO”) and Chief Financial Officer (“CFO”), of the effectiveness of the design and operation of our disclosure controls and procedures, as such term is defined under Rule 13a-15(e) and Rule 15d-15(e) promulgated under the Securities Exchange Act of 1934, as amended (the “Exchange Act”). Based on that evaluation, our CEO and CFO concluded that our disclosure controls and procedures were effective as of the end of the period covered by this annual report.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231"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 xml:space="preserve">Our management is responsible for establishing and maintaining adequate internal control over financial reporting, as such term is defined in Exchange Act Rules 13a-15(f) and 15d-15(f). Under the supervision and with the participation of our management, including our CEO and CFO, we conducted an evaluation of the effectiveness of our internal control over financial reporting as of December 31, 2005 based on the framework set forth in </w:t>
      </w:r>
      <w:r>
        <w:rPr>
          <w:rFonts w:ascii="Arial" w:cs="Arial" w:eastAsia="Arial" w:hAnsi="Arial"/>
          <w:sz w:val="16"/>
          <w:szCs w:val="16"/>
          <w:i w:val="1"/>
          <w:iCs w:val="1"/>
          <w:color w:val="auto"/>
        </w:rPr>
        <w:t>Internal Control - Integrated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Framework </w:t>
      </w:r>
      <w:r>
        <w:rPr>
          <w:rFonts w:ascii="Arial" w:cs="Arial" w:eastAsia="Arial" w:hAnsi="Arial"/>
          <w:sz w:val="16"/>
          <w:szCs w:val="16"/>
          <w:color w:val="auto"/>
        </w:rPr>
        <w:t>issued by the Committee of Sponsoring Organizations of the Treadway Commission. Based on that evaluation, our management concluded that our</w:t>
      </w:r>
      <w:r>
        <w:rPr>
          <w:rFonts w:ascii="Arial" w:cs="Arial" w:eastAsia="Arial" w:hAnsi="Arial"/>
          <w:sz w:val="16"/>
          <w:szCs w:val="16"/>
          <w:i w:val="1"/>
          <w:iCs w:val="1"/>
          <w:color w:val="auto"/>
        </w:rPr>
        <w:t xml:space="preserve"> </w:t>
      </w:r>
      <w:r>
        <w:rPr>
          <w:rFonts w:ascii="Arial" w:cs="Arial" w:eastAsia="Arial" w:hAnsi="Arial"/>
          <w:sz w:val="16"/>
          <w:szCs w:val="16"/>
          <w:color w:val="auto"/>
        </w:rPr>
        <w:t>internal control over financial reporting was effective as of December 31, 2005.</w:t>
      </w:r>
    </w:p>
    <w:p>
      <w:pPr>
        <w:spacing w:after="0" w:line="170"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Our independent registered public accounting firm, Ernst &amp; Young LLP, has audited our consolidated financial statements as of December 31, 2005 and 2004, and for each of the three years in the period ended December 31, 2005, and has expressed an unqualified opinion on those consolidated financial statements, as stated in their report which is included herein on page F-2. Ernst &amp; Young LLP has also issued an attestation report on management’s assessment of our internal control over financial reporting, as stated in their report which is included herein on page F-3.</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The Company continues to take appropriate steps to enhance the reliability of its internal control over financial reporting. Management has discussed with the Company’s Audit Committee and independent registered public accounting firm areas identified for improvement.</w:t>
      </w:r>
    </w:p>
    <w:p>
      <w:pPr>
        <w:spacing w:after="0" w:line="186"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During each quarter of 2005, management instituted interim measures to ensure the accuracy of reported financial results. These interim measures included: (a) redirecting existing staff resources to focus on accounting for accruals, purchase commitments, fixed asset account reconciliations, and intercompany reconciliations among our wholly owned subsidiaries, which were areas that resulted in the audit adjustments that were identified and recorded as of December 31, 2004; (b) utilizing consultants and temporary employees in certain locations; and (c) requiring local management at all locations to perform enhanced analytical procedures and to report the results of those procedures to corporate management.</w:t>
      </w:r>
    </w:p>
    <w:p>
      <w:pPr>
        <w:spacing w:after="0" w:line="170"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These interim measures did not represent the ideal solution, and management has taken and will continue to take the necessary steps to more permanently improve the Company’s internal control over financial reporting. To date, these additional steps have included: (a) hiring additional internal audit personnel worldwide; (b) hiring additional financial managers in certain regions; (c) institutionalizing the analytical procedures performed by local management as part of the quarterly closes; (d) streamlining the Company’s complex subsidiary structure where possible; and (e) implementing a modified corporate financial consolidation software package.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368" w:right="239" w:bottom="1440" w:gutter="0" w:footer="0" w:header="0"/>
        </w:sectPr>
      </w:pPr>
    </w:p>
    <w:bookmarkStart w:id="54" w:name="page55"/>
    <w:bookmarkEnd w:id="54"/>
    <w:p>
      <w:pPr>
        <w:ind w:right="620"/>
        <w:spacing w:after="0" w:line="268" w:lineRule="auto"/>
        <w:rPr>
          <w:sz w:val="20"/>
          <w:szCs w:val="20"/>
          <w:color w:val="auto"/>
        </w:rPr>
      </w:pPr>
      <w:r>
        <w:rPr>
          <w:rFonts w:ascii="Arial" w:cs="Arial" w:eastAsia="Arial" w:hAnsi="Arial"/>
          <w:sz w:val="18"/>
          <w:szCs w:val="18"/>
          <w:color w:val="auto"/>
        </w:rPr>
        <w:t>Except as described above, there were no changes in our internal control over financial reporting during the quarter ended December 31, 2005 that have materially affected, or are reasonably likely to materially affect, our internal control over financial reporting.</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9B.</w:t>
      </w:r>
      <w:r>
        <w:rPr>
          <w:sz w:val="20"/>
          <w:szCs w:val="20"/>
          <w:color w:val="auto"/>
        </w:rPr>
        <w:tab/>
      </w:r>
      <w:r>
        <w:rPr>
          <w:rFonts w:ascii="Arial" w:cs="Arial" w:eastAsia="Arial" w:hAnsi="Arial"/>
          <w:sz w:val="18"/>
          <w:szCs w:val="18"/>
          <w:b w:val="1"/>
          <w:bCs w:val="1"/>
          <w:u w:val="single" w:color="auto"/>
          <w:color w:val="auto"/>
        </w:rPr>
        <w:t>OTHER INFORMATION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u w:val="single" w:color="auto"/>
          <w:color w:val="auto"/>
        </w:rPr>
        <w:t>PART III</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10</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DIRECTORS AND EXECUTIVE OFFICERS OF THE REGISTRANT</w:t>
      </w:r>
    </w:p>
    <w:p>
      <w:pPr>
        <w:spacing w:after="0" w:line="23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have a code of ethics applicable to our Chief Executive Officer, Chief Financial Officer, Principal Accounting Officer or Controller and financial managers. The text of this code has been posted on our website. To view the code, go to our website at ir.vishay.com and click on Corporate Governance. You can obtain a printed copy of this code, free of charge, by contacting us at the following address:</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Corporate Investor Relations</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Vishay Intertechnology, Inc.</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63 Lincoln Highway</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Malvern, PA 19355-2143</w:t>
      </w:r>
    </w:p>
    <w:p>
      <w:pPr>
        <w:spacing w:after="0" w:line="219"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It is the intention of the Company to satisfy the disclosure requirement under Item 5.05 of Form 8-K regarding any amendment to, or any waiver from, a provision of this code by posting such information on our website, at the aforementioned address and location.</w:t>
      </w:r>
    </w:p>
    <w:p>
      <w:pPr>
        <w:spacing w:after="0" w:line="186"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Certain information required under this Item with respect to our Executive Officers is set forth in Part I, Item 4A hereof under the caption “Executive Officers of the Registrant.”</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Other information required under this Item is contained in our definitive proxy statement, which will be filed within 120 days of December 31, 2005, our most recent fiscal year end, and is incorporated herein by reference.</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11</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EXECUTIVE COMPENSATION</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Information required under this Item is contained in our definitive proxy statement, which will be filed within 120 days of December 31, 2005, our most recent fiscal year end, and is incorporated herein by reference.</w:t>
      </w:r>
    </w:p>
    <w:p>
      <w:pPr>
        <w:spacing w:after="0" w:line="180" w:lineRule="exact"/>
        <w:rPr>
          <w:sz w:val="20"/>
          <w:szCs w:val="20"/>
          <w:color w:val="auto"/>
        </w:rPr>
      </w:pPr>
    </w:p>
    <w:p>
      <w:pPr>
        <w:ind w:left="1160" w:right="500" w:hanging="1147"/>
        <w:spacing w:after="0" w:line="275" w:lineRule="auto"/>
        <w:tabs>
          <w:tab w:leader="none" w:pos="1140" w:val="left"/>
        </w:tabs>
        <w:rPr>
          <w:sz w:val="20"/>
          <w:szCs w:val="20"/>
          <w:color w:val="auto"/>
        </w:rPr>
      </w:pPr>
      <w:r>
        <w:rPr>
          <w:rFonts w:ascii="Arial" w:cs="Arial" w:eastAsia="Arial" w:hAnsi="Arial"/>
          <w:sz w:val="18"/>
          <w:szCs w:val="18"/>
          <w:b w:val="1"/>
          <w:bCs w:val="1"/>
          <w:u w:val="single" w:color="auto"/>
          <w:color w:val="auto"/>
        </w:rPr>
        <w:t>Item 12</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b w:val="1"/>
          <w:bCs w:val="1"/>
          <w:u w:val="single" w:color="auto"/>
          <w:color w:val="auto"/>
        </w:rPr>
        <w:t>SECURITY OWNERSHIP OF CERTAIN BENEFICIAL OWNERS AND MANAGEMENT AND RELATED STOCKHOLDER MATTERS</w:t>
      </w:r>
    </w:p>
    <w:p>
      <w:pPr>
        <w:spacing w:after="0" w:line="180"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Information required under this Item is contained in our definitive proxy statement, which will be filed within 120 days of December 31, 2005, our most recent fiscal year end, and is incorporated herein by reference.</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13</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CERTAIN RELATIONSHIPS AND RELATED TRANSACTIONS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Information required under this Item is contained in our definitive proxy statement, which will be filed within 120 days of December 31, 2005, our most recent fiscal year end, and is incorporated herein by reference.</w:t>
      </w:r>
    </w:p>
    <w:p>
      <w:pPr>
        <w:spacing w:after="0" w:line="180"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14</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PRINCIPAL ACCOUNTING FEES AND SERVICES</w:t>
      </w:r>
    </w:p>
    <w:p>
      <w:pPr>
        <w:spacing w:after="0" w:line="231"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Information required under this Item is contained in our definitive proxy statement, which will be filed within 120 days of December 31, 2005, our most recent fiscal year end, and is incorporated herein by reference.</w:t>
      </w:r>
    </w:p>
    <w:p>
      <w:pPr>
        <w:spacing w:after="0" w:line="18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300"/>
          </w:cols>
          <w:pgMar w:left="240" w:top="590" w:right="359" w:bottom="1440" w:gutter="0" w:footer="0" w:header="0"/>
        </w:sectPr>
      </w:pPr>
    </w:p>
    <w:bookmarkStart w:id="55" w:name="page56"/>
    <w:bookmarkEnd w:id="55"/>
    <w:p>
      <w:pPr>
        <w:jc w:val="center"/>
        <w:ind w:right="-19"/>
        <w:spacing w:after="0"/>
        <w:rPr>
          <w:sz w:val="20"/>
          <w:szCs w:val="20"/>
          <w:color w:val="auto"/>
        </w:rPr>
      </w:pPr>
      <w:r>
        <w:rPr>
          <w:rFonts w:ascii="Arial" w:cs="Arial" w:eastAsia="Arial" w:hAnsi="Arial"/>
          <w:sz w:val="18"/>
          <w:szCs w:val="18"/>
          <w:b w:val="1"/>
          <w:bCs w:val="1"/>
          <w:u w:val="single" w:color="auto"/>
          <w:color w:val="auto"/>
        </w:rPr>
        <w:t>PART IV</w:t>
      </w:r>
    </w:p>
    <w:p>
      <w:pPr>
        <w:spacing w:after="0" w:line="225" w:lineRule="exact"/>
        <w:rPr>
          <w:sz w:val="20"/>
          <w:szCs w:val="20"/>
          <w:color w:val="auto"/>
        </w:rPr>
      </w:pPr>
    </w:p>
    <w:p>
      <w:pPr>
        <w:spacing w:after="0"/>
        <w:tabs>
          <w:tab w:leader="none" w:pos="1140" w:val="left"/>
        </w:tabs>
        <w:rPr>
          <w:sz w:val="20"/>
          <w:szCs w:val="20"/>
          <w:color w:val="auto"/>
        </w:rPr>
      </w:pPr>
      <w:r>
        <w:rPr>
          <w:rFonts w:ascii="Arial" w:cs="Arial" w:eastAsia="Arial" w:hAnsi="Arial"/>
          <w:sz w:val="18"/>
          <w:szCs w:val="18"/>
          <w:b w:val="1"/>
          <w:bCs w:val="1"/>
          <w:u w:val="single" w:color="auto"/>
          <w:color w:val="auto"/>
        </w:rPr>
        <w:t>Item 15</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b w:val="1"/>
          <w:bCs w:val="1"/>
          <w:u w:val="single" w:color="auto"/>
          <w:color w:val="auto"/>
        </w:rPr>
        <w:t>EXHIBITS, FINANCIAL STATEMENT SCHEDULES</w:t>
      </w:r>
    </w:p>
    <w:p>
      <w:pPr>
        <w:spacing w:after="0" w:line="231" w:lineRule="exact"/>
        <w:rPr>
          <w:sz w:val="20"/>
          <w:szCs w:val="20"/>
          <w:color w:val="auto"/>
        </w:rPr>
      </w:pPr>
    </w:p>
    <w:p>
      <w:pPr>
        <w:ind w:left="300" w:hanging="292"/>
        <w:spacing w:after="0"/>
        <w:tabs>
          <w:tab w:leader="none" w:pos="300" w:val="left"/>
        </w:tabs>
        <w:numPr>
          <w:ilvl w:val="0"/>
          <w:numId w:val="14"/>
        </w:numPr>
        <w:rPr>
          <w:rFonts w:ascii="Arial" w:cs="Arial" w:eastAsia="Arial" w:hAnsi="Arial"/>
          <w:sz w:val="18"/>
          <w:szCs w:val="18"/>
          <w:color w:val="auto"/>
        </w:rPr>
      </w:pPr>
      <w:r>
        <w:rPr>
          <w:rFonts w:ascii="Arial" w:cs="Arial" w:eastAsia="Arial" w:hAnsi="Arial"/>
          <w:sz w:val="18"/>
          <w:szCs w:val="18"/>
          <w:u w:val="single" w:color="auto"/>
          <w:color w:val="auto"/>
        </w:rPr>
        <w:t>Documents Filed as Part of Form 10-K</w:t>
      </w:r>
    </w:p>
    <w:p>
      <w:pPr>
        <w:spacing w:after="0" w:line="225" w:lineRule="exact"/>
        <w:rPr>
          <w:sz w:val="20"/>
          <w:szCs w:val="20"/>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p>
    <w:p>
      <w:pPr>
        <w:spacing w:after="0" w:line="157" w:lineRule="exact"/>
        <w:rPr>
          <w:rFonts w:ascii="Arial" w:cs="Arial" w:eastAsia="Arial" w:hAnsi="Arial"/>
          <w:sz w:val="18"/>
          <w:szCs w:val="18"/>
          <w:color w:val="auto"/>
        </w:rPr>
      </w:pPr>
    </w:p>
    <w:p>
      <w:pPr>
        <w:ind w:left="580" w:right="100"/>
        <w:spacing w:after="0" w:line="268" w:lineRule="auto"/>
        <w:rPr>
          <w:rFonts w:ascii="Arial" w:cs="Arial" w:eastAsia="Arial" w:hAnsi="Arial"/>
          <w:sz w:val="18"/>
          <w:szCs w:val="18"/>
          <w:color w:val="auto"/>
        </w:rPr>
      </w:pPr>
      <w:r>
        <w:rPr>
          <w:rFonts w:ascii="Arial" w:cs="Arial" w:eastAsia="Arial" w:hAnsi="Arial"/>
          <w:sz w:val="18"/>
          <w:szCs w:val="18"/>
          <w:color w:val="auto"/>
        </w:rPr>
        <w:t>The Consolidated Financial Statements for the year ended December 31, 2005 are filed herewith. See Index to the Consolidated Financial Statements on page F-1 of this report.</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Financial Statement Schedules</w:t>
      </w:r>
    </w:p>
    <w:p>
      <w:pPr>
        <w:spacing w:after="0" w:line="157" w:lineRule="exact"/>
        <w:rPr>
          <w:rFonts w:ascii="Arial" w:cs="Arial" w:eastAsia="Arial" w:hAnsi="Arial"/>
          <w:sz w:val="18"/>
          <w:szCs w:val="18"/>
          <w:color w:val="auto"/>
        </w:rPr>
      </w:pPr>
    </w:p>
    <w:p>
      <w:pPr>
        <w:ind w:left="580" w:right="20"/>
        <w:spacing w:after="0" w:line="268" w:lineRule="auto"/>
        <w:rPr>
          <w:rFonts w:ascii="Arial" w:cs="Arial" w:eastAsia="Arial" w:hAnsi="Arial"/>
          <w:sz w:val="18"/>
          <w:szCs w:val="18"/>
          <w:color w:val="auto"/>
        </w:rPr>
      </w:pPr>
      <w:r>
        <w:rPr>
          <w:rFonts w:ascii="Arial" w:cs="Arial" w:eastAsia="Arial" w:hAnsi="Arial"/>
          <w:sz w:val="18"/>
          <w:szCs w:val="18"/>
          <w:color w:val="auto"/>
        </w:rPr>
        <w:t>All financial statement schedules for which provision is made in the applicable accounting regulation of the Securities and Exchange Commission are not required under the related instructions or are inapplicable and therefore have been omitted.</w:t>
      </w:r>
    </w:p>
    <w:p>
      <w:pPr>
        <w:spacing w:after="0" w:line="118" w:lineRule="exact"/>
        <w:rPr>
          <w:rFonts w:ascii="Arial" w:cs="Arial" w:eastAsia="Arial" w:hAnsi="Arial"/>
          <w:sz w:val="18"/>
          <w:szCs w:val="18"/>
          <w:color w:val="auto"/>
        </w:rPr>
      </w:pPr>
    </w:p>
    <w:p>
      <w:pPr>
        <w:ind w:left="580" w:hanging="572"/>
        <w:spacing w:after="0"/>
        <w:tabs>
          <w:tab w:leader="none" w:pos="580" w:val="left"/>
        </w:tabs>
        <w:numPr>
          <w:ilvl w:val="0"/>
          <w:numId w:val="15"/>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157" w:lineRule="exact"/>
        <w:rPr>
          <w:rFonts w:ascii="Arial" w:cs="Arial" w:eastAsia="Arial" w:hAnsi="Arial"/>
          <w:sz w:val="18"/>
          <w:szCs w:val="18"/>
          <w:color w:val="auto"/>
        </w:rPr>
      </w:pPr>
    </w:p>
    <w:p>
      <w:pPr>
        <w:ind w:left="1160" w:hanging="567"/>
        <w:spacing w:after="0" w:line="259" w:lineRule="auto"/>
        <w:rPr>
          <w:rFonts w:ascii="Arial" w:cs="Arial" w:eastAsia="Arial" w:hAnsi="Arial"/>
          <w:sz w:val="18"/>
          <w:szCs w:val="18"/>
          <w:color w:val="auto"/>
        </w:rPr>
      </w:pPr>
      <w:r>
        <w:rPr>
          <w:rFonts w:ascii="Arial" w:cs="Arial" w:eastAsia="Arial" w:hAnsi="Arial"/>
          <w:sz w:val="18"/>
          <w:szCs w:val="18"/>
          <w:color w:val="auto"/>
        </w:rPr>
        <w:t>2.1Share Sale and Purchase Agreement between Phoenix Acquisition Company S.ar.l; Other Investors (as defined); Mezzanine Lenders (as defined); Vishay Intertechnology, Inc.; Vishay Europe GmbH; and BCcomponents International B.V., dated as of November 10, 2002. Incorporated by reference to Exhibit 2.1 to Form 8-K filed December 23, 2002.</w:t>
      </w:r>
    </w:p>
    <w:p>
      <w:pPr>
        <w:spacing w:after="0" w:line="126" w:lineRule="exact"/>
        <w:rPr>
          <w:rFonts w:ascii="Arial" w:cs="Arial" w:eastAsia="Arial" w:hAnsi="Arial"/>
          <w:sz w:val="18"/>
          <w:szCs w:val="18"/>
          <w:color w:val="auto"/>
        </w:rPr>
      </w:pPr>
    </w:p>
    <w:p>
      <w:pPr>
        <w:ind w:left="1160" w:right="80" w:hanging="567"/>
        <w:spacing w:after="0" w:line="306" w:lineRule="auto"/>
        <w:rPr>
          <w:rFonts w:ascii="Arial" w:cs="Arial" w:eastAsia="Arial" w:hAnsi="Arial"/>
          <w:sz w:val="18"/>
          <w:szCs w:val="18"/>
          <w:color w:val="auto"/>
        </w:rPr>
      </w:pPr>
      <w:r>
        <w:rPr>
          <w:rFonts w:ascii="Arial" w:cs="Arial" w:eastAsia="Arial" w:hAnsi="Arial"/>
          <w:sz w:val="18"/>
          <w:szCs w:val="18"/>
          <w:color w:val="auto"/>
        </w:rPr>
        <w:t>2.2</w:t>
      </w:r>
      <w:r>
        <w:rPr>
          <w:rFonts w:ascii="Arial" w:cs="Arial" w:eastAsia="Arial" w:hAnsi="Arial"/>
          <w:sz w:val="16"/>
          <w:szCs w:val="16"/>
          <w:color w:val="auto"/>
        </w:rPr>
        <w:t>Amendment to the Share Sale and Purchase Agreement between Phoenix Acquisition Company S.ar.l; Other Investors (as defined); Mezzanine Lenders (as defined); Vishay Intertechnology, Inc.; Vishay Europe GmbH; and BCcomponents International B.V., dated as of December 4, 2002. Incorporated by reference to Exhibit 2.2 to Form 8-K filed December 23, 2002.</w:t>
      </w:r>
    </w:p>
    <w:p>
      <w:pPr>
        <w:spacing w:after="0" w:line="93" w:lineRule="exact"/>
        <w:rPr>
          <w:rFonts w:ascii="Arial" w:cs="Arial" w:eastAsia="Arial" w:hAnsi="Arial"/>
          <w:sz w:val="18"/>
          <w:szCs w:val="18"/>
          <w:color w:val="auto"/>
        </w:rPr>
      </w:pPr>
    </w:p>
    <w:p>
      <w:pPr>
        <w:ind w:left="1160" w:right="140" w:hanging="567"/>
        <w:spacing w:after="0" w:line="255" w:lineRule="auto"/>
        <w:rPr>
          <w:rFonts w:ascii="Arial" w:cs="Arial" w:eastAsia="Arial" w:hAnsi="Arial"/>
          <w:sz w:val="18"/>
          <w:szCs w:val="18"/>
          <w:color w:val="auto"/>
        </w:rPr>
      </w:pPr>
      <w:r>
        <w:rPr>
          <w:rFonts w:ascii="Arial" w:cs="Arial" w:eastAsia="Arial" w:hAnsi="Arial"/>
          <w:sz w:val="18"/>
          <w:szCs w:val="18"/>
          <w:color w:val="auto"/>
        </w:rPr>
        <w:t>3.1Composite Amended and Restated Certificate of Incorporation of Vishay Intertechnology, Inc. dated August 3, 1995; Certificate of Amendment of Composite Amended and Restated Certificate of Incorporation dated May 22, 1997; Certificate of Amendment of the Amended and Restated Certificate of Incorporation dated November 2, 2001; and Certificate of Amendment of the Amended and Restated Certificate of Incorporation dated July 29, 2003. Incorporated by reference to Exhibit 3.1 to Amendment No. 2 to our Registration Statement on Form S-3, File No. 333-102507, filed on October 3, 2003.</w:t>
      </w:r>
    </w:p>
    <w:p>
      <w:pPr>
        <w:spacing w:after="0" w:line="129" w:lineRule="exact"/>
        <w:rPr>
          <w:rFonts w:ascii="Arial" w:cs="Arial" w:eastAsia="Arial" w:hAnsi="Arial"/>
          <w:sz w:val="18"/>
          <w:szCs w:val="18"/>
          <w:color w:val="auto"/>
        </w:rPr>
      </w:pPr>
    </w:p>
    <w:p>
      <w:pPr>
        <w:ind w:left="1160" w:right="20" w:hanging="567"/>
        <w:spacing w:after="0" w:line="268" w:lineRule="auto"/>
        <w:rPr>
          <w:rFonts w:ascii="Arial" w:cs="Arial" w:eastAsia="Arial" w:hAnsi="Arial"/>
          <w:sz w:val="18"/>
          <w:szCs w:val="18"/>
          <w:color w:val="auto"/>
        </w:rPr>
      </w:pPr>
      <w:r>
        <w:rPr>
          <w:rFonts w:ascii="Arial" w:cs="Arial" w:eastAsia="Arial" w:hAnsi="Arial"/>
          <w:sz w:val="18"/>
          <w:szCs w:val="18"/>
          <w:color w:val="auto"/>
        </w:rPr>
        <w:t>3.2Amended and Restated Bylaws of Registrant. Incorporated by reference to Exhibit 3.2 to our quarterly report on Form 10-Q for the quarter ended July 2, 2005.</w:t>
      </w:r>
    </w:p>
    <w:p>
      <w:pPr>
        <w:spacing w:after="0" w:line="118" w:lineRule="exact"/>
        <w:rPr>
          <w:rFonts w:ascii="Arial" w:cs="Arial" w:eastAsia="Arial" w:hAnsi="Arial"/>
          <w:sz w:val="18"/>
          <w:szCs w:val="18"/>
          <w:color w:val="auto"/>
        </w:rPr>
      </w:pPr>
    </w:p>
    <w:p>
      <w:pPr>
        <w:ind w:left="1160" w:right="120" w:hanging="567"/>
        <w:spacing w:after="0" w:line="306" w:lineRule="auto"/>
        <w:rPr>
          <w:rFonts w:ascii="Arial" w:cs="Arial" w:eastAsia="Arial" w:hAnsi="Arial"/>
          <w:sz w:val="18"/>
          <w:szCs w:val="18"/>
          <w:color w:val="auto"/>
        </w:rPr>
      </w:pPr>
      <w:r>
        <w:rPr>
          <w:rFonts w:ascii="Arial" w:cs="Arial" w:eastAsia="Arial" w:hAnsi="Arial"/>
          <w:sz w:val="18"/>
          <w:szCs w:val="18"/>
          <w:color w:val="auto"/>
        </w:rPr>
        <w:t>4.1</w:t>
      </w:r>
      <w:r>
        <w:rPr>
          <w:rFonts w:ascii="Arial" w:cs="Arial" w:eastAsia="Arial" w:hAnsi="Arial"/>
          <w:sz w:val="16"/>
          <w:szCs w:val="16"/>
          <w:color w:val="auto"/>
        </w:rPr>
        <w:t>Indenture dated as of June 4, 2001 between Vishay Intertechnology, Inc. and Bank of New York as Trustee. Incorporated by reference to Exhibit 4.1 to our current report on Form 8-K filed on June 18, 2001 except that clause (x) of Section 5 thereof is corrected to read “(x) 0.0625% of the average LYON Market Price for the Five Day Period with respect to such Contingent Interest Period and”.</w:t>
      </w:r>
    </w:p>
    <w:p>
      <w:pPr>
        <w:spacing w:after="0" w:line="93" w:lineRule="exact"/>
        <w:rPr>
          <w:rFonts w:ascii="Arial" w:cs="Arial" w:eastAsia="Arial" w:hAnsi="Arial"/>
          <w:sz w:val="18"/>
          <w:szCs w:val="18"/>
          <w:color w:val="auto"/>
        </w:rPr>
      </w:pPr>
    </w:p>
    <w:p>
      <w:pPr>
        <w:ind w:left="1160" w:right="160" w:hanging="567"/>
        <w:spacing w:after="0" w:line="332" w:lineRule="auto"/>
        <w:rPr>
          <w:rFonts w:ascii="Arial" w:cs="Arial" w:eastAsia="Arial" w:hAnsi="Arial"/>
          <w:sz w:val="18"/>
          <w:szCs w:val="18"/>
          <w:color w:val="auto"/>
        </w:rPr>
      </w:pPr>
      <w:r>
        <w:rPr>
          <w:rFonts w:ascii="Arial" w:cs="Arial" w:eastAsia="Arial" w:hAnsi="Arial"/>
          <w:sz w:val="18"/>
          <w:szCs w:val="18"/>
          <w:color w:val="auto"/>
        </w:rPr>
        <w:t>4.2</w:t>
      </w:r>
      <w:r>
        <w:rPr>
          <w:rFonts w:ascii="Arial" w:cs="Arial" w:eastAsia="Arial" w:hAnsi="Arial"/>
          <w:sz w:val="16"/>
          <w:szCs w:val="16"/>
          <w:color w:val="auto"/>
        </w:rPr>
        <w:t>Indenture, dated as of August 6, 2003, by and between Vishay Intertechnology, Inc. and Wachovia Bank, National Association. Incorporated by reference to Exhibit 4.1 to our Registration Statement on Form S-3 (No. 333-110259) filed on November 5, 2003.</w:t>
      </w:r>
    </w:p>
    <w:p>
      <w:pPr>
        <w:spacing w:after="0" w:line="71" w:lineRule="exact"/>
        <w:rPr>
          <w:rFonts w:ascii="Arial" w:cs="Arial" w:eastAsia="Arial" w:hAnsi="Arial"/>
          <w:sz w:val="18"/>
          <w:szCs w:val="18"/>
          <w:color w:val="auto"/>
        </w:rPr>
      </w:pPr>
    </w:p>
    <w:p>
      <w:pPr>
        <w:ind w:left="1160" w:right="60" w:hanging="567"/>
        <w:spacing w:after="0" w:line="268" w:lineRule="auto"/>
        <w:rPr>
          <w:rFonts w:ascii="Arial" w:cs="Arial" w:eastAsia="Arial" w:hAnsi="Arial"/>
          <w:sz w:val="18"/>
          <w:szCs w:val="18"/>
          <w:color w:val="auto"/>
        </w:rPr>
      </w:pPr>
      <w:r>
        <w:rPr>
          <w:rFonts w:ascii="Arial" w:cs="Arial" w:eastAsia="Arial" w:hAnsi="Arial"/>
          <w:sz w:val="18"/>
          <w:szCs w:val="18"/>
          <w:color w:val="auto"/>
        </w:rPr>
        <w:t>10.1 Vishay Intertechnology Section 162(m) Cash Bonus Plan. Incorporated by reference to Annex B to our Proxy Statement, dated April 7, 2004, for our 2004 Annual Meeting of Stockholders.</w:t>
      </w:r>
    </w:p>
    <w:p>
      <w:pPr>
        <w:spacing w:after="0" w:line="118" w:lineRule="exact"/>
        <w:rPr>
          <w:rFonts w:ascii="Arial" w:cs="Arial" w:eastAsia="Arial" w:hAnsi="Arial"/>
          <w:sz w:val="18"/>
          <w:szCs w:val="18"/>
          <w:color w:val="auto"/>
        </w:rPr>
      </w:pPr>
    </w:p>
    <w:p>
      <w:pPr>
        <w:ind w:left="1160" w:right="400" w:hanging="567"/>
        <w:spacing w:after="0" w:line="268" w:lineRule="auto"/>
        <w:rPr>
          <w:rFonts w:ascii="Arial" w:cs="Arial" w:eastAsia="Arial" w:hAnsi="Arial"/>
          <w:sz w:val="18"/>
          <w:szCs w:val="18"/>
          <w:color w:val="auto"/>
        </w:rPr>
      </w:pPr>
      <w:r>
        <w:rPr>
          <w:rFonts w:ascii="Arial" w:cs="Arial" w:eastAsia="Arial" w:hAnsi="Arial"/>
          <w:sz w:val="18"/>
          <w:szCs w:val="18"/>
          <w:color w:val="auto"/>
        </w:rPr>
        <w:t>10.2 Vishay Intertechnology Senior Executive Phantom Stock Plan. Incorporated by reference to Annex C to our Proxy Statement, dated April 7, 2004, for our 2004 Annual Meeting of Stockholders.</w:t>
      </w:r>
    </w:p>
    <w:p>
      <w:pPr>
        <w:spacing w:after="0" w:line="185" w:lineRule="exact"/>
        <w:rPr>
          <w:rFonts w:ascii="Arial" w:cs="Arial" w:eastAsia="Arial" w:hAnsi="Arial"/>
          <w:sz w:val="18"/>
          <w:szCs w:val="18"/>
          <w:color w:val="auto"/>
        </w:rPr>
      </w:pPr>
    </w:p>
    <w:p>
      <w:pPr>
        <w:ind w:left="5620" w:hanging="96"/>
        <w:spacing w:after="0"/>
        <w:tabs>
          <w:tab w:leader="none" w:pos="5620" w:val="left"/>
        </w:tabs>
        <w:numPr>
          <w:ilvl w:val="1"/>
          <w:numId w:val="15"/>
        </w:numPr>
        <w:rPr>
          <w:rFonts w:ascii="Arial" w:cs="Arial" w:eastAsia="Arial" w:hAnsi="Arial"/>
          <w:sz w:val="18"/>
          <w:szCs w:val="18"/>
          <w:color w:val="auto"/>
        </w:rPr>
      </w:pPr>
      <w:r>
        <w:rPr>
          <w:rFonts w:ascii="Arial" w:cs="Arial" w:eastAsia="Arial" w:hAnsi="Arial"/>
          <w:sz w:val="18"/>
          <w:szCs w:val="18"/>
          <w:color w:val="auto"/>
        </w:rPr>
        <w:t>56 -</w:t>
      </w:r>
    </w:p>
    <w:p>
      <w:pPr>
        <w:sectPr>
          <w:pgSz w:w="11900" w:h="16838" w:orient="portrait"/>
          <w:cols w:equalWidth="0" w:num="1">
            <w:col w:w="11400"/>
          </w:cols>
          <w:pgMar w:left="240" w:top="584" w:right="259" w:bottom="1440" w:gutter="0" w:footer="0" w:header="0"/>
        </w:sectPr>
      </w:pPr>
    </w:p>
    <w:bookmarkStart w:id="56" w:name="page57"/>
    <w:bookmarkEnd w:id="56"/>
    <w:p>
      <w:pPr>
        <w:ind w:left="580" w:hanging="566"/>
        <w:spacing w:after="0" w:line="256" w:lineRule="auto"/>
        <w:tabs>
          <w:tab w:leader="none" w:pos="560" w:val="left"/>
        </w:tabs>
        <w:rPr>
          <w:sz w:val="20"/>
          <w:szCs w:val="20"/>
          <w:color w:val="auto"/>
        </w:rPr>
      </w:pPr>
      <w:r>
        <w:rPr>
          <w:rFonts w:ascii="Arial" w:cs="Arial" w:eastAsia="Arial" w:hAnsi="Arial"/>
          <w:sz w:val="18"/>
          <w:szCs w:val="18"/>
          <w:color w:val="auto"/>
        </w:rPr>
        <w:t>10.3</w:t>
        <w:tab/>
        <w:t>Second Amended and Restated Vishay Intertechnology, Inc. Long Term Revolving Credit Agreement and Consent, made as of July 31, 2003, by and among Vishay Intertechnology, Inc., the Permitted Borrowers (as defined), the Lenders signatory thereto and Comerica Bank, as Co-lead Arranger, Co-Book Running Manager and Administrative agent, et al. Incorporated by reference to Exhibit 10.2 to our annual report on Form 10-K for the year ended December 31, 2003.</w:t>
      </w:r>
    </w:p>
    <w:p>
      <w:pPr>
        <w:spacing w:after="0" w:line="130" w:lineRule="exact"/>
        <w:rPr>
          <w:sz w:val="20"/>
          <w:szCs w:val="20"/>
          <w:color w:val="auto"/>
        </w:rPr>
      </w:pPr>
    </w:p>
    <w:p>
      <w:pPr>
        <w:ind w:left="580" w:right="60" w:hanging="566"/>
        <w:spacing w:after="0" w:line="332" w:lineRule="auto"/>
        <w:tabs>
          <w:tab w:leader="none" w:pos="56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6"/>
          <w:szCs w:val="16"/>
          <w:color w:val="auto"/>
        </w:rPr>
        <w:t>Consent and First Amendment to Vishay Intertechnology, Inc. Second Amended and Restated Long Term Revolving Credit Agreement, dated as of May 14, 2004. Incorporated by reference to Exhibit 10.1 to our current report on Form 8-K filed on May 25, 2004.</w:t>
      </w:r>
    </w:p>
    <w:p>
      <w:pPr>
        <w:spacing w:after="0" w:line="72" w:lineRule="exact"/>
        <w:rPr>
          <w:sz w:val="20"/>
          <w:szCs w:val="20"/>
          <w:color w:val="auto"/>
        </w:rPr>
      </w:pPr>
    </w:p>
    <w:p>
      <w:pPr>
        <w:ind w:left="580" w:right="60" w:hanging="566"/>
        <w:spacing w:after="0" w:line="268" w:lineRule="auto"/>
        <w:tabs>
          <w:tab w:leader="none" w:pos="560" w:val="left"/>
        </w:tabs>
        <w:rPr>
          <w:sz w:val="20"/>
          <w:szCs w:val="20"/>
          <w:color w:val="auto"/>
        </w:rPr>
      </w:pPr>
      <w:r>
        <w:rPr>
          <w:rFonts w:ascii="Arial" w:cs="Arial" w:eastAsia="Arial" w:hAnsi="Arial"/>
          <w:sz w:val="18"/>
          <w:szCs w:val="18"/>
          <w:color w:val="auto"/>
        </w:rPr>
        <w:t>10.5</w:t>
        <w:tab/>
        <w:t>Consent and Second Amendment to Vishay Intertechnology, Inc. Second Amended and Restated Long Term Revolving Credit Agreement, dated as of August 6, 2004.</w:t>
      </w:r>
    </w:p>
    <w:p>
      <w:pPr>
        <w:spacing w:after="0" w:line="118" w:lineRule="exact"/>
        <w:rPr>
          <w:sz w:val="20"/>
          <w:szCs w:val="20"/>
          <w:color w:val="auto"/>
        </w:rPr>
      </w:pPr>
    </w:p>
    <w:p>
      <w:pPr>
        <w:ind w:left="580" w:right="280" w:hanging="566"/>
        <w:spacing w:after="0" w:line="268" w:lineRule="auto"/>
        <w:tabs>
          <w:tab w:leader="none" w:pos="560" w:val="left"/>
        </w:tabs>
        <w:rPr>
          <w:sz w:val="20"/>
          <w:szCs w:val="20"/>
          <w:color w:val="auto"/>
        </w:rPr>
      </w:pPr>
      <w:r>
        <w:rPr>
          <w:rFonts w:ascii="Arial" w:cs="Arial" w:eastAsia="Arial" w:hAnsi="Arial"/>
          <w:sz w:val="18"/>
          <w:szCs w:val="18"/>
          <w:color w:val="auto"/>
        </w:rPr>
        <w:t>10.6</w:t>
        <w:tab/>
        <w:t>Vishay Intertechnology, Inc. 1997 Stock Option Program. Incorporated by reference to our Definitive Proxy Statement on Schedule 14A filed April 16, 1998.</w:t>
      </w:r>
    </w:p>
    <w:p>
      <w:pPr>
        <w:spacing w:after="0" w:line="118" w:lineRule="exact"/>
        <w:rPr>
          <w:sz w:val="20"/>
          <w:szCs w:val="20"/>
          <w:color w:val="auto"/>
        </w:rPr>
      </w:pPr>
    </w:p>
    <w:p>
      <w:pPr>
        <w:ind w:left="580" w:right="280" w:hanging="566"/>
        <w:spacing w:after="0" w:line="268" w:lineRule="auto"/>
        <w:tabs>
          <w:tab w:leader="none" w:pos="560" w:val="left"/>
        </w:tabs>
        <w:rPr>
          <w:sz w:val="20"/>
          <w:szCs w:val="20"/>
          <w:color w:val="auto"/>
        </w:rPr>
      </w:pPr>
      <w:r>
        <w:rPr>
          <w:rFonts w:ascii="Arial" w:cs="Arial" w:eastAsia="Arial" w:hAnsi="Arial"/>
          <w:sz w:val="18"/>
          <w:szCs w:val="18"/>
          <w:color w:val="auto"/>
        </w:rPr>
        <w:t>10.7</w:t>
        <w:tab/>
        <w:t>Vishay Intertechnology, Inc. 1998 Stock Option Program. Incorporated by reference to our Definitive Proxy Statement on Schedule 14A filed April 16, 1998.</w:t>
      </w:r>
    </w:p>
    <w:p>
      <w:pPr>
        <w:spacing w:after="0" w:line="118" w:lineRule="exact"/>
        <w:rPr>
          <w:sz w:val="20"/>
          <w:szCs w:val="20"/>
          <w:color w:val="auto"/>
        </w:rPr>
      </w:pPr>
    </w:p>
    <w:p>
      <w:pPr>
        <w:ind w:left="580" w:right="20" w:hanging="566"/>
        <w:spacing w:after="0" w:line="332" w:lineRule="auto"/>
        <w:tabs>
          <w:tab w:leader="none" w:pos="560" w:val="left"/>
        </w:tabs>
        <w:rPr>
          <w:sz w:val="20"/>
          <w:szCs w:val="20"/>
          <w:color w:val="auto"/>
        </w:rPr>
      </w:pPr>
      <w:r>
        <w:rPr>
          <w:rFonts w:ascii="Arial" w:cs="Arial" w:eastAsia="Arial" w:hAnsi="Arial"/>
          <w:sz w:val="18"/>
          <w:szCs w:val="18"/>
          <w:color w:val="auto"/>
        </w:rPr>
        <w:t>10.8</w:t>
      </w:r>
      <w:r>
        <w:rPr>
          <w:sz w:val="20"/>
          <w:szCs w:val="20"/>
          <w:color w:val="auto"/>
        </w:rPr>
        <w:tab/>
      </w:r>
      <w:r>
        <w:rPr>
          <w:rFonts w:ascii="Arial" w:cs="Arial" w:eastAsia="Arial" w:hAnsi="Arial"/>
          <w:sz w:val="16"/>
          <w:szCs w:val="16"/>
          <w:color w:val="auto"/>
        </w:rPr>
        <w:t>General Semiconductor, Inc. Amended and Restated 1998 Long-Term Incentive Plan as amended on February 7, 2001. Incorporated by reference to Exhibit 10.9 to General Semiconductor’s annual report on Form 10-K for the year ended December 31, 2000.</w:t>
      </w:r>
    </w:p>
    <w:p>
      <w:pPr>
        <w:spacing w:after="0" w:line="72" w:lineRule="exact"/>
        <w:rPr>
          <w:sz w:val="20"/>
          <w:szCs w:val="20"/>
          <w:color w:val="auto"/>
        </w:rPr>
      </w:pPr>
    </w:p>
    <w:p>
      <w:pPr>
        <w:ind w:left="580" w:right="560" w:hanging="566"/>
        <w:spacing w:after="0" w:line="268" w:lineRule="auto"/>
        <w:tabs>
          <w:tab w:leader="none" w:pos="560" w:val="left"/>
        </w:tabs>
        <w:rPr>
          <w:sz w:val="20"/>
          <w:szCs w:val="20"/>
          <w:color w:val="auto"/>
        </w:rPr>
      </w:pPr>
      <w:r>
        <w:rPr>
          <w:rFonts w:ascii="Arial" w:cs="Arial" w:eastAsia="Arial" w:hAnsi="Arial"/>
          <w:sz w:val="18"/>
          <w:szCs w:val="18"/>
          <w:color w:val="auto"/>
        </w:rPr>
        <w:t>10.9</w:t>
        <w:tab/>
        <w:t>Money Purchase Plan Agreement of Measurements Group, Inc. Incorporated by reference to Exhibit 10(a)(6) to Amendment No. 1 to our Registration Statement on Form S-7 (No. 2-69970).</w:t>
      </w:r>
    </w:p>
    <w:p>
      <w:pPr>
        <w:spacing w:after="0" w:line="118" w:lineRule="exact"/>
        <w:rPr>
          <w:sz w:val="20"/>
          <w:szCs w:val="20"/>
          <w:color w:val="auto"/>
        </w:rPr>
      </w:pPr>
    </w:p>
    <w:p>
      <w:pPr>
        <w:ind w:left="580" w:right="80" w:hanging="566"/>
        <w:spacing w:after="0" w:line="259" w:lineRule="auto"/>
        <w:tabs>
          <w:tab w:leader="none" w:pos="560" w:val="left"/>
        </w:tabs>
        <w:rPr>
          <w:sz w:val="20"/>
          <w:szCs w:val="20"/>
          <w:color w:val="auto"/>
        </w:rPr>
      </w:pPr>
      <w:r>
        <w:rPr>
          <w:rFonts w:ascii="Arial" w:cs="Arial" w:eastAsia="Arial" w:hAnsi="Arial"/>
          <w:sz w:val="18"/>
          <w:szCs w:val="18"/>
          <w:color w:val="auto"/>
        </w:rPr>
        <w:t>10.10</w:t>
        <w:tab/>
        <w:t>Agreement Amending Supply Agreements among Cabot Corporation through its Cabot Performance Materials Division, Vishay Sprague, Inc. and Vishay Intertechnology, Inc., dated as of June 6, 2002. Incorporated by reference to Exhibit 10.10 to our annual report on Form 10-K for the year ended December 31, 2002.</w:t>
      </w:r>
    </w:p>
    <w:p>
      <w:pPr>
        <w:spacing w:after="0" w:line="127" w:lineRule="exact"/>
        <w:rPr>
          <w:sz w:val="20"/>
          <w:szCs w:val="20"/>
          <w:color w:val="auto"/>
        </w:rPr>
      </w:pPr>
    </w:p>
    <w:p>
      <w:pPr>
        <w:ind w:left="580" w:right="260" w:hanging="566"/>
        <w:spacing w:after="0" w:line="268" w:lineRule="auto"/>
        <w:tabs>
          <w:tab w:leader="none" w:pos="560" w:val="left"/>
        </w:tabs>
        <w:rPr>
          <w:sz w:val="20"/>
          <w:szCs w:val="20"/>
          <w:color w:val="auto"/>
        </w:rPr>
      </w:pPr>
      <w:r>
        <w:rPr>
          <w:rFonts w:ascii="Arial" w:cs="Arial" w:eastAsia="Arial" w:hAnsi="Arial"/>
          <w:sz w:val="18"/>
          <w:szCs w:val="18"/>
          <w:color w:val="auto"/>
        </w:rPr>
        <w:t>10.11</w:t>
        <w:tab/>
        <w:t>Severance and General Release Agreement, dated November 4, 2003, between Vishay Intertechnology, Inc. and Avi D. Eden. Incorporated by reference to Exhibit 10.10 to our annual report on Form 10-K for the year ended December 31, 2003.</w:t>
      </w:r>
    </w:p>
    <w:p>
      <w:pPr>
        <w:spacing w:after="0" w:line="118" w:lineRule="exact"/>
        <w:rPr>
          <w:sz w:val="20"/>
          <w:szCs w:val="20"/>
          <w:color w:val="auto"/>
        </w:rPr>
      </w:pPr>
    </w:p>
    <w:p>
      <w:pPr>
        <w:ind w:left="580" w:right="100" w:hanging="566"/>
        <w:spacing w:after="0" w:line="268" w:lineRule="auto"/>
        <w:tabs>
          <w:tab w:leader="none" w:pos="560" w:val="left"/>
        </w:tabs>
        <w:rPr>
          <w:sz w:val="20"/>
          <w:szCs w:val="20"/>
          <w:color w:val="auto"/>
        </w:rPr>
      </w:pPr>
      <w:r>
        <w:rPr>
          <w:rFonts w:ascii="Arial" w:cs="Arial" w:eastAsia="Arial" w:hAnsi="Arial"/>
          <w:sz w:val="18"/>
          <w:szCs w:val="18"/>
          <w:color w:val="auto"/>
        </w:rPr>
        <w:t>10.12</w:t>
        <w:tab/>
        <w:t>Consulting and Non-Competition Agreement, dated November 4, 2003, between Vishay Intertechnology, Inc. and Avi D. Eden. Incorporated by reference to Exhibit 10.11 to our annual report on Form 10-K for the year ended December 31, 2003.</w:t>
      </w:r>
    </w:p>
    <w:p>
      <w:pPr>
        <w:spacing w:after="0" w:line="118" w:lineRule="exact"/>
        <w:rPr>
          <w:sz w:val="20"/>
          <w:szCs w:val="20"/>
          <w:color w:val="auto"/>
        </w:rPr>
      </w:pPr>
    </w:p>
    <w:p>
      <w:pPr>
        <w:ind w:left="580" w:right="40" w:hanging="566"/>
        <w:spacing w:after="0" w:line="268" w:lineRule="auto"/>
        <w:tabs>
          <w:tab w:leader="none" w:pos="560" w:val="left"/>
        </w:tabs>
        <w:rPr>
          <w:sz w:val="20"/>
          <w:szCs w:val="20"/>
          <w:color w:val="auto"/>
        </w:rPr>
      </w:pPr>
      <w:r>
        <w:rPr>
          <w:rFonts w:ascii="Arial" w:cs="Arial" w:eastAsia="Arial" w:hAnsi="Arial"/>
          <w:sz w:val="18"/>
          <w:szCs w:val="18"/>
          <w:color w:val="auto"/>
        </w:rPr>
        <w:t>10.13</w:t>
        <w:tab/>
        <w:t>Employment agreement, between Vishay Intertechnology, Inc. and Dr. Felix Zandman. Incorporated by reference to Exhibit 10.1 to our quarterly report on Form 10-Q for the fiscal quarter ended October 2, 2004.</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10.14</w:t>
      </w:r>
      <w:r>
        <w:rPr>
          <w:sz w:val="20"/>
          <w:szCs w:val="20"/>
          <w:color w:val="auto"/>
        </w:rPr>
        <w:tab/>
      </w:r>
      <w:r>
        <w:rPr>
          <w:rFonts w:ascii="Arial" w:cs="Arial" w:eastAsia="Arial" w:hAnsi="Arial"/>
          <w:sz w:val="16"/>
          <w:szCs w:val="16"/>
          <w:color w:val="auto"/>
        </w:rPr>
        <w:t>Employment agreement, between Vishay Israel Ltd. (an indirect wholly owned subsidiary of Vishay Intertechnology, Inc.) and Marc Zandman.</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Incorporated by reference to Exhibit 10.2 to our quarterly report on Form 10-Q for the fiscal quarter ended October 2, 2004.</w:t>
      </w:r>
    </w:p>
    <w:p>
      <w:pPr>
        <w:spacing w:after="0" w:line="151" w:lineRule="exact"/>
        <w:rPr>
          <w:sz w:val="20"/>
          <w:szCs w:val="20"/>
          <w:color w:val="auto"/>
        </w:rPr>
      </w:pPr>
    </w:p>
    <w:p>
      <w:pPr>
        <w:ind w:left="580" w:right="240" w:hanging="566"/>
        <w:spacing w:after="0" w:line="332" w:lineRule="auto"/>
        <w:tabs>
          <w:tab w:leader="none" w:pos="560" w:val="left"/>
        </w:tabs>
        <w:rPr>
          <w:sz w:val="20"/>
          <w:szCs w:val="20"/>
          <w:color w:val="auto"/>
        </w:rPr>
      </w:pPr>
      <w:r>
        <w:rPr>
          <w:rFonts w:ascii="Arial" w:cs="Arial" w:eastAsia="Arial" w:hAnsi="Arial"/>
          <w:sz w:val="18"/>
          <w:szCs w:val="18"/>
          <w:color w:val="auto"/>
        </w:rPr>
        <w:t>10.15</w:t>
      </w:r>
      <w:r>
        <w:rPr>
          <w:sz w:val="20"/>
          <w:szCs w:val="20"/>
          <w:color w:val="auto"/>
        </w:rPr>
        <w:tab/>
      </w:r>
      <w:r>
        <w:rPr>
          <w:rFonts w:ascii="Arial" w:cs="Arial" w:eastAsia="Arial" w:hAnsi="Arial"/>
          <w:sz w:val="16"/>
          <w:szCs w:val="16"/>
          <w:color w:val="auto"/>
        </w:rPr>
        <w:t>Employment agreement, between Vishay Europe GmbH (an indirect wholly owned subsidiary of Vishay Intertechnology, Inc.) and Dr. Gerald Paul. Incorporated by reference to Exhibit 10.3 to our quarterly report on Form 10-Q for the fiscal quarter ended October 2, 2004.</w:t>
      </w:r>
    </w:p>
    <w:p>
      <w:pPr>
        <w:spacing w:after="0" w:line="72" w:lineRule="exact"/>
        <w:rPr>
          <w:sz w:val="20"/>
          <w:szCs w:val="20"/>
          <w:color w:val="auto"/>
        </w:rPr>
      </w:pPr>
    </w:p>
    <w:p>
      <w:pPr>
        <w:ind w:left="580" w:right="100" w:hanging="566"/>
        <w:spacing w:after="0" w:line="268" w:lineRule="auto"/>
        <w:tabs>
          <w:tab w:leader="none" w:pos="560" w:val="left"/>
        </w:tabs>
        <w:rPr>
          <w:sz w:val="20"/>
          <w:szCs w:val="20"/>
          <w:color w:val="auto"/>
        </w:rPr>
      </w:pPr>
      <w:r>
        <w:rPr>
          <w:rFonts w:ascii="Arial" w:cs="Arial" w:eastAsia="Arial" w:hAnsi="Arial"/>
          <w:sz w:val="18"/>
          <w:szCs w:val="18"/>
          <w:color w:val="auto"/>
        </w:rPr>
        <w:t>10.16</w:t>
        <w:tab/>
        <w:t>Employment agreement, between Vishay Intertechnology, Inc. and Richard N. Grubb. Incorporated by reference to Exhibit 10.4 to our quarterly report on Form 10-Q for the fiscal quarter ended October 2, 2004.</w:t>
      </w:r>
    </w:p>
    <w:p>
      <w:pPr>
        <w:spacing w:after="0" w:line="186" w:lineRule="exact"/>
        <w:rPr>
          <w:sz w:val="20"/>
          <w:szCs w:val="20"/>
          <w:color w:val="auto"/>
        </w:rPr>
      </w:pPr>
    </w:p>
    <w:p>
      <w:pPr>
        <w:jc w:val="center"/>
        <w:ind w:right="540"/>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0800"/>
          </w:cols>
          <w:pgMar w:left="820" w:top="374" w:right="279" w:bottom="1440" w:gutter="0" w:footer="0" w:header="0"/>
        </w:sectPr>
      </w:pPr>
    </w:p>
    <w:bookmarkStart w:id="57" w:name="page58"/>
    <w:bookmarkEnd w:id="57"/>
    <w:p>
      <w:pPr>
        <w:spacing w:after="0"/>
        <w:tabs>
          <w:tab w:leader="none" w:pos="560" w:val="left"/>
        </w:tabs>
        <w:rPr>
          <w:sz w:val="20"/>
          <w:szCs w:val="20"/>
          <w:color w:val="auto"/>
        </w:rPr>
      </w:pPr>
      <w:r>
        <w:rPr>
          <w:rFonts w:ascii="Arial" w:cs="Arial" w:eastAsia="Arial" w:hAnsi="Arial"/>
          <w:sz w:val="18"/>
          <w:szCs w:val="18"/>
          <w:color w:val="auto"/>
        </w:rPr>
        <w:t>10.17</w:t>
      </w:r>
      <w:r>
        <w:rPr>
          <w:sz w:val="20"/>
          <w:szCs w:val="20"/>
          <w:color w:val="auto"/>
        </w:rPr>
        <w:tab/>
      </w:r>
      <w:r>
        <w:rPr>
          <w:rFonts w:ascii="Arial" w:cs="Arial" w:eastAsia="Arial" w:hAnsi="Arial"/>
          <w:sz w:val="16"/>
          <w:szCs w:val="16"/>
          <w:color w:val="auto"/>
        </w:rPr>
        <w:t>Employment agreement, between Vishay Israel Ltd. (an indirect wholly owned subsidiary of Vishay Intertechnology, Inc.) and Ziv Shoshani.</w:t>
      </w:r>
    </w:p>
    <w:p>
      <w:pPr>
        <w:spacing w:after="0" w:line="15" w:lineRule="exact"/>
        <w:rPr>
          <w:sz w:val="20"/>
          <w:szCs w:val="20"/>
          <w:color w:val="auto"/>
        </w:rPr>
      </w:pPr>
    </w:p>
    <w:p>
      <w:pPr>
        <w:ind w:left="580"/>
        <w:spacing w:after="0"/>
        <w:rPr>
          <w:sz w:val="20"/>
          <w:szCs w:val="20"/>
          <w:color w:val="auto"/>
        </w:rPr>
      </w:pPr>
      <w:r>
        <w:rPr>
          <w:rFonts w:ascii="Arial" w:cs="Arial" w:eastAsia="Arial" w:hAnsi="Arial"/>
          <w:sz w:val="18"/>
          <w:szCs w:val="18"/>
          <w:color w:val="auto"/>
        </w:rPr>
        <w:t>Incorporated by reference to Exhibit 10.5 to our quarterly report on Form 10-Q for the fiscal quarter ended October 2, 2004.</w:t>
      </w:r>
    </w:p>
    <w:p>
      <w:pPr>
        <w:spacing w:after="0" w:line="151" w:lineRule="exact"/>
        <w:rPr>
          <w:sz w:val="20"/>
          <w:szCs w:val="20"/>
          <w:color w:val="auto"/>
        </w:rPr>
      </w:pPr>
    </w:p>
    <w:p>
      <w:pPr>
        <w:ind w:left="580" w:hanging="566"/>
        <w:spacing w:after="0" w:line="268" w:lineRule="auto"/>
        <w:tabs>
          <w:tab w:leader="none" w:pos="560" w:val="left"/>
        </w:tabs>
        <w:rPr>
          <w:sz w:val="20"/>
          <w:szCs w:val="20"/>
          <w:color w:val="auto"/>
        </w:rPr>
      </w:pPr>
      <w:r>
        <w:rPr>
          <w:rFonts w:ascii="Arial" w:cs="Arial" w:eastAsia="Arial" w:hAnsi="Arial"/>
          <w:sz w:val="18"/>
          <w:szCs w:val="18"/>
          <w:color w:val="auto"/>
        </w:rPr>
        <w:t>10.18</w:t>
        <w:tab/>
        <w:t>Employment agreement, between Vishay Intertechnology, Inc. and Robert A. Freece. Incorporated by reference to Exhibit 10.6 to our quarterly report on Form 10-Q for the fiscal quarter ended October 2, 2004.</w:t>
      </w:r>
    </w:p>
    <w:p>
      <w:pPr>
        <w:spacing w:after="0" w:line="11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8"/>
          <w:szCs w:val="18"/>
          <w:color w:val="auto"/>
        </w:rPr>
        <w:t>Subsidiaries of the Registrant.</w:t>
      </w:r>
    </w:p>
    <w:p>
      <w:pPr>
        <w:spacing w:after="0" w:line="158" w:lineRule="exact"/>
        <w:rPr>
          <w:sz w:val="20"/>
          <w:szCs w:val="20"/>
          <w:color w:val="auto"/>
        </w:rPr>
      </w:pPr>
    </w:p>
    <w:p>
      <w:pPr>
        <w:spacing w:after="0"/>
        <w:tabs>
          <w:tab w:leader="none" w:pos="56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Consent of Independent Registered Public Accounting Firm.</w:t>
      </w:r>
    </w:p>
    <w:p>
      <w:pPr>
        <w:spacing w:after="0" w:line="158" w:lineRule="exact"/>
        <w:rPr>
          <w:sz w:val="20"/>
          <w:szCs w:val="20"/>
          <w:color w:val="auto"/>
        </w:rPr>
      </w:pPr>
    </w:p>
    <w:p>
      <w:pPr>
        <w:ind w:left="580" w:right="200" w:hanging="566"/>
        <w:spacing w:after="0" w:line="268" w:lineRule="auto"/>
        <w:tabs>
          <w:tab w:leader="none" w:pos="560" w:val="left"/>
        </w:tabs>
        <w:rPr>
          <w:sz w:val="20"/>
          <w:szCs w:val="20"/>
          <w:color w:val="auto"/>
        </w:rPr>
      </w:pPr>
      <w:r>
        <w:rPr>
          <w:rFonts w:ascii="Arial" w:cs="Arial" w:eastAsia="Arial" w:hAnsi="Arial"/>
          <w:sz w:val="18"/>
          <w:szCs w:val="18"/>
          <w:color w:val="auto"/>
        </w:rPr>
        <w:t>31.1</w:t>
        <w:tab/>
        <w:t>Certification pursuant to Rules 13a-15(e) or 15d-15(e) under the Securities Exchange Act of 1934, as adopted pursuant to Section 302 of the Sarbanes-Oxley Act of 2002 – Chief Executive Officer.</w:t>
      </w:r>
    </w:p>
    <w:p>
      <w:pPr>
        <w:spacing w:after="0" w:line="118" w:lineRule="exact"/>
        <w:rPr>
          <w:sz w:val="20"/>
          <w:szCs w:val="20"/>
          <w:color w:val="auto"/>
        </w:rPr>
      </w:pPr>
    </w:p>
    <w:p>
      <w:pPr>
        <w:ind w:left="580" w:right="200" w:hanging="566"/>
        <w:spacing w:after="0" w:line="268" w:lineRule="auto"/>
        <w:tabs>
          <w:tab w:leader="none" w:pos="560" w:val="left"/>
        </w:tabs>
        <w:rPr>
          <w:sz w:val="20"/>
          <w:szCs w:val="20"/>
          <w:color w:val="auto"/>
        </w:rPr>
      </w:pPr>
      <w:r>
        <w:rPr>
          <w:rFonts w:ascii="Arial" w:cs="Arial" w:eastAsia="Arial" w:hAnsi="Arial"/>
          <w:sz w:val="18"/>
          <w:szCs w:val="18"/>
          <w:color w:val="auto"/>
        </w:rPr>
        <w:t>31.2</w:t>
        <w:tab/>
        <w:t>Certification pursuant to Rules 13a-15(e) or 15d-15(e) under the Securities Exchange Act of 1934, as adopted pursuant to Section 302 of the Sarbanes-Oxley Act of 2002 – Chief Financial Officer.</w:t>
      </w:r>
    </w:p>
    <w:p>
      <w:pPr>
        <w:spacing w:after="0" w:line="118" w:lineRule="exact"/>
        <w:rPr>
          <w:sz w:val="20"/>
          <w:szCs w:val="20"/>
          <w:color w:val="auto"/>
        </w:rPr>
      </w:pPr>
    </w:p>
    <w:p>
      <w:pPr>
        <w:ind w:left="580" w:right="280" w:hanging="566"/>
        <w:spacing w:after="0" w:line="268" w:lineRule="auto"/>
        <w:tabs>
          <w:tab w:leader="none" w:pos="560" w:val="left"/>
        </w:tabs>
        <w:rPr>
          <w:sz w:val="20"/>
          <w:szCs w:val="20"/>
          <w:color w:val="auto"/>
        </w:rPr>
      </w:pPr>
      <w:r>
        <w:rPr>
          <w:rFonts w:ascii="Arial" w:cs="Arial" w:eastAsia="Arial" w:hAnsi="Arial"/>
          <w:sz w:val="18"/>
          <w:szCs w:val="18"/>
          <w:color w:val="auto"/>
        </w:rPr>
        <w:t>32.1</w:t>
        <w:tab/>
        <w:t>Certification Pursuant to 18 U.S.C. Section 1350, as adopted pursuant to Section 906 of the Sarbanes-Oxley Act of 2002 – Chief Executive Officer.</w:t>
      </w:r>
    </w:p>
    <w:p>
      <w:pPr>
        <w:spacing w:after="0" w:line="118" w:lineRule="exact"/>
        <w:rPr>
          <w:sz w:val="20"/>
          <w:szCs w:val="20"/>
          <w:color w:val="auto"/>
        </w:rPr>
      </w:pPr>
    </w:p>
    <w:p>
      <w:pPr>
        <w:ind w:left="580" w:right="340" w:hanging="566"/>
        <w:spacing w:after="0" w:line="268" w:lineRule="auto"/>
        <w:tabs>
          <w:tab w:leader="none" w:pos="560" w:val="left"/>
        </w:tabs>
        <w:rPr>
          <w:sz w:val="20"/>
          <w:szCs w:val="20"/>
          <w:color w:val="auto"/>
        </w:rPr>
      </w:pPr>
      <w:r>
        <w:rPr>
          <w:rFonts w:ascii="Arial" w:cs="Arial" w:eastAsia="Arial" w:hAnsi="Arial"/>
          <w:sz w:val="18"/>
          <w:szCs w:val="18"/>
          <w:color w:val="auto"/>
        </w:rPr>
        <w:t>32.2</w:t>
        <w:tab/>
        <w:t>Certification Pursuant to 18 U.S.C. Section 1350, as adopted pursuant to Section 906 of the Sarbanes-Oxley Act of 2002 – Chief Financial Officer.</w:t>
      </w:r>
    </w:p>
    <w:p>
      <w:pPr>
        <w:spacing w:after="0" w:line="186" w:lineRule="exact"/>
        <w:rPr>
          <w:sz w:val="20"/>
          <w:szCs w:val="20"/>
          <w:color w:val="auto"/>
        </w:rPr>
      </w:pPr>
    </w:p>
    <w:p>
      <w:pPr>
        <w:jc w:val="center"/>
        <w:ind w:right="380"/>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0640"/>
          </w:cols>
          <w:pgMar w:left="820" w:top="374" w:right="439" w:bottom="1440" w:gutter="0" w:footer="0" w:header="0"/>
        </w:sectPr>
      </w:pPr>
    </w:p>
    <w:bookmarkStart w:id="58" w:name="page59"/>
    <w:bookmarkEnd w:id="58"/>
    <w:p>
      <w:pPr>
        <w:jc w:val="center"/>
        <w:ind w:right="20"/>
        <w:spacing w:after="0"/>
        <w:rPr>
          <w:sz w:val="20"/>
          <w:szCs w:val="20"/>
          <w:color w:val="auto"/>
        </w:rPr>
      </w:pPr>
      <w:r>
        <w:rPr>
          <w:rFonts w:ascii="Arial" w:cs="Arial" w:eastAsia="Arial" w:hAnsi="Arial"/>
          <w:sz w:val="18"/>
          <w:szCs w:val="18"/>
          <w:b w:val="1"/>
          <w:bCs w:val="1"/>
          <w:u w:val="single" w:color="auto"/>
          <w:color w:val="auto"/>
        </w:rPr>
        <w:t>SIGNATURES</w:t>
      </w:r>
    </w:p>
    <w:p>
      <w:pPr>
        <w:spacing w:after="0" w:line="231"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VISHAY INTERTECHNOLOGY, INC.</w:t>
      </w:r>
    </w:p>
    <w:p>
      <w:pPr>
        <w:spacing w:after="0" w:line="158" w:lineRule="exact"/>
        <w:rPr>
          <w:sz w:val="20"/>
          <w:szCs w:val="20"/>
          <w:color w:val="auto"/>
        </w:rPr>
      </w:pPr>
    </w:p>
    <w:p>
      <w:pPr>
        <w:ind w:left="6860"/>
        <w:spacing w:after="0"/>
        <w:tabs>
          <w:tab w:leader="none" w:pos="7300" w:val="left"/>
        </w:tabs>
        <w:rPr>
          <w:sz w:val="20"/>
          <w:szCs w:val="20"/>
          <w:color w:val="auto"/>
        </w:rPr>
      </w:pPr>
      <w:r>
        <w:rPr>
          <w:rFonts w:ascii="Arial" w:cs="Arial" w:eastAsia="Arial" w:hAnsi="Arial"/>
          <w:sz w:val="18"/>
          <w:szCs w:val="18"/>
          <w:color w:val="auto"/>
        </w:rPr>
        <w:t>By:</w:t>
        <w:tab/>
        <w:t>/s/ Dr. Gerald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4644390</wp:posOffset>
            </wp:positionH>
            <wp:positionV relativeFrom="paragraph">
              <wp:posOffset>80010</wp:posOffset>
            </wp:positionV>
            <wp:extent cx="262445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219"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Dr. Gerald Paul</w:t>
      </w:r>
    </w:p>
    <w:p>
      <w:pPr>
        <w:spacing w:after="0" w:line="15" w:lineRule="exact"/>
        <w:rPr>
          <w:sz w:val="20"/>
          <w:szCs w:val="20"/>
          <w:color w:val="auto"/>
        </w:rPr>
      </w:pPr>
    </w:p>
    <w:p>
      <w:pPr>
        <w:ind w:left="7320"/>
        <w:spacing w:after="0"/>
        <w:rPr>
          <w:sz w:val="20"/>
          <w:szCs w:val="20"/>
          <w:color w:val="auto"/>
        </w:rPr>
      </w:pPr>
      <w:r>
        <w:rPr>
          <w:rFonts w:ascii="Arial" w:cs="Arial" w:eastAsia="Arial" w:hAnsi="Arial"/>
          <w:sz w:val="16"/>
          <w:szCs w:val="16"/>
          <w:color w:val="auto"/>
        </w:rPr>
        <w:t>President, Chief Executive Officer, and Chief Operating</w:t>
      </w:r>
    </w:p>
    <w:p>
      <w:pPr>
        <w:spacing w:after="0" w:line="32"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Officer</w:t>
      </w:r>
    </w:p>
    <w:p>
      <w:pPr>
        <w:spacing w:after="0" w:line="151" w:lineRule="exact"/>
        <w:rPr>
          <w:sz w:val="20"/>
          <w:szCs w:val="20"/>
          <w:color w:val="auto"/>
        </w:rPr>
      </w:pPr>
    </w:p>
    <w:p>
      <w:pPr>
        <w:ind w:left="7320"/>
        <w:spacing w:after="0"/>
        <w:rPr>
          <w:sz w:val="20"/>
          <w:szCs w:val="20"/>
          <w:color w:val="auto"/>
        </w:rPr>
      </w:pPr>
      <w:r>
        <w:rPr>
          <w:rFonts w:ascii="Arial" w:cs="Arial" w:eastAsia="Arial" w:hAnsi="Arial"/>
          <w:sz w:val="18"/>
          <w:szCs w:val="18"/>
          <w:color w:val="auto"/>
        </w:rPr>
        <w:t>March 8, 2006</w:t>
      </w:r>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 below.</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040" w:type="dxa"/>
            <w:vAlign w:val="bottom"/>
          </w:tcPr>
          <w:p>
            <w:pPr>
              <w:spacing w:after="0"/>
              <w:rPr>
                <w:sz w:val="20"/>
                <w:szCs w:val="20"/>
                <w:color w:val="auto"/>
              </w:rPr>
            </w:pPr>
            <w:r>
              <w:rPr>
                <w:rFonts w:ascii="Arial" w:cs="Arial" w:eastAsia="Arial" w:hAnsi="Arial"/>
                <w:sz w:val="14"/>
                <w:szCs w:val="14"/>
                <w:b w:val="1"/>
                <w:bCs w:val="1"/>
                <w:color w:val="auto"/>
              </w:rPr>
              <w:t>Signature</w:t>
            </w:r>
          </w:p>
        </w:tc>
        <w:tc>
          <w:tcPr>
            <w:tcW w:w="540" w:type="dxa"/>
            <w:vAlign w:val="bottom"/>
          </w:tcPr>
          <w:p>
            <w:pPr>
              <w:spacing w:after="0"/>
              <w:rPr>
                <w:sz w:val="15"/>
                <w:szCs w:val="15"/>
                <w:color w:val="auto"/>
              </w:rPr>
            </w:pPr>
          </w:p>
        </w:tc>
        <w:tc>
          <w:tcPr>
            <w:tcW w:w="4020" w:type="dxa"/>
            <w:vAlign w:val="bottom"/>
          </w:tcPr>
          <w:p>
            <w:pPr>
              <w:ind w:left="1860"/>
              <w:spacing w:after="0"/>
              <w:rPr>
                <w:sz w:val="20"/>
                <w:szCs w:val="20"/>
                <w:color w:val="auto"/>
              </w:rPr>
            </w:pPr>
            <w:r>
              <w:rPr>
                <w:rFonts w:ascii="Arial" w:cs="Arial" w:eastAsia="Arial" w:hAnsi="Arial"/>
                <w:sz w:val="14"/>
                <w:szCs w:val="14"/>
                <w:b w:val="1"/>
                <w:bCs w:val="1"/>
                <w:color w:val="auto"/>
              </w:rPr>
              <w:t>Title</w:t>
            </w:r>
          </w:p>
        </w:tc>
        <w:tc>
          <w:tcPr>
            <w:tcW w:w="540" w:type="dxa"/>
            <w:vAlign w:val="bottom"/>
          </w:tcPr>
          <w:p>
            <w:pPr>
              <w:spacing w:after="0"/>
              <w:rPr>
                <w:sz w:val="15"/>
                <w:szCs w:val="15"/>
                <w:color w:val="auto"/>
              </w:rPr>
            </w:pPr>
          </w:p>
        </w:tc>
        <w:tc>
          <w:tcPr>
            <w:tcW w:w="2300" w:type="dxa"/>
            <w:vAlign w:val="bottom"/>
          </w:tcPr>
          <w:p>
            <w:pPr>
              <w:ind w:left="1000"/>
              <w:spacing w:after="0"/>
              <w:rPr>
                <w:sz w:val="20"/>
                <w:szCs w:val="20"/>
                <w:color w:val="auto"/>
              </w:rPr>
            </w:pPr>
            <w:r>
              <w:rPr>
                <w:rFonts w:ascii="Arial" w:cs="Arial" w:eastAsia="Arial" w:hAnsi="Arial"/>
                <w:sz w:val="14"/>
                <w:szCs w:val="14"/>
                <w:b w:val="1"/>
                <w:bCs w:val="1"/>
                <w:color w:val="auto"/>
              </w:rPr>
              <w:t>Date</w:t>
            </w:r>
          </w:p>
        </w:tc>
        <w:tc>
          <w:tcPr>
            <w:tcW w:w="0" w:type="dxa"/>
            <w:vAlign w:val="bottom"/>
          </w:tcPr>
          <w:p>
            <w:pPr>
              <w:spacing w:after="0"/>
              <w:rPr>
                <w:sz w:val="1"/>
                <w:szCs w:val="1"/>
                <w:color w:val="auto"/>
              </w:rPr>
            </w:pPr>
          </w:p>
        </w:tc>
      </w:tr>
      <w:tr>
        <w:trPr>
          <w:trHeight w:val="95"/>
        </w:trPr>
        <w:tc>
          <w:tcPr>
            <w:tcW w:w="404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402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23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b w:val="1"/>
                <w:bCs w:val="1"/>
                <w:i w:val="1"/>
                <w:iCs w:val="1"/>
                <w:color w:val="auto"/>
              </w:rPr>
              <w:t>Principal Executive Officer:</w:t>
            </w: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Arial" w:cs="Arial" w:eastAsia="Arial" w:hAnsi="Arial"/>
                <w:sz w:val="18"/>
                <w:szCs w:val="18"/>
                <w:color w:val="auto"/>
              </w:rPr>
              <w:t>/s/ Dr. Gerald Paul</w:t>
            </w:r>
          </w:p>
        </w:tc>
        <w:tc>
          <w:tcPr>
            <w:tcW w:w="5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98"/>
              </w:rPr>
              <w:t>President, Chief Executive Officer, Chief Operating</w:t>
            </w:r>
          </w:p>
        </w:tc>
        <w:tc>
          <w:tcPr>
            <w:tcW w:w="5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16"/>
        </w:trPr>
        <w:tc>
          <w:tcPr>
            <w:tcW w:w="404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4020" w:type="dxa"/>
            <w:vAlign w:val="bottom"/>
            <w:vMerge w:val="restart"/>
          </w:tcPr>
          <w:p>
            <w:pPr>
              <w:spacing w:after="0"/>
              <w:rPr>
                <w:sz w:val="20"/>
                <w:szCs w:val="20"/>
                <w:color w:val="auto"/>
              </w:rPr>
            </w:pPr>
            <w:r>
              <w:rPr>
                <w:rFonts w:ascii="Arial" w:cs="Arial" w:eastAsia="Arial" w:hAnsi="Arial"/>
                <w:sz w:val="18"/>
                <w:szCs w:val="18"/>
                <w:color w:val="auto"/>
              </w:rPr>
              <w:t>Officer, and Director</w:t>
            </w:r>
          </w:p>
        </w:tc>
        <w:tc>
          <w:tcPr>
            <w:tcW w:w="5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040" w:type="dxa"/>
            <w:vAlign w:val="bottom"/>
            <w:vMerge w:val="restart"/>
          </w:tcPr>
          <w:p>
            <w:pPr>
              <w:spacing w:after="0"/>
              <w:rPr>
                <w:sz w:val="20"/>
                <w:szCs w:val="20"/>
                <w:color w:val="auto"/>
              </w:rPr>
            </w:pPr>
            <w:r>
              <w:rPr>
                <w:rFonts w:ascii="Arial" w:cs="Arial" w:eastAsia="Arial" w:hAnsi="Arial"/>
                <w:sz w:val="18"/>
                <w:szCs w:val="18"/>
                <w:color w:val="auto"/>
              </w:rPr>
              <w:t>Dr. Gerald Paul</w:t>
            </w:r>
          </w:p>
        </w:tc>
        <w:tc>
          <w:tcPr>
            <w:tcW w:w="54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b w:val="1"/>
                <w:bCs w:val="1"/>
                <w:i w:val="1"/>
                <w:iCs w:val="1"/>
                <w:color w:val="auto"/>
              </w:rPr>
              <w:t>Principal Financial and Accounting Officer:</w:t>
            </w: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4040" w:type="dxa"/>
            <w:vAlign w:val="bottom"/>
          </w:tcPr>
          <w:p>
            <w:pPr>
              <w:spacing w:after="0"/>
              <w:rPr>
                <w:sz w:val="20"/>
                <w:szCs w:val="20"/>
                <w:color w:val="auto"/>
              </w:rPr>
            </w:pPr>
            <w:r>
              <w:rPr>
                <w:rFonts w:ascii="Arial" w:cs="Arial" w:eastAsia="Arial" w:hAnsi="Arial"/>
                <w:sz w:val="18"/>
                <w:szCs w:val="18"/>
                <w:color w:val="auto"/>
              </w:rPr>
              <w:t>/s/ Richard N. Grubb</w:t>
            </w:r>
          </w:p>
        </w:tc>
        <w:tc>
          <w:tcPr>
            <w:tcW w:w="5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w w:val="88"/>
              </w:rPr>
              <w:t>Executive Vice President, Treasurer, and Chief Financial</w:t>
            </w:r>
          </w:p>
        </w:tc>
        <w:tc>
          <w:tcPr>
            <w:tcW w:w="5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16"/>
        </w:trPr>
        <w:tc>
          <w:tcPr>
            <w:tcW w:w="4040" w:type="dxa"/>
            <w:vAlign w:val="bottom"/>
            <w:tcBorders>
              <w:bottom w:val="single" w:sz="8" w:color="auto"/>
            </w:tcBorders>
          </w:tcPr>
          <w:p>
            <w:pPr>
              <w:spacing w:after="0"/>
              <w:rPr>
                <w:sz w:val="10"/>
                <w:szCs w:val="10"/>
                <w:color w:val="auto"/>
              </w:rPr>
            </w:pPr>
          </w:p>
        </w:tc>
        <w:tc>
          <w:tcPr>
            <w:tcW w:w="540" w:type="dxa"/>
            <w:vAlign w:val="bottom"/>
          </w:tcPr>
          <w:p>
            <w:pPr>
              <w:spacing w:after="0"/>
              <w:rPr>
                <w:sz w:val="10"/>
                <w:szCs w:val="10"/>
                <w:color w:val="auto"/>
              </w:rPr>
            </w:pPr>
          </w:p>
        </w:tc>
        <w:tc>
          <w:tcPr>
            <w:tcW w:w="4020" w:type="dxa"/>
            <w:vAlign w:val="bottom"/>
            <w:vMerge w:val="restart"/>
          </w:tcPr>
          <w:p>
            <w:pPr>
              <w:spacing w:after="0"/>
              <w:rPr>
                <w:sz w:val="20"/>
                <w:szCs w:val="20"/>
                <w:color w:val="auto"/>
              </w:rPr>
            </w:pPr>
            <w:r>
              <w:rPr>
                <w:rFonts w:ascii="Arial" w:cs="Arial" w:eastAsia="Arial" w:hAnsi="Arial"/>
                <w:sz w:val="18"/>
                <w:szCs w:val="18"/>
                <w:color w:val="auto"/>
              </w:rPr>
              <w:t>Officer</w:t>
            </w:r>
          </w:p>
        </w:tc>
        <w:tc>
          <w:tcPr>
            <w:tcW w:w="540" w:type="dxa"/>
            <w:vAlign w:val="bottom"/>
          </w:tcPr>
          <w:p>
            <w:pPr>
              <w:spacing w:after="0"/>
              <w:rPr>
                <w:sz w:val="10"/>
                <w:szCs w:val="10"/>
                <w:color w:val="auto"/>
              </w:rPr>
            </w:pPr>
          </w:p>
        </w:tc>
        <w:tc>
          <w:tcPr>
            <w:tcW w:w="23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4040" w:type="dxa"/>
            <w:vAlign w:val="bottom"/>
            <w:vMerge w:val="restart"/>
          </w:tcPr>
          <w:p>
            <w:pPr>
              <w:spacing w:after="0"/>
              <w:rPr>
                <w:sz w:val="20"/>
                <w:szCs w:val="20"/>
                <w:color w:val="auto"/>
              </w:rPr>
            </w:pPr>
            <w:r>
              <w:rPr>
                <w:rFonts w:ascii="Arial" w:cs="Arial" w:eastAsia="Arial" w:hAnsi="Arial"/>
                <w:sz w:val="18"/>
                <w:szCs w:val="18"/>
                <w:color w:val="auto"/>
              </w:rPr>
              <w:t>Richard N. Grubb</w:t>
            </w:r>
          </w:p>
        </w:tc>
        <w:tc>
          <w:tcPr>
            <w:tcW w:w="540" w:type="dxa"/>
            <w:vAlign w:val="bottom"/>
          </w:tcPr>
          <w:p>
            <w:pPr>
              <w:spacing w:after="0"/>
              <w:rPr>
                <w:sz w:val="7"/>
                <w:szCs w:val="7"/>
                <w:color w:val="auto"/>
              </w:rPr>
            </w:pPr>
          </w:p>
        </w:tc>
        <w:tc>
          <w:tcPr>
            <w:tcW w:w="402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23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40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b w:val="1"/>
                <w:bCs w:val="1"/>
                <w:i w:val="1"/>
                <w:iCs w:val="1"/>
                <w:color w:val="auto"/>
              </w:rPr>
              <w:t>Board of Directors:</w:t>
            </w: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040" w:type="dxa"/>
            <w:vAlign w:val="bottom"/>
          </w:tcPr>
          <w:p>
            <w:pPr>
              <w:spacing w:after="0"/>
              <w:rPr>
                <w:sz w:val="20"/>
                <w:szCs w:val="20"/>
                <w:color w:val="auto"/>
              </w:rPr>
            </w:pPr>
            <w:r>
              <w:rPr>
                <w:rFonts w:ascii="Arial" w:cs="Arial" w:eastAsia="Arial" w:hAnsi="Arial"/>
                <w:sz w:val="18"/>
                <w:szCs w:val="18"/>
                <w:color w:val="auto"/>
              </w:rPr>
              <w:t>/s/ Dr. Felix Zandman</w:t>
            </w:r>
          </w:p>
        </w:tc>
        <w:tc>
          <w:tcPr>
            <w:tcW w:w="5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Chairman of the Board of Directors</w:t>
            </w:r>
          </w:p>
        </w:tc>
        <w:tc>
          <w:tcPr>
            <w:tcW w:w="5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10"/>
        </w:trPr>
        <w:tc>
          <w:tcPr>
            <w:tcW w:w="40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Dr. Felix Zandman</w:t>
            </w: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040" w:type="dxa"/>
            <w:vAlign w:val="bottom"/>
          </w:tcPr>
          <w:p>
            <w:pPr>
              <w:spacing w:after="0"/>
              <w:rPr>
                <w:sz w:val="20"/>
                <w:szCs w:val="20"/>
                <w:color w:val="auto"/>
              </w:rPr>
            </w:pPr>
            <w:r>
              <w:rPr>
                <w:rFonts w:ascii="Arial" w:cs="Arial" w:eastAsia="Arial" w:hAnsi="Arial"/>
                <w:sz w:val="18"/>
                <w:szCs w:val="18"/>
                <w:color w:val="auto"/>
              </w:rPr>
              <w:t>/s/ Marc Zandman</w:t>
            </w:r>
          </w:p>
        </w:tc>
        <w:tc>
          <w:tcPr>
            <w:tcW w:w="5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Vice-Chairman of the Board of Directors</w:t>
            </w:r>
          </w:p>
        </w:tc>
        <w:tc>
          <w:tcPr>
            <w:tcW w:w="5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10"/>
        </w:trPr>
        <w:tc>
          <w:tcPr>
            <w:tcW w:w="40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Marc Zandman</w:t>
            </w: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040" w:type="dxa"/>
            <w:vAlign w:val="bottom"/>
          </w:tcPr>
          <w:p>
            <w:pPr>
              <w:spacing w:after="0"/>
              <w:rPr>
                <w:sz w:val="20"/>
                <w:szCs w:val="20"/>
                <w:color w:val="auto"/>
              </w:rPr>
            </w:pPr>
            <w:r>
              <w:rPr>
                <w:rFonts w:ascii="Arial" w:cs="Arial" w:eastAsia="Arial" w:hAnsi="Arial"/>
                <w:sz w:val="18"/>
                <w:szCs w:val="18"/>
                <w:color w:val="auto"/>
              </w:rPr>
              <w:t>/s/ Philippe Gazeau</w:t>
            </w:r>
          </w:p>
        </w:tc>
        <w:tc>
          <w:tcPr>
            <w:tcW w:w="5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10"/>
        </w:trPr>
        <w:tc>
          <w:tcPr>
            <w:tcW w:w="40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Philippe Gazeau</w:t>
            </w: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040" w:type="dxa"/>
            <w:vAlign w:val="bottom"/>
          </w:tcPr>
          <w:p>
            <w:pPr>
              <w:spacing w:after="0"/>
              <w:rPr>
                <w:sz w:val="20"/>
                <w:szCs w:val="20"/>
                <w:color w:val="auto"/>
              </w:rPr>
            </w:pPr>
            <w:r>
              <w:rPr>
                <w:rFonts w:ascii="Arial" w:cs="Arial" w:eastAsia="Arial" w:hAnsi="Arial"/>
                <w:sz w:val="18"/>
                <w:szCs w:val="18"/>
                <w:color w:val="auto"/>
              </w:rPr>
              <w:t>/s/ Zvi Grinfas</w:t>
            </w:r>
          </w:p>
        </w:tc>
        <w:tc>
          <w:tcPr>
            <w:tcW w:w="5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10"/>
        </w:trPr>
        <w:tc>
          <w:tcPr>
            <w:tcW w:w="40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Zvi Grinfas</w:t>
            </w: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040" w:type="dxa"/>
            <w:vAlign w:val="bottom"/>
          </w:tcPr>
          <w:p>
            <w:pPr>
              <w:spacing w:after="0"/>
              <w:rPr>
                <w:sz w:val="20"/>
                <w:szCs w:val="20"/>
                <w:color w:val="auto"/>
              </w:rPr>
            </w:pPr>
            <w:r>
              <w:rPr>
                <w:rFonts w:ascii="Arial" w:cs="Arial" w:eastAsia="Arial" w:hAnsi="Arial"/>
                <w:sz w:val="18"/>
                <w:szCs w:val="18"/>
                <w:color w:val="auto"/>
              </w:rPr>
              <w:t>/s/ Eli Hurvitz</w:t>
            </w:r>
          </w:p>
        </w:tc>
        <w:tc>
          <w:tcPr>
            <w:tcW w:w="5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10"/>
        </w:trPr>
        <w:tc>
          <w:tcPr>
            <w:tcW w:w="40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Eli Hurvitz</w:t>
            </w: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3"/>
        </w:trPr>
        <w:tc>
          <w:tcPr>
            <w:tcW w:w="4040" w:type="dxa"/>
            <w:vAlign w:val="bottom"/>
          </w:tcPr>
          <w:p>
            <w:pPr>
              <w:spacing w:after="0"/>
              <w:rPr>
                <w:sz w:val="20"/>
                <w:szCs w:val="20"/>
                <w:color w:val="auto"/>
              </w:rPr>
            </w:pPr>
            <w:r>
              <w:rPr>
                <w:rFonts w:ascii="Arial" w:cs="Arial" w:eastAsia="Arial" w:hAnsi="Arial"/>
                <w:sz w:val="18"/>
                <w:szCs w:val="18"/>
                <w:color w:val="auto"/>
              </w:rPr>
              <w:t>/s/ Abraham Ludomirski</w:t>
            </w:r>
          </w:p>
        </w:tc>
        <w:tc>
          <w:tcPr>
            <w:tcW w:w="540" w:type="dxa"/>
            <w:vAlign w:val="bottom"/>
          </w:tcPr>
          <w:p>
            <w:pPr>
              <w:spacing w:after="0"/>
              <w:rPr>
                <w:sz w:val="24"/>
                <w:szCs w:val="24"/>
                <w:color w:val="auto"/>
              </w:rPr>
            </w:pPr>
          </w:p>
        </w:tc>
        <w:tc>
          <w:tcPr>
            <w:tcW w:w="4020" w:type="dxa"/>
            <w:vAlign w:val="bottom"/>
          </w:tcPr>
          <w:p>
            <w:pPr>
              <w:spacing w:after="0"/>
              <w:rPr>
                <w:sz w:val="20"/>
                <w:szCs w:val="20"/>
                <w:color w:val="auto"/>
              </w:rPr>
            </w:pPr>
            <w:r>
              <w:rPr>
                <w:rFonts w:ascii="Arial" w:cs="Arial" w:eastAsia="Arial" w:hAnsi="Arial"/>
                <w:sz w:val="18"/>
                <w:szCs w:val="18"/>
                <w:color w:val="auto"/>
              </w:rPr>
              <w:t>Director</w:t>
            </w:r>
          </w:p>
        </w:tc>
        <w:tc>
          <w:tcPr>
            <w:tcW w:w="540" w:type="dxa"/>
            <w:vAlign w:val="bottom"/>
          </w:tcPr>
          <w:p>
            <w:pPr>
              <w:spacing w:after="0"/>
              <w:rPr>
                <w:sz w:val="24"/>
                <w:szCs w:val="24"/>
                <w:color w:val="auto"/>
              </w:rPr>
            </w:pPr>
          </w:p>
        </w:tc>
        <w:tc>
          <w:tcPr>
            <w:tcW w:w="2300" w:type="dxa"/>
            <w:vAlign w:val="bottom"/>
          </w:tcPr>
          <w:p>
            <w:pPr>
              <w:spacing w:after="0"/>
              <w:rPr>
                <w:sz w:val="20"/>
                <w:szCs w:val="20"/>
                <w:color w:val="auto"/>
              </w:rPr>
            </w:pPr>
            <w:r>
              <w:rPr>
                <w:rFonts w:ascii="Arial" w:cs="Arial" w:eastAsia="Arial" w:hAnsi="Arial"/>
                <w:sz w:val="18"/>
                <w:szCs w:val="18"/>
                <w:color w:val="auto"/>
              </w:rPr>
              <w:t>March 8, 2006</w:t>
            </w:r>
          </w:p>
        </w:tc>
        <w:tc>
          <w:tcPr>
            <w:tcW w:w="0" w:type="dxa"/>
            <w:vAlign w:val="bottom"/>
          </w:tcPr>
          <w:p>
            <w:pPr>
              <w:spacing w:after="0"/>
              <w:rPr>
                <w:sz w:val="1"/>
                <w:szCs w:val="1"/>
                <w:color w:val="auto"/>
              </w:rPr>
            </w:pPr>
          </w:p>
        </w:tc>
      </w:tr>
      <w:tr>
        <w:trPr>
          <w:trHeight w:val="110"/>
        </w:trPr>
        <w:tc>
          <w:tcPr>
            <w:tcW w:w="4040" w:type="dxa"/>
            <w:vAlign w:val="bottom"/>
            <w:tcBorders>
              <w:bottom w:val="single" w:sz="8" w:color="auto"/>
            </w:tcBorders>
          </w:tcPr>
          <w:p>
            <w:pPr>
              <w:spacing w:after="0"/>
              <w:rPr>
                <w:sz w:val="9"/>
                <w:szCs w:val="9"/>
                <w:color w:val="auto"/>
              </w:rPr>
            </w:pPr>
          </w:p>
        </w:tc>
        <w:tc>
          <w:tcPr>
            <w:tcW w:w="540" w:type="dxa"/>
            <w:vAlign w:val="bottom"/>
          </w:tcPr>
          <w:p>
            <w:pPr>
              <w:spacing w:after="0"/>
              <w:rPr>
                <w:sz w:val="9"/>
                <w:szCs w:val="9"/>
                <w:color w:val="auto"/>
              </w:rPr>
            </w:pPr>
          </w:p>
        </w:tc>
        <w:tc>
          <w:tcPr>
            <w:tcW w:w="4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3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Abraham Ludomirski</w:t>
            </w:r>
          </w:p>
        </w:tc>
        <w:tc>
          <w:tcPr>
            <w:tcW w:w="540" w:type="dxa"/>
            <w:vAlign w:val="bottom"/>
          </w:tcPr>
          <w:p>
            <w:pPr>
              <w:spacing w:after="0"/>
              <w:rPr>
                <w:sz w:val="24"/>
                <w:szCs w:val="24"/>
                <w:color w:val="auto"/>
              </w:rPr>
            </w:pPr>
          </w:p>
        </w:tc>
        <w:tc>
          <w:tcPr>
            <w:tcW w:w="4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040" w:type="dxa"/>
            <w:vAlign w:val="bottom"/>
          </w:tcPr>
          <w:p>
            <w:pPr>
              <w:spacing w:after="0"/>
              <w:rPr>
                <w:sz w:val="24"/>
                <w:szCs w:val="24"/>
                <w:color w:val="auto"/>
              </w:rPr>
            </w:pPr>
          </w:p>
        </w:tc>
        <w:tc>
          <w:tcPr>
            <w:tcW w:w="4560" w:type="dxa"/>
            <w:vAlign w:val="bottom"/>
            <w:gridSpan w:val="2"/>
          </w:tcPr>
          <w:p>
            <w:pPr>
              <w:jc w:val="right"/>
              <w:ind w:right="2614"/>
              <w:spacing w:after="0"/>
              <w:rPr>
                <w:sz w:val="20"/>
                <w:szCs w:val="20"/>
                <w:color w:val="auto"/>
              </w:rPr>
            </w:pPr>
            <w:r>
              <w:rPr>
                <w:rFonts w:ascii="Arial" w:cs="Arial" w:eastAsia="Arial" w:hAnsi="Arial"/>
                <w:sz w:val="18"/>
                <w:szCs w:val="18"/>
                <w:color w:val="auto"/>
              </w:rPr>
              <w:t>- 59 -</w:t>
            </w:r>
          </w:p>
        </w:tc>
        <w:tc>
          <w:tcPr>
            <w:tcW w:w="5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584" w:right="219" w:bottom="1440" w:gutter="0" w:footer="0" w:header="0"/>
        </w:sectPr>
      </w:pPr>
    </w:p>
    <w:bookmarkStart w:id="59" w:name="page60"/>
    <w:bookmarkEnd w:id="5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/s/ Ziv Shoshani</w:t>
            </w:r>
          </w:p>
        </w:tc>
        <w:tc>
          <w:tcPr>
            <w:tcW w:w="13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4820" w:type="dxa"/>
            <w:vAlign w:val="bottom"/>
          </w:tcPr>
          <w:p>
            <w:pPr>
              <w:ind w:left="3800"/>
              <w:spacing w:after="0"/>
              <w:rPr>
                <w:sz w:val="20"/>
                <w:szCs w:val="20"/>
                <w:color w:val="auto"/>
              </w:rPr>
            </w:pPr>
            <w:r>
              <w:rPr>
                <w:rFonts w:ascii="Arial" w:cs="Arial" w:eastAsia="Arial" w:hAnsi="Arial"/>
                <w:sz w:val="18"/>
                <w:szCs w:val="18"/>
                <w:color w:val="auto"/>
                <w:w w:val="86"/>
              </w:rPr>
              <w:t>March 8, 2006</w:t>
            </w:r>
          </w:p>
        </w:tc>
      </w:tr>
      <w:tr>
        <w:trPr>
          <w:trHeight w:val="110"/>
        </w:trPr>
        <w:tc>
          <w:tcPr>
            <w:tcW w:w="404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4820" w:type="dxa"/>
            <w:vAlign w:val="bottom"/>
          </w:tcPr>
          <w:p>
            <w:pPr>
              <w:spacing w:after="0"/>
              <w:rPr>
                <w:sz w:val="9"/>
                <w:szCs w:val="9"/>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Ziv Shoshani</w:t>
            </w:r>
          </w:p>
        </w:tc>
        <w:tc>
          <w:tcPr>
            <w:tcW w:w="13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513"/>
        </w:trPr>
        <w:tc>
          <w:tcPr>
            <w:tcW w:w="4040" w:type="dxa"/>
            <w:vAlign w:val="bottom"/>
          </w:tcPr>
          <w:p>
            <w:pPr>
              <w:spacing w:after="0"/>
              <w:rPr>
                <w:sz w:val="20"/>
                <w:szCs w:val="20"/>
                <w:color w:val="auto"/>
              </w:rPr>
            </w:pPr>
            <w:r>
              <w:rPr>
                <w:rFonts w:ascii="Arial" w:cs="Arial" w:eastAsia="Arial" w:hAnsi="Arial"/>
                <w:sz w:val="18"/>
                <w:szCs w:val="18"/>
                <w:color w:val="auto"/>
              </w:rPr>
              <w:t>/s/ Mark I. Solomon</w:t>
            </w:r>
          </w:p>
        </w:tc>
        <w:tc>
          <w:tcPr>
            <w:tcW w:w="13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4820" w:type="dxa"/>
            <w:vAlign w:val="bottom"/>
          </w:tcPr>
          <w:p>
            <w:pPr>
              <w:ind w:left="3800"/>
              <w:spacing w:after="0"/>
              <w:rPr>
                <w:sz w:val="20"/>
                <w:szCs w:val="20"/>
                <w:color w:val="auto"/>
              </w:rPr>
            </w:pPr>
            <w:r>
              <w:rPr>
                <w:rFonts w:ascii="Arial" w:cs="Arial" w:eastAsia="Arial" w:hAnsi="Arial"/>
                <w:sz w:val="18"/>
                <w:szCs w:val="18"/>
                <w:color w:val="auto"/>
                <w:w w:val="86"/>
              </w:rPr>
              <w:t>March 8, 2006</w:t>
            </w:r>
          </w:p>
        </w:tc>
      </w:tr>
      <w:tr>
        <w:trPr>
          <w:trHeight w:val="110"/>
        </w:trPr>
        <w:tc>
          <w:tcPr>
            <w:tcW w:w="404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4820" w:type="dxa"/>
            <w:vAlign w:val="bottom"/>
          </w:tcPr>
          <w:p>
            <w:pPr>
              <w:spacing w:after="0"/>
              <w:rPr>
                <w:sz w:val="9"/>
                <w:szCs w:val="9"/>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Mark I. Solomon</w:t>
            </w:r>
          </w:p>
        </w:tc>
        <w:tc>
          <w:tcPr>
            <w:tcW w:w="13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513"/>
        </w:trPr>
        <w:tc>
          <w:tcPr>
            <w:tcW w:w="4040" w:type="dxa"/>
            <w:vAlign w:val="bottom"/>
          </w:tcPr>
          <w:p>
            <w:pPr>
              <w:spacing w:after="0"/>
              <w:rPr>
                <w:sz w:val="20"/>
                <w:szCs w:val="20"/>
                <w:color w:val="auto"/>
              </w:rPr>
            </w:pPr>
            <w:r>
              <w:rPr>
                <w:rFonts w:ascii="Arial" w:cs="Arial" w:eastAsia="Arial" w:hAnsi="Arial"/>
                <w:sz w:val="18"/>
                <w:szCs w:val="18"/>
                <w:color w:val="auto"/>
              </w:rPr>
              <w:t>/s/ Thomas C. Wertheimer</w:t>
            </w:r>
          </w:p>
        </w:tc>
        <w:tc>
          <w:tcPr>
            <w:tcW w:w="13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4820" w:type="dxa"/>
            <w:vAlign w:val="bottom"/>
          </w:tcPr>
          <w:p>
            <w:pPr>
              <w:ind w:left="3800"/>
              <w:spacing w:after="0"/>
              <w:rPr>
                <w:sz w:val="20"/>
                <w:szCs w:val="20"/>
                <w:color w:val="auto"/>
              </w:rPr>
            </w:pPr>
            <w:r>
              <w:rPr>
                <w:rFonts w:ascii="Arial" w:cs="Arial" w:eastAsia="Arial" w:hAnsi="Arial"/>
                <w:sz w:val="18"/>
                <w:szCs w:val="18"/>
                <w:color w:val="auto"/>
                <w:w w:val="86"/>
              </w:rPr>
              <w:t>March 8, 2006</w:t>
            </w:r>
          </w:p>
        </w:tc>
      </w:tr>
      <w:tr>
        <w:trPr>
          <w:trHeight w:val="110"/>
        </w:trPr>
        <w:tc>
          <w:tcPr>
            <w:tcW w:w="404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4820" w:type="dxa"/>
            <w:vAlign w:val="bottom"/>
          </w:tcPr>
          <w:p>
            <w:pPr>
              <w:spacing w:after="0"/>
              <w:rPr>
                <w:sz w:val="9"/>
                <w:szCs w:val="9"/>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Thomas C. Wertheimer</w:t>
            </w:r>
          </w:p>
        </w:tc>
        <w:tc>
          <w:tcPr>
            <w:tcW w:w="13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513"/>
        </w:trPr>
        <w:tc>
          <w:tcPr>
            <w:tcW w:w="4040" w:type="dxa"/>
            <w:vAlign w:val="bottom"/>
          </w:tcPr>
          <w:p>
            <w:pPr>
              <w:spacing w:after="0"/>
              <w:rPr>
                <w:sz w:val="20"/>
                <w:szCs w:val="20"/>
                <w:color w:val="auto"/>
              </w:rPr>
            </w:pPr>
            <w:r>
              <w:rPr>
                <w:rFonts w:ascii="Arial" w:cs="Arial" w:eastAsia="Arial" w:hAnsi="Arial"/>
                <w:sz w:val="18"/>
                <w:szCs w:val="18"/>
                <w:color w:val="auto"/>
              </w:rPr>
              <w:t>/s/ Ruta Zandman</w:t>
            </w:r>
          </w:p>
        </w:tc>
        <w:tc>
          <w:tcPr>
            <w:tcW w:w="1300" w:type="dxa"/>
            <w:vAlign w:val="bottom"/>
          </w:tcPr>
          <w:p>
            <w:pPr>
              <w:ind w:left="540"/>
              <w:spacing w:after="0"/>
              <w:rPr>
                <w:sz w:val="20"/>
                <w:szCs w:val="20"/>
                <w:color w:val="auto"/>
              </w:rPr>
            </w:pPr>
            <w:r>
              <w:rPr>
                <w:rFonts w:ascii="Arial" w:cs="Arial" w:eastAsia="Arial" w:hAnsi="Arial"/>
                <w:sz w:val="18"/>
                <w:szCs w:val="18"/>
                <w:color w:val="auto"/>
              </w:rPr>
              <w:t>Director</w:t>
            </w:r>
          </w:p>
        </w:tc>
        <w:tc>
          <w:tcPr>
            <w:tcW w:w="4820" w:type="dxa"/>
            <w:vAlign w:val="bottom"/>
          </w:tcPr>
          <w:p>
            <w:pPr>
              <w:ind w:left="3800"/>
              <w:spacing w:after="0"/>
              <w:rPr>
                <w:sz w:val="20"/>
                <w:szCs w:val="20"/>
                <w:color w:val="auto"/>
              </w:rPr>
            </w:pPr>
            <w:r>
              <w:rPr>
                <w:rFonts w:ascii="Arial" w:cs="Arial" w:eastAsia="Arial" w:hAnsi="Arial"/>
                <w:sz w:val="18"/>
                <w:szCs w:val="18"/>
                <w:color w:val="auto"/>
                <w:w w:val="86"/>
              </w:rPr>
              <w:t>March 8, 2006</w:t>
            </w:r>
          </w:p>
        </w:tc>
      </w:tr>
      <w:tr>
        <w:trPr>
          <w:trHeight w:val="110"/>
        </w:trPr>
        <w:tc>
          <w:tcPr>
            <w:tcW w:w="4040" w:type="dxa"/>
            <w:vAlign w:val="bottom"/>
            <w:tcBorders>
              <w:bottom w:val="single" w:sz="8" w:color="auto"/>
            </w:tcBorders>
          </w:tcPr>
          <w:p>
            <w:pPr>
              <w:spacing w:after="0"/>
              <w:rPr>
                <w:sz w:val="9"/>
                <w:szCs w:val="9"/>
                <w:color w:val="auto"/>
              </w:rPr>
            </w:pPr>
          </w:p>
        </w:tc>
        <w:tc>
          <w:tcPr>
            <w:tcW w:w="1300" w:type="dxa"/>
            <w:vAlign w:val="bottom"/>
          </w:tcPr>
          <w:p>
            <w:pPr>
              <w:spacing w:after="0"/>
              <w:rPr>
                <w:sz w:val="9"/>
                <w:szCs w:val="9"/>
                <w:color w:val="auto"/>
              </w:rPr>
            </w:pPr>
          </w:p>
        </w:tc>
        <w:tc>
          <w:tcPr>
            <w:tcW w:w="4820" w:type="dxa"/>
            <w:vAlign w:val="bottom"/>
          </w:tcPr>
          <w:p>
            <w:pPr>
              <w:spacing w:after="0"/>
              <w:rPr>
                <w:sz w:val="9"/>
                <w:szCs w:val="9"/>
                <w:color w:val="auto"/>
              </w:rPr>
            </w:pPr>
          </w:p>
        </w:tc>
      </w:tr>
      <w:tr>
        <w:trPr>
          <w:trHeight w:val="316"/>
        </w:trPr>
        <w:tc>
          <w:tcPr>
            <w:tcW w:w="4040" w:type="dxa"/>
            <w:vAlign w:val="bottom"/>
          </w:tcPr>
          <w:p>
            <w:pPr>
              <w:spacing w:after="0"/>
              <w:rPr>
                <w:sz w:val="20"/>
                <w:szCs w:val="20"/>
                <w:color w:val="auto"/>
              </w:rPr>
            </w:pPr>
            <w:r>
              <w:rPr>
                <w:rFonts w:ascii="Arial" w:cs="Arial" w:eastAsia="Arial" w:hAnsi="Arial"/>
                <w:sz w:val="18"/>
                <w:szCs w:val="18"/>
                <w:color w:val="auto"/>
              </w:rPr>
              <w:t>Ruta Zandman</w:t>
            </w:r>
          </w:p>
        </w:tc>
        <w:tc>
          <w:tcPr>
            <w:tcW w:w="1300" w:type="dxa"/>
            <w:vAlign w:val="bottom"/>
          </w:tcPr>
          <w:p>
            <w:pPr>
              <w:spacing w:after="0"/>
              <w:rPr>
                <w:sz w:val="24"/>
                <w:szCs w:val="24"/>
                <w:color w:val="auto"/>
              </w:rPr>
            </w:pPr>
          </w:p>
        </w:tc>
        <w:tc>
          <w:tcPr>
            <w:tcW w:w="4820" w:type="dxa"/>
            <w:vAlign w:val="bottom"/>
          </w:tcPr>
          <w:p>
            <w:pPr>
              <w:spacing w:after="0"/>
              <w:rPr>
                <w:sz w:val="24"/>
                <w:szCs w:val="24"/>
                <w:color w:val="auto"/>
              </w:rPr>
            </w:pPr>
          </w:p>
        </w:tc>
      </w:tr>
      <w:tr>
        <w:trPr>
          <w:trHeight w:val="432"/>
        </w:trPr>
        <w:tc>
          <w:tcPr>
            <w:tcW w:w="40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820" w:type="dxa"/>
            <w:vAlign w:val="bottom"/>
          </w:tcPr>
          <w:p>
            <w:pPr>
              <w:ind w:left="180"/>
              <w:spacing w:after="0"/>
              <w:rPr>
                <w:sz w:val="20"/>
                <w:szCs w:val="20"/>
                <w:color w:val="auto"/>
              </w:rPr>
            </w:pPr>
            <w:r>
              <w:rPr>
                <w:rFonts w:ascii="Arial" w:cs="Arial" w:eastAsia="Arial" w:hAnsi="Arial"/>
                <w:sz w:val="18"/>
                <w:szCs w:val="18"/>
                <w:color w:val="auto"/>
              </w:rPr>
              <w:t>- 60 -</w:t>
            </w:r>
          </w:p>
        </w:tc>
      </w:tr>
    </w:tbl>
    <w:p>
      <w:pPr>
        <w:sectPr>
          <w:pgSz w:w="11900" w:h="16838" w:orient="portrait"/>
          <w:cols w:equalWidth="0" w:num="1">
            <w:col w:w="10219"/>
          </w:cols>
          <w:pgMar w:left="240" w:top="374" w:right="1440" w:bottom="1440" w:gutter="0" w:footer="0" w:header="0"/>
        </w:sectPr>
      </w:pPr>
    </w:p>
    <w:bookmarkStart w:id="60" w:name="page61"/>
    <w:bookmarkEnd w:id="6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020" w:type="dxa"/>
            <w:vAlign w:val="bottom"/>
          </w:tcPr>
          <w:p>
            <w:pPr>
              <w:jc w:val="center"/>
              <w:ind w:right="1912"/>
              <w:spacing w:after="0"/>
              <w:rPr>
                <w:sz w:val="20"/>
                <w:szCs w:val="20"/>
                <w:color w:val="auto"/>
              </w:rPr>
            </w:pPr>
            <w:r>
              <w:rPr>
                <w:rFonts w:ascii="Arial" w:cs="Arial" w:eastAsia="Arial" w:hAnsi="Arial"/>
                <w:sz w:val="18"/>
                <w:szCs w:val="18"/>
                <w:b w:val="1"/>
                <w:bCs w:val="1"/>
                <w:color w:val="auto"/>
                <w:w w:val="87"/>
              </w:rPr>
              <w:t>Vishay Intertechnology, Inc.</w:t>
            </w:r>
          </w:p>
        </w:tc>
        <w:tc>
          <w:tcPr>
            <w:tcW w:w="2200" w:type="dxa"/>
            <w:vAlign w:val="bottom"/>
          </w:tcPr>
          <w:p>
            <w:pPr>
              <w:spacing w:after="0"/>
              <w:rPr>
                <w:sz w:val="19"/>
                <w:szCs w:val="19"/>
                <w:color w:val="auto"/>
              </w:rPr>
            </w:pPr>
          </w:p>
        </w:tc>
      </w:tr>
      <w:tr>
        <w:trPr>
          <w:trHeight w:val="432"/>
        </w:trPr>
        <w:tc>
          <w:tcPr>
            <w:tcW w:w="20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740" w:type="dxa"/>
            <w:vAlign w:val="bottom"/>
            <w:gridSpan w:val="2"/>
          </w:tcPr>
          <w:p>
            <w:pPr>
              <w:jc w:val="center"/>
              <w:ind w:right="1192"/>
              <w:spacing w:after="0"/>
              <w:rPr>
                <w:sz w:val="20"/>
                <w:szCs w:val="20"/>
                <w:color w:val="auto"/>
              </w:rPr>
            </w:pPr>
            <w:r>
              <w:rPr>
                <w:rFonts w:ascii="Arial" w:cs="Arial" w:eastAsia="Arial" w:hAnsi="Arial"/>
                <w:sz w:val="18"/>
                <w:szCs w:val="18"/>
                <w:b w:val="1"/>
                <w:bCs w:val="1"/>
                <w:color w:val="auto"/>
                <w:w w:val="87"/>
              </w:rPr>
              <w:t>Index to Consolidated Financial Statements</w:t>
            </w:r>
          </w:p>
        </w:tc>
        <w:tc>
          <w:tcPr>
            <w:tcW w:w="2200" w:type="dxa"/>
            <w:vAlign w:val="bottom"/>
          </w:tcPr>
          <w:p>
            <w:pPr>
              <w:spacing w:after="0"/>
              <w:rPr>
                <w:sz w:val="24"/>
                <w:szCs w:val="24"/>
                <w:color w:val="auto"/>
              </w:rPr>
            </w:pPr>
          </w:p>
        </w:tc>
      </w:tr>
      <w:tr>
        <w:trPr>
          <w:trHeight w:val="394"/>
        </w:trPr>
        <w:tc>
          <w:tcPr>
            <w:tcW w:w="420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62">
              <w:r>
                <w:rPr>
                  <w:rFonts w:ascii="Arial" w:cs="Arial" w:eastAsia="Arial" w:hAnsi="Arial"/>
                  <w:sz w:val="18"/>
                  <w:szCs w:val="18"/>
                  <w:color w:val="0000EE"/>
                  <w:w w:val="89"/>
                </w:rPr>
                <w:t>Reports of Independent Registered Public Accounting Firm</w:t>
              </w:r>
            </w:hyperlink>
          </w:p>
        </w:tc>
        <w:tc>
          <w:tcPr>
            <w:tcW w:w="5020" w:type="dxa"/>
            <w:vAlign w:val="bottom"/>
          </w:tcPr>
          <w:p>
            <w:pPr>
              <w:spacing w:after="0"/>
              <w:rPr>
                <w:sz w:val="24"/>
                <w:szCs w:val="24"/>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rPr>
              <w:t>F-2</w:t>
            </w:r>
          </w:p>
        </w:tc>
      </w:tr>
      <w:tr>
        <w:trPr>
          <w:trHeight w:val="383"/>
        </w:trPr>
        <w:tc>
          <w:tcPr>
            <w:tcW w:w="9220" w:type="dxa"/>
            <w:vAlign w:val="bottom"/>
            <w:gridSpan w:val="7"/>
          </w:tcPr>
          <w:p>
            <w:pPr>
              <w:spacing w:after="0"/>
              <w:rPr>
                <w:sz w:val="20"/>
                <w:szCs w:val="20"/>
                <w:color w:val="auto"/>
              </w:rPr>
            </w:pPr>
            <w:r>
              <w:rPr>
                <w:rFonts w:ascii="Arial" w:cs="Arial" w:eastAsia="Arial" w:hAnsi="Arial"/>
                <w:sz w:val="18"/>
                <w:szCs w:val="18"/>
                <w:color w:val="auto"/>
              </w:rPr>
              <w:t>Audited Consolidated Financial Statements</w:t>
            </w:r>
          </w:p>
        </w:tc>
        <w:tc>
          <w:tcPr>
            <w:tcW w:w="2200" w:type="dxa"/>
            <w:vAlign w:val="bottom"/>
          </w:tcPr>
          <w:p>
            <w:pPr>
              <w:spacing w:after="0"/>
              <w:rPr>
                <w:sz w:val="24"/>
                <w:szCs w:val="24"/>
                <w:color w:val="auto"/>
              </w:rPr>
            </w:pPr>
          </w:p>
        </w:tc>
      </w:tr>
      <w:tr>
        <w:trPr>
          <w:trHeight w:val="326"/>
        </w:trPr>
        <w:tc>
          <w:tcPr>
            <w:tcW w:w="9220" w:type="dxa"/>
            <w:vAlign w:val="bottom"/>
            <w:gridSpan w:val="7"/>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Consolidated Balance Sheets</w:t>
              </w:r>
            </w:hyperlink>
          </w:p>
        </w:tc>
        <w:tc>
          <w:tcPr>
            <w:tcW w:w="2200" w:type="dxa"/>
            <w:vAlign w:val="bottom"/>
          </w:tcPr>
          <w:p>
            <w:pPr>
              <w:jc w:val="right"/>
              <w:spacing w:after="0"/>
              <w:rPr>
                <w:sz w:val="20"/>
                <w:szCs w:val="20"/>
                <w:color w:val="auto"/>
              </w:rPr>
            </w:pPr>
            <w:r>
              <w:rPr>
                <w:rFonts w:ascii="Arial" w:cs="Arial" w:eastAsia="Arial" w:hAnsi="Arial"/>
                <w:sz w:val="18"/>
                <w:szCs w:val="18"/>
                <w:color w:val="auto"/>
              </w:rPr>
              <w:t>F-4</w:t>
            </w:r>
          </w:p>
        </w:tc>
      </w:tr>
      <w:tr>
        <w:trPr>
          <w:trHeight w:val="20"/>
        </w:trPr>
        <w:tc>
          <w:tcPr>
            <w:tcW w:w="204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2760" w:type="dxa"/>
            <w:vAlign w:val="bottom"/>
            <w:tcBorders>
              <w:bottom w:val="single" w:sz="8" w:color="0000EE"/>
            </w:tcBorders>
            <w:gridSpan w:val="2"/>
          </w:tcPr>
          <w:p>
            <w:pPr>
              <w:spacing w:after="0" w:line="196" w:lineRule="exact"/>
              <w:rPr>
                <w:rFonts w:ascii="Arial" w:cs="Arial" w:eastAsia="Arial" w:hAnsi="Arial"/>
                <w:sz w:val="18"/>
                <w:szCs w:val="18"/>
                <w:color w:val="0000EE"/>
                <w:w w:val="87"/>
              </w:rPr>
            </w:pPr>
            <w:hyperlink w:anchor="page66">
              <w:r>
                <w:rPr>
                  <w:rFonts w:ascii="Arial" w:cs="Arial" w:eastAsia="Arial" w:hAnsi="Arial"/>
                  <w:sz w:val="18"/>
                  <w:szCs w:val="18"/>
                  <w:color w:val="0000EE"/>
                  <w:w w:val="87"/>
                </w:rPr>
                <w:t>Consolidated Statements of Operations</w:t>
              </w:r>
            </w:hyperlink>
          </w:p>
        </w:tc>
        <w:tc>
          <w:tcPr>
            <w:tcW w:w="6460" w:type="dxa"/>
            <w:vAlign w:val="bottom"/>
            <w:gridSpan w:val="5"/>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F-6</w:t>
            </w:r>
          </w:p>
        </w:tc>
      </w:tr>
      <w:tr>
        <w:trPr>
          <w:trHeight w:val="196"/>
        </w:trPr>
        <w:tc>
          <w:tcPr>
            <w:tcW w:w="9220" w:type="dxa"/>
            <w:vAlign w:val="bottom"/>
            <w:gridSpan w:val="7"/>
          </w:tcPr>
          <w:p>
            <w:pPr>
              <w:spacing w:after="0" w:line="196" w:lineRule="exact"/>
              <w:rPr>
                <w:rFonts w:ascii="Arial" w:cs="Arial" w:eastAsia="Arial" w:hAnsi="Arial"/>
                <w:sz w:val="18"/>
                <w:szCs w:val="18"/>
                <w:color w:val="0000EE"/>
              </w:rPr>
            </w:pPr>
            <w:hyperlink w:anchor="page67">
              <w:r>
                <w:rPr>
                  <w:rFonts w:ascii="Arial" w:cs="Arial" w:eastAsia="Arial" w:hAnsi="Arial"/>
                  <w:sz w:val="18"/>
                  <w:szCs w:val="18"/>
                  <w:color w:val="0000EE"/>
                </w:rPr>
                <w:t>Consolidated Statements of Cash Flows</w:t>
              </w:r>
            </w:hyperlink>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F-7</w:t>
            </w:r>
          </w:p>
        </w:tc>
      </w:tr>
      <w:tr>
        <w:trPr>
          <w:trHeight w:val="20"/>
        </w:trPr>
        <w:tc>
          <w:tcPr>
            <w:tcW w:w="280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5740" w:type="dxa"/>
            <w:vAlign w:val="bottom"/>
            <w:gridSpan w:val="2"/>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r>
      <w:tr>
        <w:trPr>
          <w:trHeight w:val="196"/>
        </w:trPr>
        <w:tc>
          <w:tcPr>
            <w:tcW w:w="3480" w:type="dxa"/>
            <w:vAlign w:val="bottom"/>
            <w:tcBorders>
              <w:bottom w:val="single" w:sz="8" w:color="0000EE"/>
            </w:tcBorders>
            <w:gridSpan w:val="5"/>
          </w:tcPr>
          <w:p>
            <w:pPr>
              <w:spacing w:after="0" w:line="196" w:lineRule="exact"/>
              <w:rPr>
                <w:rFonts w:ascii="Arial" w:cs="Arial" w:eastAsia="Arial" w:hAnsi="Arial"/>
                <w:sz w:val="18"/>
                <w:szCs w:val="18"/>
                <w:color w:val="0000EE"/>
                <w:w w:val="88"/>
              </w:rPr>
            </w:pPr>
            <w:hyperlink w:anchor="page68">
              <w:r>
                <w:rPr>
                  <w:rFonts w:ascii="Arial" w:cs="Arial" w:eastAsia="Arial" w:hAnsi="Arial"/>
                  <w:sz w:val="18"/>
                  <w:szCs w:val="18"/>
                  <w:color w:val="0000EE"/>
                  <w:w w:val="88"/>
                </w:rPr>
                <w:t>Consolidated Statements of Stockholders’ Equity</w:t>
              </w:r>
            </w:hyperlink>
          </w:p>
        </w:tc>
        <w:tc>
          <w:tcPr>
            <w:tcW w:w="5740" w:type="dxa"/>
            <w:vAlign w:val="bottom"/>
            <w:gridSpan w:val="2"/>
          </w:tcPr>
          <w:p>
            <w:pPr>
              <w:spacing w:after="0"/>
              <w:rPr>
                <w:sz w:val="17"/>
                <w:szCs w:val="17"/>
                <w:color w:val="auto"/>
              </w:rPr>
            </w:pPr>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F-8</w:t>
            </w:r>
          </w:p>
        </w:tc>
      </w:tr>
      <w:tr>
        <w:trPr>
          <w:trHeight w:val="196"/>
        </w:trPr>
        <w:tc>
          <w:tcPr>
            <w:tcW w:w="9220" w:type="dxa"/>
            <w:vAlign w:val="bottom"/>
            <w:gridSpan w:val="7"/>
          </w:tcPr>
          <w:p>
            <w:pPr>
              <w:spacing w:after="0" w:line="196" w:lineRule="exact"/>
              <w:rPr>
                <w:rFonts w:ascii="Arial" w:cs="Arial" w:eastAsia="Arial" w:hAnsi="Arial"/>
                <w:sz w:val="18"/>
                <w:szCs w:val="18"/>
                <w:color w:val="0000EE"/>
              </w:rPr>
            </w:pPr>
            <w:hyperlink w:anchor="page70">
              <w:r>
                <w:rPr>
                  <w:rFonts w:ascii="Arial" w:cs="Arial" w:eastAsia="Arial" w:hAnsi="Arial"/>
                  <w:sz w:val="18"/>
                  <w:szCs w:val="18"/>
                  <w:color w:val="0000EE"/>
                </w:rPr>
                <w:t>Notes to Consolidated Financial Statements</w:t>
              </w:r>
            </w:hyperlink>
          </w:p>
        </w:tc>
        <w:tc>
          <w:tcPr>
            <w:tcW w:w="2200" w:type="dxa"/>
            <w:vAlign w:val="bottom"/>
          </w:tcPr>
          <w:p>
            <w:pPr>
              <w:jc w:val="right"/>
              <w:spacing w:after="0" w:line="196" w:lineRule="exact"/>
              <w:rPr>
                <w:sz w:val="20"/>
                <w:szCs w:val="20"/>
                <w:color w:val="auto"/>
              </w:rPr>
            </w:pPr>
            <w:r>
              <w:rPr>
                <w:rFonts w:ascii="Arial" w:cs="Arial" w:eastAsia="Arial" w:hAnsi="Arial"/>
                <w:sz w:val="18"/>
                <w:szCs w:val="18"/>
                <w:color w:val="auto"/>
              </w:rPr>
              <w:t>F-10</w:t>
            </w:r>
          </w:p>
        </w:tc>
      </w:tr>
      <w:tr>
        <w:trPr>
          <w:trHeight w:val="451"/>
        </w:trPr>
        <w:tc>
          <w:tcPr>
            <w:tcW w:w="2040" w:type="dxa"/>
            <w:vAlign w:val="bottom"/>
            <w:tcBorders>
              <w:top w:val="single" w:sz="8" w:color="0000EE"/>
            </w:tcBorders>
          </w:tcPr>
          <w:p>
            <w:pPr>
              <w:spacing w:after="0"/>
              <w:rPr>
                <w:sz w:val="24"/>
                <w:szCs w:val="24"/>
                <w:color w:val="auto"/>
              </w:rPr>
            </w:pPr>
          </w:p>
        </w:tc>
        <w:tc>
          <w:tcPr>
            <w:tcW w:w="72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020" w:type="dxa"/>
            <w:vAlign w:val="bottom"/>
          </w:tcPr>
          <w:p>
            <w:pPr>
              <w:jc w:val="center"/>
              <w:ind w:right="1892"/>
              <w:spacing w:after="0"/>
              <w:rPr>
                <w:sz w:val="20"/>
                <w:szCs w:val="20"/>
                <w:color w:val="auto"/>
              </w:rPr>
            </w:pPr>
            <w:r>
              <w:rPr>
                <w:rFonts w:ascii="Arial" w:cs="Arial" w:eastAsia="Arial" w:hAnsi="Arial"/>
                <w:sz w:val="18"/>
                <w:szCs w:val="18"/>
                <w:color w:val="auto"/>
                <w:w w:val="88"/>
              </w:rPr>
              <w:t>F-1</w:t>
            </w:r>
          </w:p>
        </w:tc>
        <w:tc>
          <w:tcPr>
            <w:tcW w:w="22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61" w:name="page62"/>
    <w:bookmarkEnd w:id="61"/>
    <w:p>
      <w:pPr>
        <w:jc w:val="center"/>
        <w:ind w:right="-5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on the Consolidated Financial Statements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Vishay Intertechnology, Inc.:</w:t>
      </w:r>
    </w:p>
    <w:p>
      <w:pPr>
        <w:spacing w:after="0" w:line="225" w:lineRule="exact"/>
        <w:rPr>
          <w:sz w:val="20"/>
          <w:szCs w:val="20"/>
          <w:color w:val="auto"/>
        </w:rPr>
      </w:pPr>
    </w:p>
    <w:p>
      <w:pPr>
        <w:jc w:val="both"/>
        <w:ind w:right="60"/>
        <w:spacing w:after="0" w:line="306" w:lineRule="auto"/>
        <w:rPr>
          <w:sz w:val="20"/>
          <w:szCs w:val="20"/>
          <w:color w:val="auto"/>
        </w:rPr>
      </w:pPr>
      <w:r>
        <w:rPr>
          <w:rFonts w:ascii="Arial" w:cs="Arial" w:eastAsia="Arial" w:hAnsi="Arial"/>
          <w:sz w:val="16"/>
          <w:szCs w:val="16"/>
          <w:color w:val="auto"/>
        </w:rPr>
        <w:t>We have audited the accompanying consolidated balance sheets of Vishay Intertechnology, Inc. as of December 31, 2005 and 2004, and the related consolidated statements of operations, stockholders’ equity, and cash flows for each of the three years in the period ended December 31, 2005. These financial statements are the responsibility of the Company’s management. Our responsibility is to express an opinion on these financial statements based on our audits.</w:t>
      </w:r>
    </w:p>
    <w:p>
      <w:pPr>
        <w:spacing w:after="0" w:line="16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9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consolidated financial position of Vishay Intertechnology, Inc. at December 31, 2005 and 2004, and the consolidated results of its operations and its cash flows for each of the three years in the period ended December 31, 2005, in conformity with U.S. generally accepted accounting principles.</w:t>
      </w:r>
    </w:p>
    <w:p>
      <w:pPr>
        <w:spacing w:after="0" w:line="194"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effectiveness of Vishay Intertechnology, Inc.’s internal control over financial reporting as of December 31, 2005, based on criteria established in Internal Control-Integrated Framework issued by the Committee of Sponsoring Organizations of the Treadway Commission and our report dated March 7, 2006 expressed an unqualified opinion thereon.</w:t>
      </w:r>
    </w:p>
    <w:p>
      <w:pPr>
        <w:spacing w:after="0" w:line="3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2006</w:t>
      </w:r>
    </w:p>
    <w:p>
      <w:pPr>
        <w:spacing w:after="0" w:line="21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360"/>
          </w:cols>
          <w:pgMar w:left="240" w:top="584" w:right="299" w:bottom="1440" w:gutter="0" w:footer="0" w:header="0"/>
        </w:sectPr>
      </w:pPr>
    </w:p>
    <w:bookmarkStart w:id="62" w:name="page63"/>
    <w:bookmarkEnd w:id="62"/>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 Internal Control over Financial Reporting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and Stockholders of Vishay Intertechnology, Inc.:</w:t>
      </w:r>
    </w:p>
    <w:p>
      <w:pPr>
        <w:spacing w:after="0" w:line="225"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We have audited management’s assessment, included in the accompanying Management’s Report on Internal Control Over Financial Reporting, that Vishay Intertechnology, Inc. maintained effective internal control over financial reporting as of December 31, 2005, based on criteria established in Internal Control— Integrated Framework issued by the Committee of Sponsoring Organizations of the Treadway Commission (the COSO criteria). Vishay Intertechnology, Inc.’s management is responsible for maintaining effective internal control over financial reporting and for its assessment of the effectiveness of internal control over financial reporting. Our responsibility is to express an opinion on management’s assessment and an opinion on the effectiveness of the company’s internal control over financial reporting based on our audit.</w:t>
      </w:r>
    </w:p>
    <w:p>
      <w:pPr>
        <w:spacing w:after="0" w:line="174"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conducted our audit in accordance with the standards of the Public Company Accounting Oversight Board (United States).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evaluating management’s assessment, testing and evaluating the design and operating effectiveness of internal control, and performing such other procedures as we considered necessary in the circumstances. We believe that our audit provides a reasonable basis for our opinion.</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U.S.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7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4"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In our opinion, management’s assessment that Vishay Intertechnology, Inc. maintained effective internal control over financial reporting as of December 31, 2005, is fairly stated, in all material respects, based on the COSO criteria. Also, in our opinion, Vishay Intertechnology, Inc. maintained, in all material respects, effective internal control over financial reporting as of December 31, 2005, based on the COSO criteria</w:t>
      </w:r>
      <w:r>
        <w:rPr>
          <w:rFonts w:ascii="Arial" w:cs="Arial" w:eastAsia="Arial" w:hAnsi="Arial"/>
          <w:sz w:val="18"/>
          <w:szCs w:val="18"/>
          <w:b w:val="1"/>
          <w:bCs w:val="1"/>
          <w:color w:val="auto"/>
        </w:rPr>
        <w:t>.</w:t>
      </w:r>
    </w:p>
    <w:p>
      <w:pPr>
        <w:spacing w:after="0" w:line="194"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the consolidated balance sheets of Vishay Intertechnology, Inc. as of December 31, 2005 and 2004, and the related consolidated statements of operations, stockholders’ equity, and cash flows for each of the three years in the period ended December 31, 2005 of Vishay Intertechnology, Inc. and our report dated March 7, 2006 expressed an unqualified opinion thereon.</w:t>
      </w:r>
    </w:p>
    <w:p>
      <w:pPr>
        <w:spacing w:after="0" w:line="346"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2006</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400"/>
          </w:cols>
          <w:pgMar w:left="240" w:top="584" w:right="25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VISHAY INTERTECHNOLOGY,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2"/>
              </w:rPr>
              <w:t>December 31,</w:t>
            </w:r>
          </w:p>
        </w:tc>
        <w:tc>
          <w:tcPr>
            <w:tcW w:w="18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622,577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Short-term investments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9,925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 of allowances for doubtful accounts of $9,643 and $13,669, respectively</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350,850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Finished goods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149,709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860"/>
              <w:spacing w:after="0"/>
              <w:rPr>
                <w:sz w:val="20"/>
                <w:szCs w:val="20"/>
                <w:color w:val="auto"/>
              </w:rPr>
            </w:pPr>
            <w:r>
              <w:rPr>
                <w:rFonts w:ascii="Arial" w:cs="Arial" w:eastAsia="Arial" w:hAnsi="Arial"/>
                <w:sz w:val="18"/>
                <w:szCs w:val="18"/>
                <w:color w:val="auto"/>
              </w:rPr>
              <w:t>Work in process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181,125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176,082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Raw materials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157,036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Deferred income taxes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39,115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43,786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96,295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136,251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assets</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1,606,632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1,682,420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Property and equipment, at cost:</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Land</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92,650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97,398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Buildings and improvements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406,798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428,829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Machinery and equipment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1,684,736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Construction in progress</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67,229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75,974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Allowance for depreciation</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(1,160,821)</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(1,098,611)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1,090,592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1,171,815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Goodwill</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1,434,901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1,435,121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174,220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221,246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221,437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b w:val="1"/>
                <w:bCs w:val="1"/>
                <w:color w:val="auto"/>
                <w:w w:val="71"/>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4,527,591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Continues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584" w:right="239" w:bottom="1440" w:gutter="0" w:footer="0" w:header="0"/>
        </w:sectPr>
      </w:pPr>
    </w:p>
    <w:bookmarkStart w:id="64" w:name="page65"/>
    <w:bookmarkEnd w:id="64"/>
    <w:p>
      <w:pPr>
        <w:spacing w:after="0"/>
        <w:rPr>
          <w:sz w:val="20"/>
          <w:szCs w:val="20"/>
          <w:color w:val="auto"/>
        </w:rPr>
      </w:pPr>
      <w:r>
        <w:rPr>
          <w:rFonts w:ascii="Arial" w:cs="Arial" w:eastAsia="Arial" w:hAnsi="Arial"/>
          <w:sz w:val="18"/>
          <w:szCs w:val="18"/>
          <w:b w:val="1"/>
          <w:bCs w:val="1"/>
          <w:color w:val="auto"/>
        </w:rPr>
        <w:t>VISHAY INTERTECHNOLOGY,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Balance Sheets (continued)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5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4"/>
              </w:rPr>
              <w:t>December 31,</w:t>
            </w:r>
          </w:p>
        </w:tc>
        <w:tc>
          <w:tcPr>
            <w:tcW w:w="180" w:type="dxa"/>
            <w:vAlign w:val="bottom"/>
          </w:tcPr>
          <w:p>
            <w:pPr>
              <w:spacing w:after="0"/>
              <w:rPr>
                <w:sz w:val="14"/>
                <w:szCs w:val="14"/>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85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jc w:val="right"/>
              <w:ind w:right="43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jc w:val="right"/>
              <w:ind w:right="434"/>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Current liabilities: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Notes payable to banks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Trade accounts payable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142,709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131,243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Payroll and related expenses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118,814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131,128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Other accrued expenses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173,982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218,257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Income taxes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29,655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1,533</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470,166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514,037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Long-term debt less current portion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751,553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752,145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27,091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Deferred grant income</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11,896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18,723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149,938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Accrued pension and other postretirement costs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256,986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232,142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4,109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spacing w:after="0"/>
              <w:rPr>
                <w:sz w:val="20"/>
                <w:szCs w:val="20"/>
                <w:color w:val="auto"/>
              </w:rPr>
            </w:pPr>
            <w:r>
              <w:rPr>
                <w:rFonts w:ascii="Arial" w:cs="Arial" w:eastAsia="Arial" w:hAnsi="Arial"/>
                <w:sz w:val="18"/>
                <w:szCs w:val="18"/>
                <w:color w:val="auto"/>
              </w:rPr>
              <w:t>Commitments and contingencies</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Preferred stock, par value $1.00 per share: authorized - 1,000,000 shares; none issued</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4"/>
              </w:rPr>
              <w:t>Common stock, par value $0.10 per share: authorized - 300,000,000 shares; 169,461,961 and 151,423,558</w:t>
            </w:r>
          </w:p>
        </w:tc>
        <w:tc>
          <w:tcPr>
            <w:tcW w:w="14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16,946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5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shares outstanding after deducting 274,173 and 332,850 shares in treasury</w:t>
            </w:r>
          </w:p>
        </w:tc>
        <w:tc>
          <w:tcPr>
            <w:tcW w:w="14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15,142</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w w:val="91"/>
              </w:rPr>
              <w:t>Class B convertible common stock, par value $0.10 per share: authorized - 40,000,000 shares; 14,679,440 and</w:t>
            </w:r>
          </w:p>
        </w:tc>
        <w:tc>
          <w:tcPr>
            <w:tcW w:w="14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1,468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40" w:type="dxa"/>
            <w:vAlign w:val="bottom"/>
          </w:tcPr>
          <w:p>
            <w:pPr>
              <w:ind w:left="640"/>
              <w:spacing w:after="0"/>
              <w:rPr>
                <w:sz w:val="20"/>
                <w:szCs w:val="20"/>
                <w:color w:val="auto"/>
              </w:rPr>
            </w:pPr>
            <w:r>
              <w:rPr>
                <w:rFonts w:ascii="Arial" w:cs="Arial" w:eastAsia="Arial" w:hAnsi="Arial"/>
                <w:sz w:val="18"/>
                <w:szCs w:val="18"/>
                <w:color w:val="auto"/>
              </w:rPr>
              <w:t>14,679,440 shares outstanding after deducting 279,453 shares in treasury</w:t>
            </w:r>
          </w:p>
        </w:tc>
        <w:tc>
          <w:tcPr>
            <w:tcW w:w="14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Capital in excess of par value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2,225,966</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2,028,253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Retained earnings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657,166</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594,892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Unearned compensation</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(95)</w:t>
            </w:r>
          </w:p>
        </w:tc>
        <w:tc>
          <w:tcPr>
            <w:tcW w:w="1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540" w:type="dxa"/>
            <w:vAlign w:val="bottom"/>
          </w:tcPr>
          <w:p>
            <w:pPr>
              <w:ind w:left="420"/>
              <w:spacing w:after="0"/>
              <w:rPr>
                <w:sz w:val="20"/>
                <w:szCs w:val="20"/>
                <w:color w:val="auto"/>
              </w:rPr>
            </w:pPr>
            <w:r>
              <w:rPr>
                <w:rFonts w:ascii="Arial" w:cs="Arial" w:eastAsia="Arial" w:hAnsi="Arial"/>
                <w:sz w:val="18"/>
                <w:szCs w:val="18"/>
                <w:color w:val="auto"/>
              </w:rPr>
              <w:t>Accumulated other comprehensive (loss) income</w:t>
            </w:r>
          </w:p>
        </w:tc>
        <w:tc>
          <w:tcPr>
            <w:tcW w:w="140" w:type="dxa"/>
            <w:vAlign w:val="bottom"/>
          </w:tcPr>
          <w:p>
            <w:pPr>
              <w:spacing w:after="0"/>
              <w:rPr>
                <w:sz w:val="19"/>
                <w:szCs w:val="19"/>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(45,599)</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133,732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2,855,852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2,773,335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5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5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4,527,591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4,638,590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5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6237605</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5500370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6366510</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20"/>
          </w:cols>
          <w:pgMar w:left="240" w:top="584" w:right="239" w:bottom="1440" w:gutter="0" w:footer="0" w:header="0"/>
        </w:sectPr>
      </w:pPr>
    </w:p>
    <w:bookmarkStart w:id="65" w:name="page66"/>
    <w:bookmarkEnd w:id="65"/>
    <w:p>
      <w:pPr>
        <w:spacing w:after="0"/>
        <w:rPr>
          <w:sz w:val="20"/>
          <w:szCs w:val="20"/>
          <w:color w:val="auto"/>
        </w:rPr>
      </w:pPr>
      <w:r>
        <w:rPr>
          <w:rFonts w:ascii="Arial" w:cs="Arial" w:eastAsia="Arial" w:hAnsi="Arial"/>
          <w:sz w:val="18"/>
          <w:szCs w:val="18"/>
          <w:b w:val="1"/>
          <w:bCs w:val="1"/>
          <w:color w:val="auto"/>
        </w:rPr>
        <w:t>VISHAY INTERTECHNOLOGY,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for per share)</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5"/>
              </w:rPr>
              <w:t>Years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40"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revenues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2,296,521</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2,414,654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Costs of products sold</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1,769,978</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1,842,080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1,690,267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(Gain) loss on purchase commitments</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(963)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16,613</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527,506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555,961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468,938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376,912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386,346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380,011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Siliconix transaction-related expenses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3,751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Purchased in-process research and development</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9,694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severance costs</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28,546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Asset write-downs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11,416</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27,296</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1,014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95,961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93,569</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(33,590)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(34,252)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(39,226)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4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(9,910)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insurance claim</w:t>
            </w: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33,906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15,401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10,700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(18,189)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(23,552)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(12,941)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Earnings before taxes and minority interest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Income tax provision</w:t>
            </w:r>
          </w:p>
        </w:tc>
        <w:tc>
          <w:tcPr>
            <w:tcW w:w="1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11,737</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13,729</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11,528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3,761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11,592</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62,274</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0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Diluted earnings per share</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0.34</w:t>
            </w:r>
          </w:p>
        </w:tc>
        <w:tc>
          <w:tcPr>
            <w:tcW w:w="6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0.27</w:t>
            </w:r>
          </w:p>
        </w:tc>
        <w:tc>
          <w:tcPr>
            <w:tcW w:w="20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shares outstanding - basic</w:t>
            </w:r>
          </w:p>
        </w:tc>
        <w:tc>
          <w:tcPr>
            <w:tcW w:w="14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177,606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163,701</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Weighted average shares outstanding - diluted</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b w:val="1"/>
                <w:bCs w:val="1"/>
                <w:color w:val="auto"/>
              </w:rPr>
              <w:t>189,321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165,938</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160,443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-652145</wp:posOffset>
            </wp:positionV>
            <wp:extent cx="271399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13990" cy="2984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420"/>
          </w:cols>
          <w:pgMar w:left="240" w:top="584" w:right="239" w:bottom="1440"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VISHAY INTERTECHNOLOGY,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1155"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2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5"/>
              </w:rPr>
              <w:t>Years ended December 31,</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040" w:type="dxa"/>
            <w:vAlign w:val="bottom"/>
          </w:tcPr>
          <w:p>
            <w:pPr>
              <w:spacing w:after="0"/>
              <w:rPr>
                <w:sz w:val="22"/>
                <w:szCs w:val="22"/>
                <w:color w:val="auto"/>
              </w:rPr>
            </w:pPr>
          </w:p>
        </w:tc>
        <w:tc>
          <w:tcPr>
            <w:tcW w:w="125" w:type="dxa"/>
            <w:vAlign w:val="bottom"/>
          </w:tcPr>
          <w:p>
            <w:pPr>
              <w:spacing w:after="0"/>
              <w:rPr>
                <w:sz w:val="22"/>
                <w:szCs w:val="22"/>
                <w:color w:val="auto"/>
              </w:rPr>
            </w:pPr>
          </w:p>
        </w:tc>
        <w:tc>
          <w:tcPr>
            <w:tcW w:w="1155" w:type="dxa"/>
            <w:vAlign w:val="bottom"/>
          </w:tcPr>
          <w:p>
            <w:pPr>
              <w:jc w:val="right"/>
              <w:ind w:right="433"/>
              <w:spacing w:after="0"/>
              <w:rPr>
                <w:sz w:val="20"/>
                <w:szCs w:val="20"/>
                <w:color w:val="auto"/>
              </w:rPr>
            </w:pPr>
            <w:r>
              <w:rPr>
                <w:rFonts w:ascii="Arial" w:cs="Arial" w:eastAsia="Arial" w:hAnsi="Arial"/>
                <w:sz w:val="14"/>
                <w:szCs w:val="14"/>
                <w:b w:val="1"/>
                <w:bCs w:val="1"/>
                <w:color w:val="auto"/>
              </w:rPr>
              <w:t>2005</w:t>
            </w: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2004</w:t>
            </w:r>
          </w:p>
        </w:tc>
        <w:tc>
          <w:tcPr>
            <w:tcW w:w="2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jc w:val="right"/>
              <w:ind w:right="433"/>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activities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earnings</w:t>
            </w:r>
          </w:p>
        </w:tc>
        <w:tc>
          <w:tcPr>
            <w:tcW w:w="125"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155" w:type="dxa"/>
            <w:vAlign w:val="bottom"/>
          </w:tcPr>
          <w:p>
            <w:pPr>
              <w:jc w:val="right"/>
              <w:spacing w:after="0"/>
              <w:rPr>
                <w:sz w:val="20"/>
                <w:szCs w:val="20"/>
                <w:color w:val="auto"/>
              </w:rPr>
            </w:pPr>
            <w:r>
              <w:rPr>
                <w:rFonts w:ascii="Arial" w:cs="Arial" w:eastAsia="Arial" w:hAnsi="Arial"/>
                <w:sz w:val="18"/>
                <w:szCs w:val="18"/>
                <w:b w:val="1"/>
                <w:bCs w:val="1"/>
                <w:color w:val="auto"/>
              </w:rPr>
              <w:t>62,274</w:t>
            </w:r>
          </w:p>
        </w:tc>
        <w:tc>
          <w:tcPr>
            <w:tcW w:w="60" w:type="dxa"/>
            <w:vAlign w:val="bottom"/>
          </w:tcPr>
          <w:p>
            <w:pPr>
              <w:spacing w:after="0"/>
              <w:rPr>
                <w:sz w:val="18"/>
                <w:szCs w:val="18"/>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44,696</w:t>
            </w:r>
          </w:p>
        </w:tc>
        <w:tc>
          <w:tcPr>
            <w:tcW w:w="200" w:type="dxa"/>
            <w:vAlign w:val="bottom"/>
          </w:tcPr>
          <w:p>
            <w:pPr>
              <w:spacing w:after="0"/>
              <w:rPr>
                <w:sz w:val="18"/>
                <w:szCs w:val="18"/>
                <w:color w:val="auto"/>
              </w:rPr>
            </w:pPr>
          </w:p>
        </w:tc>
        <w:tc>
          <w:tcPr>
            <w:tcW w:w="300" w:type="dxa"/>
            <w:vAlign w:val="bottom"/>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earnings to net cash provided by operating activities: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b w:val="1"/>
                <w:bCs w:val="1"/>
                <w:color w:val="auto"/>
              </w:rPr>
              <w:t>188,900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202,580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194,055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Loss on disposal of property and equipment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Minority interest in net earnings of consolidated subsidiaries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b w:val="1"/>
                <w:bCs w:val="1"/>
                <w:color w:val="auto"/>
              </w:rPr>
              <w:t>3,761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11,592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8,056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Purchased in-process research and development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9,694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Gain on interest rate swap</w:t>
            </w:r>
          </w:p>
        </w:tc>
        <w:tc>
          <w:tcPr>
            <w:tcW w:w="125" w:type="dxa"/>
            <w:vAlign w:val="bottom"/>
          </w:tcPr>
          <w:p>
            <w:pPr>
              <w:spacing w:after="0"/>
              <w:rPr>
                <w:sz w:val="18"/>
                <w:szCs w:val="18"/>
                <w:color w:val="auto"/>
              </w:rPr>
            </w:pPr>
          </w:p>
        </w:tc>
        <w:tc>
          <w:tcPr>
            <w:tcW w:w="1215"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Accretion of interest on convertible debentures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Write-downs of tantalum and palladium inventories</w:t>
            </w:r>
          </w:p>
        </w:tc>
        <w:tc>
          <w:tcPr>
            <w:tcW w:w="125" w:type="dxa"/>
            <w:vAlign w:val="bottom"/>
          </w:tcPr>
          <w:p>
            <w:pPr>
              <w:spacing w:after="0"/>
              <w:rPr>
                <w:sz w:val="18"/>
                <w:szCs w:val="18"/>
                <w:color w:val="auto"/>
              </w:rPr>
            </w:pPr>
          </w:p>
        </w:tc>
        <w:tc>
          <w:tcPr>
            <w:tcW w:w="1215"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6,991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Inventory write-offs for obsolescence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25,826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32,226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54,285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Changes in purchase commitment liability</w:t>
            </w:r>
          </w:p>
        </w:tc>
        <w:tc>
          <w:tcPr>
            <w:tcW w:w="125" w:type="dxa"/>
            <w:vAlign w:val="bottom"/>
          </w:tcPr>
          <w:p>
            <w:pPr>
              <w:spacing w:after="0"/>
              <w:rPr>
                <w:sz w:val="18"/>
                <w:szCs w:val="18"/>
                <w:color w:val="auto"/>
              </w:rPr>
            </w:pPr>
          </w:p>
        </w:tc>
        <w:tc>
          <w:tcPr>
            <w:tcW w:w="1215"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(45,241)</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(24,890)</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(16,608)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insurance claim</w:t>
            </w:r>
          </w:p>
        </w:tc>
        <w:tc>
          <w:tcPr>
            <w:tcW w:w="125" w:type="dxa"/>
            <w:vAlign w:val="bottom"/>
            <w:shd w:val="clear" w:color="auto" w:fill="CCEEFF"/>
          </w:tcPr>
          <w:p>
            <w:pPr>
              <w:spacing w:after="0"/>
              <w:rPr>
                <w:sz w:val="18"/>
                <w:szCs w:val="18"/>
                <w:color w:val="auto"/>
              </w:rPr>
            </w:pPr>
          </w:p>
        </w:tc>
        <w:tc>
          <w:tcPr>
            <w:tcW w:w="1215"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(33,906)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Loss on extinguishment of debt</w:t>
            </w:r>
          </w:p>
        </w:tc>
        <w:tc>
          <w:tcPr>
            <w:tcW w:w="125" w:type="dxa"/>
            <w:vAlign w:val="bottom"/>
          </w:tcPr>
          <w:p>
            <w:pPr>
              <w:spacing w:after="0"/>
              <w:rPr>
                <w:sz w:val="18"/>
                <w:szCs w:val="18"/>
                <w:color w:val="auto"/>
              </w:rPr>
            </w:pPr>
          </w:p>
        </w:tc>
        <w:tc>
          <w:tcPr>
            <w:tcW w:w="1215"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9,910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Asset write-downs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11,416</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27,296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420"/>
              <w:spacing w:after="0"/>
              <w:rPr>
                <w:sz w:val="20"/>
                <w:szCs w:val="20"/>
                <w:color w:val="auto"/>
              </w:rPr>
            </w:pPr>
            <w:r>
              <w:rPr>
                <w:rFonts w:ascii="Arial" w:cs="Arial" w:eastAsia="Arial" w:hAnsi="Arial"/>
                <w:sz w:val="18"/>
                <w:szCs w:val="18"/>
                <w:color w:val="auto"/>
              </w:rPr>
              <w:t>Deferred grant income</w:t>
            </w:r>
          </w:p>
        </w:tc>
        <w:tc>
          <w:tcPr>
            <w:tcW w:w="125" w:type="dxa"/>
            <w:vAlign w:val="bottom"/>
          </w:tcPr>
          <w:p>
            <w:pPr>
              <w:spacing w:after="0"/>
              <w:rPr>
                <w:sz w:val="18"/>
                <w:szCs w:val="18"/>
                <w:color w:val="auto"/>
              </w:rPr>
            </w:pPr>
          </w:p>
        </w:tc>
        <w:tc>
          <w:tcPr>
            <w:tcW w:w="1215"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(6,914)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(8,936)</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(12,359)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Prepayment to Tower Semiconductor</w:t>
            </w:r>
          </w:p>
        </w:tc>
        <w:tc>
          <w:tcPr>
            <w:tcW w:w="125" w:type="dxa"/>
            <w:vAlign w:val="bottom"/>
            <w:shd w:val="clear" w:color="auto" w:fill="CCEEFF"/>
          </w:tcPr>
          <w:p>
            <w:pPr>
              <w:spacing w:after="0"/>
              <w:rPr>
                <w:sz w:val="18"/>
                <w:szCs w:val="18"/>
                <w:color w:val="auto"/>
              </w:rPr>
            </w:pPr>
          </w:p>
        </w:tc>
        <w:tc>
          <w:tcPr>
            <w:tcW w:w="1215"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w:t>
            </w:r>
          </w:p>
        </w:tc>
        <w:tc>
          <w:tcPr>
            <w:tcW w:w="125" w:type="dxa"/>
            <w:vAlign w:val="bottom"/>
          </w:tcPr>
          <w:p>
            <w:pPr>
              <w:spacing w:after="0"/>
              <w:rPr>
                <w:sz w:val="18"/>
                <w:szCs w:val="18"/>
                <w:color w:val="auto"/>
              </w:rPr>
            </w:pPr>
          </w:p>
        </w:tc>
        <w:tc>
          <w:tcPr>
            <w:tcW w:w="1215"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(6,853)</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1,156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(24,307)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 net of effects of businesses acquired:</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Accounts receivable</w:t>
            </w:r>
          </w:p>
        </w:tc>
        <w:tc>
          <w:tcPr>
            <w:tcW w:w="125" w:type="dxa"/>
            <w:vAlign w:val="bottom"/>
          </w:tcPr>
          <w:p>
            <w:pPr>
              <w:spacing w:after="0"/>
              <w:rPr>
                <w:sz w:val="18"/>
                <w:szCs w:val="18"/>
                <w:color w:val="auto"/>
              </w:rPr>
            </w:pPr>
          </w:p>
        </w:tc>
        <w:tc>
          <w:tcPr>
            <w:tcW w:w="1215"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(13,454)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30,526</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(5,634)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Inventories</w:t>
            </w:r>
          </w:p>
        </w:tc>
        <w:tc>
          <w:tcPr>
            <w:tcW w:w="125" w:type="dxa"/>
            <w:vAlign w:val="bottom"/>
            <w:shd w:val="clear" w:color="auto" w:fill="CCEEFF"/>
          </w:tcPr>
          <w:p>
            <w:pPr>
              <w:spacing w:after="0"/>
              <w:rPr>
                <w:sz w:val="18"/>
                <w:szCs w:val="18"/>
                <w:color w:val="auto"/>
              </w:rPr>
            </w:pPr>
          </w:p>
        </w:tc>
        <w:tc>
          <w:tcPr>
            <w:tcW w:w="1215"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(28,238)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(35,292)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(30,448)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Prepaid expenses and other current assets</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b w:val="1"/>
                <w:bCs w:val="1"/>
                <w:color w:val="auto"/>
              </w:rPr>
              <w:t>41,509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17,328</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51,367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Accounts payable</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13,072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(30,280)</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ind w:left="860"/>
              <w:spacing w:after="0"/>
              <w:rPr>
                <w:sz w:val="20"/>
                <w:szCs w:val="20"/>
                <w:color w:val="auto"/>
              </w:rPr>
            </w:pPr>
            <w:r>
              <w:rPr>
                <w:rFonts w:ascii="Arial" w:cs="Arial" w:eastAsia="Arial" w:hAnsi="Arial"/>
                <w:sz w:val="18"/>
                <w:szCs w:val="18"/>
                <w:color w:val="auto"/>
              </w:rPr>
              <w:t>Other current liabilities</w:t>
            </w:r>
          </w:p>
        </w:tc>
        <w:tc>
          <w:tcPr>
            <w:tcW w:w="125" w:type="dxa"/>
            <w:vAlign w:val="bottom"/>
          </w:tcPr>
          <w:p>
            <w:pPr>
              <w:spacing w:after="0"/>
              <w:rPr>
                <w:sz w:val="19"/>
                <w:szCs w:val="19"/>
                <w:color w:val="auto"/>
              </w:rPr>
            </w:pPr>
          </w:p>
        </w:tc>
        <w:tc>
          <w:tcPr>
            <w:tcW w:w="1215"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(57,077)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(23,653)</w:t>
            </w:r>
          </w:p>
        </w:tc>
        <w:tc>
          <w:tcPr>
            <w:tcW w:w="300" w:type="dxa"/>
            <w:vAlign w:val="bottom"/>
          </w:tcPr>
          <w:p>
            <w:pPr>
              <w:spacing w:after="0"/>
              <w:rPr>
                <w:sz w:val="19"/>
                <w:szCs w:val="19"/>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(6,110)</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202,874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233,084</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255,756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Investing activities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Capital expenditures</w:t>
            </w:r>
          </w:p>
        </w:tc>
        <w:tc>
          <w:tcPr>
            <w:tcW w:w="125" w:type="dxa"/>
            <w:vAlign w:val="bottom"/>
          </w:tcPr>
          <w:p>
            <w:pPr>
              <w:spacing w:after="0"/>
              <w:rPr>
                <w:sz w:val="18"/>
                <w:szCs w:val="18"/>
                <w:color w:val="auto"/>
              </w:rPr>
            </w:pPr>
          </w:p>
        </w:tc>
        <w:tc>
          <w:tcPr>
            <w:tcW w:w="1215"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(136,714)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(158,627)</w:t>
            </w: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(126,635)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sale of property and equipment</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14,379</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10,446</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Proceeds from sale of AeroGo</w:t>
            </w:r>
          </w:p>
        </w:tc>
        <w:tc>
          <w:tcPr>
            <w:tcW w:w="125" w:type="dxa"/>
            <w:vAlign w:val="bottom"/>
          </w:tcPr>
          <w:p>
            <w:pPr>
              <w:spacing w:after="0"/>
              <w:rPr>
                <w:sz w:val="18"/>
                <w:szCs w:val="18"/>
                <w:color w:val="auto"/>
              </w:rPr>
            </w:pPr>
          </w:p>
        </w:tc>
        <w:tc>
          <w:tcPr>
            <w:tcW w:w="1155" w:type="dxa"/>
            <w:vAlign w:val="bottom"/>
          </w:tcPr>
          <w:p>
            <w:pPr>
              <w:jc w:val="right"/>
              <w:spacing w:after="0"/>
              <w:rPr>
                <w:sz w:val="20"/>
                <w:szCs w:val="20"/>
                <w:color w:val="auto"/>
              </w:rPr>
            </w:pPr>
            <w:r>
              <w:rPr>
                <w:rFonts w:ascii="Arial" w:cs="Arial" w:eastAsia="Arial" w:hAnsi="Arial"/>
                <w:sz w:val="18"/>
                <w:szCs w:val="18"/>
                <w:b w:val="1"/>
                <w:bCs w:val="1"/>
                <w:color w:val="auto"/>
              </w:rPr>
              <w:t>1,751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Purchase of short-term investments</w:t>
            </w:r>
          </w:p>
        </w:tc>
        <w:tc>
          <w:tcPr>
            <w:tcW w:w="125" w:type="dxa"/>
            <w:vAlign w:val="bottom"/>
            <w:shd w:val="clear" w:color="auto" w:fill="CCEEFF"/>
          </w:tcPr>
          <w:p>
            <w:pPr>
              <w:spacing w:after="0"/>
              <w:rPr>
                <w:sz w:val="18"/>
                <w:szCs w:val="18"/>
                <w:color w:val="auto"/>
              </w:rPr>
            </w:pPr>
          </w:p>
        </w:tc>
        <w:tc>
          <w:tcPr>
            <w:tcW w:w="1215"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(9,925)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Purchase of software license</w:t>
            </w:r>
          </w:p>
        </w:tc>
        <w:tc>
          <w:tcPr>
            <w:tcW w:w="125" w:type="dxa"/>
            <w:vAlign w:val="bottom"/>
          </w:tcPr>
          <w:p>
            <w:pPr>
              <w:spacing w:after="0"/>
              <w:rPr>
                <w:sz w:val="18"/>
                <w:szCs w:val="18"/>
                <w:color w:val="auto"/>
              </w:rPr>
            </w:pPr>
          </w:p>
        </w:tc>
        <w:tc>
          <w:tcPr>
            <w:tcW w:w="1215"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(4,500)</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Purchase of businesses, net of cash acquired</w:t>
            </w:r>
          </w:p>
        </w:tc>
        <w:tc>
          <w:tcPr>
            <w:tcW w:w="125" w:type="dxa"/>
            <w:vAlign w:val="bottom"/>
            <w:shd w:val="clear" w:color="auto" w:fill="CCEEFF"/>
          </w:tcPr>
          <w:p>
            <w:pPr>
              <w:spacing w:after="0"/>
              <w:rPr>
                <w:sz w:val="18"/>
                <w:szCs w:val="18"/>
                <w:color w:val="auto"/>
              </w:rPr>
            </w:pPr>
          </w:p>
        </w:tc>
        <w:tc>
          <w:tcPr>
            <w:tcW w:w="1215"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(26,371)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(24,892)</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(41,161)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investing activities</w:t>
            </w:r>
          </w:p>
        </w:tc>
        <w:tc>
          <w:tcPr>
            <w:tcW w:w="125" w:type="dxa"/>
            <w:vAlign w:val="bottom"/>
            <w:shd w:val="clear" w:color="auto" w:fill="CCEEFF"/>
          </w:tcPr>
          <w:p>
            <w:pPr>
              <w:spacing w:after="0"/>
              <w:rPr>
                <w:sz w:val="18"/>
                <w:szCs w:val="18"/>
                <w:color w:val="auto"/>
              </w:rPr>
            </w:pPr>
          </w:p>
        </w:tc>
        <w:tc>
          <w:tcPr>
            <w:tcW w:w="1215"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(156,880)</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(177,573)</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(148,447)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Financing activities</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Proceeds from long-term borrowings, net of issuance costs</w:t>
            </w:r>
          </w:p>
        </w:tc>
        <w:tc>
          <w:tcPr>
            <w:tcW w:w="125" w:type="dxa"/>
            <w:vAlign w:val="bottom"/>
          </w:tcPr>
          <w:p>
            <w:pPr>
              <w:spacing w:after="0"/>
              <w:rPr>
                <w:sz w:val="18"/>
                <w:szCs w:val="18"/>
                <w:color w:val="auto"/>
              </w:rPr>
            </w:pPr>
          </w:p>
        </w:tc>
        <w:tc>
          <w:tcPr>
            <w:tcW w:w="1215"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87</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484,206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Principal payments on long-term debt</w:t>
            </w:r>
          </w:p>
        </w:tc>
        <w:tc>
          <w:tcPr>
            <w:tcW w:w="125" w:type="dxa"/>
            <w:vAlign w:val="bottom"/>
            <w:shd w:val="clear" w:color="auto" w:fill="CCEEFF"/>
          </w:tcPr>
          <w:p>
            <w:pPr>
              <w:spacing w:after="0"/>
              <w:rPr>
                <w:sz w:val="18"/>
                <w:szCs w:val="18"/>
                <w:color w:val="auto"/>
              </w:rPr>
            </w:pPr>
          </w:p>
        </w:tc>
        <w:tc>
          <w:tcPr>
            <w:tcW w:w="1215"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(8,905)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(3,351)</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(284,595)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Net (payments) borrowings on revolving credit lines</w:t>
            </w:r>
          </w:p>
        </w:tc>
        <w:tc>
          <w:tcPr>
            <w:tcW w:w="125" w:type="dxa"/>
            <w:vAlign w:val="bottom"/>
          </w:tcPr>
          <w:p>
            <w:pPr>
              <w:spacing w:after="0"/>
              <w:rPr>
                <w:sz w:val="18"/>
                <w:szCs w:val="18"/>
                <w:color w:val="auto"/>
              </w:rPr>
            </w:pPr>
          </w:p>
        </w:tc>
        <w:tc>
          <w:tcPr>
            <w:tcW w:w="1215"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(11,000)</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(111,000)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changes in short-term borrowings</w:t>
            </w:r>
          </w:p>
        </w:tc>
        <w:tc>
          <w:tcPr>
            <w:tcW w:w="125" w:type="dxa"/>
            <w:vAlign w:val="bottom"/>
            <w:shd w:val="clear" w:color="auto" w:fill="CCEEFF"/>
          </w:tcPr>
          <w:p>
            <w:pPr>
              <w:spacing w:after="0"/>
              <w:rPr>
                <w:sz w:val="18"/>
                <w:szCs w:val="18"/>
                <w:color w:val="auto"/>
              </w:rPr>
            </w:pPr>
          </w:p>
        </w:tc>
        <w:tc>
          <w:tcPr>
            <w:tcW w:w="1215"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(2,434)</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(13,700)</w:t>
            </w:r>
          </w:p>
        </w:tc>
        <w:tc>
          <w:tcPr>
            <w:tcW w:w="3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Stock issuance costs</w:t>
            </w:r>
          </w:p>
        </w:tc>
        <w:tc>
          <w:tcPr>
            <w:tcW w:w="125" w:type="dxa"/>
            <w:vAlign w:val="bottom"/>
          </w:tcPr>
          <w:p>
            <w:pPr>
              <w:spacing w:after="0"/>
              <w:rPr>
                <w:sz w:val="18"/>
                <w:szCs w:val="18"/>
                <w:color w:val="auto"/>
              </w:rPr>
            </w:pPr>
          </w:p>
        </w:tc>
        <w:tc>
          <w:tcPr>
            <w:tcW w:w="1215"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(163)</w:t>
            </w:r>
          </w:p>
        </w:tc>
        <w:tc>
          <w:tcPr>
            <w:tcW w:w="300" w:type="dxa"/>
            <w:vAlign w:val="bottom"/>
          </w:tcPr>
          <w:p>
            <w:pPr>
              <w:spacing w:after="0"/>
              <w:rPr>
                <w:sz w:val="18"/>
                <w:szCs w:val="18"/>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Proceeds from stock options exercised</w:t>
            </w:r>
          </w:p>
        </w:tc>
        <w:tc>
          <w:tcPr>
            <w:tcW w:w="125" w:type="dxa"/>
            <w:vAlign w:val="bottom"/>
            <w:shd w:val="clear" w:color="auto" w:fill="CCEEFF"/>
          </w:tcPr>
          <w:p>
            <w:pPr>
              <w:spacing w:after="0"/>
              <w:rPr>
                <w:sz w:val="18"/>
                <w:szCs w:val="18"/>
                <w:color w:val="auto"/>
              </w:rPr>
            </w:pP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9,185</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040" w:type="dxa"/>
            <w:vAlign w:val="bottom"/>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1155"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25" w:type="dxa"/>
            <w:vAlign w:val="bottom"/>
            <w:shd w:val="clear" w:color="auto" w:fill="CCEEFF"/>
          </w:tcPr>
          <w:p>
            <w:pPr>
              <w:spacing w:after="0"/>
              <w:rPr>
                <w:sz w:val="18"/>
                <w:szCs w:val="18"/>
                <w:color w:val="auto"/>
              </w:rPr>
            </w:pPr>
          </w:p>
        </w:tc>
        <w:tc>
          <w:tcPr>
            <w:tcW w:w="1215"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(21,938)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3,058</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93,035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Effect of exchange rate changes on cash and cash equivalents</w:t>
            </w:r>
          </w:p>
        </w:tc>
        <w:tc>
          <w:tcPr>
            <w:tcW w:w="125" w:type="dxa"/>
            <w:vAlign w:val="bottom"/>
          </w:tcPr>
          <w:p>
            <w:pPr>
              <w:spacing w:after="0"/>
              <w:rPr>
                <w:sz w:val="19"/>
                <w:szCs w:val="19"/>
                <w:color w:val="auto"/>
              </w:rPr>
            </w:pPr>
          </w:p>
        </w:tc>
        <w:tc>
          <w:tcPr>
            <w:tcW w:w="1215"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(34,179)</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18,591</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15,258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(Decrease) increase in cash and cash equivalents</w:t>
            </w:r>
          </w:p>
        </w:tc>
        <w:tc>
          <w:tcPr>
            <w:tcW w:w="125" w:type="dxa"/>
            <w:vAlign w:val="bottom"/>
            <w:shd w:val="clear" w:color="auto" w:fill="CCEEFF"/>
          </w:tcPr>
          <w:p>
            <w:pPr>
              <w:spacing w:after="0"/>
              <w:rPr>
                <w:sz w:val="18"/>
                <w:szCs w:val="18"/>
                <w:color w:val="auto"/>
              </w:rPr>
            </w:pPr>
          </w:p>
        </w:tc>
        <w:tc>
          <w:tcPr>
            <w:tcW w:w="1215"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(10,123)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77,160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Cash and cash equivalents at beginning of year</w:t>
            </w:r>
          </w:p>
        </w:tc>
        <w:tc>
          <w:tcPr>
            <w:tcW w:w="125" w:type="dxa"/>
            <w:vAlign w:val="bottom"/>
          </w:tcPr>
          <w:p>
            <w:pPr>
              <w:spacing w:after="0"/>
              <w:rPr>
                <w:sz w:val="19"/>
                <w:szCs w:val="19"/>
                <w:color w:val="auto"/>
              </w:rPr>
            </w:pPr>
          </w:p>
        </w:tc>
        <w:tc>
          <w:tcPr>
            <w:tcW w:w="1155" w:type="dxa"/>
            <w:vAlign w:val="bottom"/>
          </w:tcPr>
          <w:p>
            <w:pPr>
              <w:jc w:val="right"/>
              <w:spacing w:after="0"/>
              <w:rPr>
                <w:sz w:val="20"/>
                <w:szCs w:val="20"/>
                <w:color w:val="auto"/>
              </w:rPr>
            </w:pPr>
            <w:r>
              <w:rPr>
                <w:rFonts w:ascii="Arial" w:cs="Arial" w:eastAsia="Arial" w:hAnsi="Arial"/>
                <w:sz w:val="18"/>
                <w:szCs w:val="18"/>
                <w:b w:val="1"/>
                <w:bCs w:val="1"/>
                <w:color w:val="auto"/>
              </w:rPr>
              <w:t>632,700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555,540</w:t>
            </w: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339,938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1155"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5" w:type="dxa"/>
            <w:vAlign w:val="bottom"/>
          </w:tcPr>
          <w:p>
            <w:pPr>
              <w:spacing w:after="0"/>
              <w:rPr>
                <w:sz w:val="8"/>
                <w:szCs w:val="8"/>
                <w:color w:val="auto"/>
              </w:rPr>
            </w:pPr>
          </w:p>
        </w:tc>
        <w:tc>
          <w:tcPr>
            <w:tcW w:w="1155"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year</w:t>
            </w:r>
          </w:p>
        </w:tc>
        <w:tc>
          <w:tcPr>
            <w:tcW w:w="125"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5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622,577</w:t>
            </w:r>
          </w:p>
        </w:tc>
        <w:tc>
          <w:tcPr>
            <w:tcW w:w="6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632,700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43"/>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555,540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1155"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270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6357620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-29210</wp:posOffset>
            </wp:positionV>
            <wp:extent cx="1270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420"/>
          </w:cols>
          <w:pgMar w:left="240" w:top="584" w:right="239" w:bottom="1440" w:gutter="0" w:footer="0" w:header="0"/>
        </w:sectPr>
      </w:pPr>
    </w:p>
    <w:bookmarkStart w:id="67" w:name="page68"/>
    <w:bookmarkEnd w:id="67"/>
    <w:p>
      <w:pPr>
        <w:spacing w:after="0"/>
        <w:rPr>
          <w:sz w:val="20"/>
          <w:szCs w:val="20"/>
          <w:color w:val="auto"/>
        </w:rPr>
      </w:pPr>
      <w:r>
        <w:rPr>
          <w:rFonts w:ascii="Arial" w:cs="Arial" w:eastAsia="Arial" w:hAnsi="Arial"/>
          <w:sz w:val="18"/>
          <w:szCs w:val="18"/>
          <w:b w:val="1"/>
          <w:bCs w:val="1"/>
          <w:color w:val="auto"/>
        </w:rPr>
        <w:t>VISHAY INTERTECHNOLOGY,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Class B</w:t>
            </w:r>
          </w:p>
        </w:tc>
        <w:tc>
          <w:tcPr>
            <w:tcW w:w="140" w:type="dxa"/>
            <w:vAlign w:val="bottom"/>
          </w:tcPr>
          <w:p>
            <w:pPr>
              <w:spacing w:after="0"/>
              <w:rPr>
                <w:sz w:val="14"/>
                <w:szCs w:val="14"/>
                <w:color w:val="auto"/>
              </w:rPr>
            </w:pPr>
          </w:p>
        </w:tc>
        <w:tc>
          <w:tcPr>
            <w:tcW w:w="920" w:type="dxa"/>
            <w:vAlign w:val="bottom"/>
            <w:vMerge w:val="restart"/>
          </w:tcPr>
          <w:p>
            <w:pPr>
              <w:jc w:val="right"/>
              <w:ind w:right="212"/>
              <w:spacing w:after="0"/>
              <w:rPr>
                <w:sz w:val="20"/>
                <w:szCs w:val="20"/>
                <w:color w:val="auto"/>
              </w:rPr>
            </w:pPr>
            <w:r>
              <w:rPr>
                <w:rFonts w:ascii="Arial" w:cs="Arial" w:eastAsia="Arial" w:hAnsi="Arial"/>
                <w:sz w:val="14"/>
                <w:szCs w:val="14"/>
                <w:b w:val="1"/>
                <w:bCs w:val="1"/>
                <w:color w:val="auto"/>
                <w:w w:val="98"/>
              </w:rPr>
              <w:t>Capital in</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jc w:val="right"/>
              <w:ind w:right="5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14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Common</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5"/>
              </w:rPr>
              <w:t>Common</w:t>
            </w:r>
          </w:p>
        </w:tc>
        <w:tc>
          <w:tcPr>
            <w:tcW w:w="140" w:type="dxa"/>
            <w:vAlign w:val="bottom"/>
          </w:tcPr>
          <w:p>
            <w:pPr>
              <w:spacing w:after="0"/>
              <w:rPr>
                <w:sz w:val="12"/>
                <w:szCs w:val="12"/>
                <w:color w:val="auto"/>
              </w:rPr>
            </w:pPr>
          </w:p>
        </w:tc>
        <w:tc>
          <w:tcPr>
            <w:tcW w:w="92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w w:val="94"/>
              </w:rPr>
              <w:t>Excess of</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212"/>
              <w:spacing w:after="0" w:line="149" w:lineRule="exact"/>
              <w:rPr>
                <w:sz w:val="20"/>
                <w:szCs w:val="20"/>
                <w:color w:val="auto"/>
              </w:rPr>
            </w:pPr>
            <w:r>
              <w:rPr>
                <w:rFonts w:ascii="Arial" w:cs="Arial" w:eastAsia="Arial" w:hAnsi="Arial"/>
                <w:sz w:val="14"/>
                <w:szCs w:val="14"/>
                <w:b w:val="1"/>
                <w:bCs w:val="1"/>
                <w:color w:val="auto"/>
              </w:rPr>
              <w:t>Retained</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140"/>
              <w:spacing w:after="0" w:line="149" w:lineRule="exact"/>
              <w:rPr>
                <w:sz w:val="20"/>
                <w:szCs w:val="20"/>
                <w:color w:val="auto"/>
              </w:rPr>
            </w:pPr>
            <w:r>
              <w:rPr>
                <w:rFonts w:ascii="Arial" w:cs="Arial" w:eastAsia="Arial" w:hAnsi="Arial"/>
                <w:sz w:val="14"/>
                <w:szCs w:val="14"/>
                <w:b w:val="1"/>
                <w:bCs w:val="1"/>
                <w:color w:val="auto"/>
              </w:rPr>
              <w:t>Unearned</w:t>
            </w:r>
          </w:p>
        </w:tc>
        <w:tc>
          <w:tcPr>
            <w:tcW w:w="12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w w:val="86"/>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ind w:left="200"/>
              <w:spacing w:after="0"/>
              <w:rPr>
                <w:sz w:val="20"/>
                <w:szCs w:val="20"/>
                <w:color w:val="auto"/>
              </w:rPr>
            </w:pPr>
            <w:r>
              <w:rPr>
                <w:rFonts w:ascii="Arial" w:cs="Arial" w:eastAsia="Arial" w:hAnsi="Arial"/>
                <w:sz w:val="14"/>
                <w:szCs w:val="14"/>
                <w:b w:val="1"/>
                <w:bCs w:val="1"/>
                <w:color w:val="auto"/>
              </w:rPr>
              <w:t>Stock</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3"/>
              </w:rPr>
              <w:t>Stock</w:t>
            </w:r>
          </w:p>
        </w:tc>
        <w:tc>
          <w:tcPr>
            <w:tcW w:w="140" w:type="dxa"/>
            <w:vAlign w:val="bottom"/>
          </w:tcPr>
          <w:p>
            <w:pPr>
              <w:spacing w:after="0"/>
              <w:rPr>
                <w:sz w:val="15"/>
                <w:szCs w:val="15"/>
                <w:color w:val="auto"/>
              </w:rPr>
            </w:pPr>
          </w:p>
        </w:tc>
        <w:tc>
          <w:tcPr>
            <w:tcW w:w="920" w:type="dxa"/>
            <w:vAlign w:val="bottom"/>
          </w:tcPr>
          <w:p>
            <w:pPr>
              <w:ind w:left="100"/>
              <w:spacing w:after="0"/>
              <w:rPr>
                <w:sz w:val="20"/>
                <w:szCs w:val="20"/>
                <w:color w:val="auto"/>
              </w:rPr>
            </w:pPr>
            <w:r>
              <w:rPr>
                <w:rFonts w:ascii="Arial" w:cs="Arial" w:eastAsia="Arial" w:hAnsi="Arial"/>
                <w:sz w:val="14"/>
                <w:szCs w:val="14"/>
                <w:b w:val="1"/>
                <w:bCs w:val="1"/>
                <w:color w:val="auto"/>
              </w:rPr>
              <w:t>Par Value</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tcPr>
          <w:p>
            <w:pPr>
              <w:jc w:val="right"/>
              <w:ind w:right="212"/>
              <w:spacing w:after="0"/>
              <w:rPr>
                <w:sz w:val="20"/>
                <w:szCs w:val="20"/>
                <w:color w:val="auto"/>
              </w:rPr>
            </w:pPr>
            <w:r>
              <w:rPr>
                <w:rFonts w:ascii="Arial" w:cs="Arial" w:eastAsia="Arial" w:hAnsi="Arial"/>
                <w:sz w:val="14"/>
                <w:szCs w:val="14"/>
                <w:b w:val="1"/>
                <w:bCs w:val="1"/>
                <w:color w:val="auto"/>
              </w:rPr>
              <w:t>Earnings</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Compensation</w:t>
            </w:r>
          </w:p>
        </w:tc>
        <w:tc>
          <w:tcPr>
            <w:tcW w:w="12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6"/>
              </w:rPr>
              <w:t>Income (Loss)</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2002</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14,429</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1,910,994</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523,354</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(413)</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2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(91,115)</w:t>
            </w: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2,358,787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160" w:type="dxa"/>
            <w:vAlign w:val="bottom"/>
          </w:tcPr>
          <w:p>
            <w:pPr>
              <w:spacing w:after="0"/>
              <w:rPr>
                <w:sz w:val="12"/>
                <w:szCs w:val="12"/>
                <w:color w:val="auto"/>
              </w:rPr>
            </w:pPr>
          </w:p>
        </w:tc>
        <w:tc>
          <w:tcPr>
            <w:tcW w:w="90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26,842</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26,842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111,369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111,369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Minimum pension liability adjustment</w:t>
            </w:r>
          </w:p>
        </w:tc>
        <w:tc>
          <w:tcPr>
            <w:tcW w:w="160" w:type="dxa"/>
            <w:vAlign w:val="bottom"/>
          </w:tcPr>
          <w:p>
            <w:pPr>
              <w:spacing w:after="0"/>
              <w:rPr>
                <w:sz w:val="12"/>
                <w:szCs w:val="12"/>
                <w:color w:val="auto"/>
              </w:rPr>
            </w:pPr>
          </w:p>
        </w:tc>
        <w:tc>
          <w:tcPr>
            <w:tcW w:w="90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5,016</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5,016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Unrealized gain (loss) on available for sale</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securities</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ind w:left="7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0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1,622</w:t>
            </w:r>
          </w:p>
        </w:tc>
        <w:tc>
          <w:tcPr>
            <w:tcW w:w="1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1,622</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Gain on derivative financial instruments</w:t>
            </w:r>
          </w:p>
        </w:tc>
        <w:tc>
          <w:tcPr>
            <w:tcW w:w="160" w:type="dxa"/>
            <w:vAlign w:val="bottom"/>
          </w:tcPr>
          <w:p>
            <w:pPr>
              <w:spacing w:after="0"/>
              <w:rPr>
                <w:sz w:val="14"/>
                <w:szCs w:val="14"/>
                <w:color w:val="auto"/>
              </w:rPr>
            </w:pP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ind w:left="7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2,462</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2,462</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9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Pr>
          <w:p>
            <w:pPr>
              <w:spacing w:after="0"/>
              <w:rPr>
                <w:sz w:val="7"/>
                <w:szCs w:val="7"/>
                <w:color w:val="auto"/>
              </w:rPr>
            </w:pPr>
          </w:p>
        </w:tc>
        <w:tc>
          <w:tcPr>
            <w:tcW w:w="90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147,311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issued (14,000 shares)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85"/>
              </w:rPr>
              <w:t>212</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(214)</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w w:val="97"/>
              </w:rPr>
              <w:t>Stock options exercised (356,313 shares)</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36</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4,704</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4,740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Fair value of modifications to</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nonemployee stock options</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1,776</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98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1,776</w:t>
            </w: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Tax effects relating to stock plan</w:t>
            </w:r>
          </w:p>
        </w:tc>
        <w:tc>
          <w:tcPr>
            <w:tcW w:w="160" w:type="dxa"/>
            <w:vAlign w:val="bottom"/>
          </w:tcPr>
          <w:p>
            <w:pPr>
              <w:spacing w:after="0"/>
              <w:rPr>
                <w:sz w:val="12"/>
                <w:szCs w:val="12"/>
                <w:color w:val="auto"/>
              </w:rPr>
            </w:pPr>
          </w:p>
        </w:tc>
        <w:tc>
          <w:tcPr>
            <w:tcW w:w="90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1,099</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1,099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Conversions from Class B to common</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(1,018 shares)</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ind w:left="7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Amortization of unearned compensation</w:t>
            </w:r>
          </w:p>
        </w:tc>
        <w:tc>
          <w:tcPr>
            <w:tcW w:w="160" w:type="dxa"/>
            <w:vAlign w:val="bottom"/>
          </w:tcPr>
          <w:p>
            <w:pPr>
              <w:spacing w:after="0"/>
              <w:rPr>
                <w:sz w:val="14"/>
                <w:szCs w:val="14"/>
                <w:color w:val="auto"/>
              </w:rPr>
            </w:pP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w w:val="94"/>
              </w:rPr>
              <w:t>321</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2003</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14,467</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1,538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1,918,785</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550,196</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(306)</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29,354</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2,514,034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160" w:type="dxa"/>
            <w:vAlign w:val="bottom"/>
          </w:tcPr>
          <w:p>
            <w:pPr>
              <w:spacing w:after="0"/>
              <w:rPr>
                <w:sz w:val="12"/>
                <w:szCs w:val="12"/>
                <w:color w:val="auto"/>
              </w:rPr>
            </w:pPr>
          </w:p>
        </w:tc>
        <w:tc>
          <w:tcPr>
            <w:tcW w:w="90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44,696</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44,696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85,549</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85,549</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Minimum pension liability adjustment</w:t>
            </w:r>
          </w:p>
        </w:tc>
        <w:tc>
          <w:tcPr>
            <w:tcW w:w="160" w:type="dxa"/>
            <w:vAlign w:val="bottom"/>
          </w:tcPr>
          <w:p>
            <w:pPr>
              <w:spacing w:after="0"/>
              <w:rPr>
                <w:sz w:val="12"/>
                <w:szCs w:val="12"/>
                <w:color w:val="auto"/>
              </w:rPr>
            </w:pPr>
          </w:p>
        </w:tc>
        <w:tc>
          <w:tcPr>
            <w:tcW w:w="90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80" w:type="dxa"/>
            <w:vAlign w:val="bottom"/>
          </w:tcPr>
          <w:p>
            <w:pPr>
              <w:jc w:val="right"/>
              <w:spacing w:after="0" w:line="149" w:lineRule="exact"/>
              <w:rPr>
                <w:sz w:val="20"/>
                <w:szCs w:val="20"/>
                <w:color w:val="auto"/>
              </w:rPr>
            </w:pPr>
            <w:r>
              <w:rPr>
                <w:rFonts w:ascii="Arial" w:cs="Arial" w:eastAsia="Arial" w:hAnsi="Arial"/>
                <w:sz w:val="14"/>
                <w:szCs w:val="14"/>
                <w:color w:val="auto"/>
              </w:rPr>
              <w:t>20,150</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20,150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5"/>
              </w:rPr>
              <w:t>Unrealized gain (loss) on available for sale</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securities</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ind w:left="660"/>
              <w:spacing w:after="0" w:line="15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ind w:left="7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100"/>
              <w:spacing w:after="0" w:line="159" w:lineRule="exact"/>
              <w:rPr>
                <w:sz w:val="20"/>
                <w:szCs w:val="20"/>
                <w:color w:val="auto"/>
              </w:rPr>
            </w:pPr>
            <w:r>
              <w:rPr>
                <w:rFonts w:ascii="Arial" w:cs="Arial" w:eastAsia="Arial" w:hAnsi="Arial"/>
                <w:sz w:val="14"/>
                <w:szCs w:val="14"/>
                <w:color w:val="auto"/>
              </w:rPr>
              <w:t>(1,321)</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80"/>
              <w:spacing w:after="0" w:line="159" w:lineRule="exact"/>
              <w:rPr>
                <w:sz w:val="20"/>
                <w:szCs w:val="20"/>
                <w:color w:val="auto"/>
              </w:rPr>
            </w:pPr>
            <w:r>
              <w:rPr>
                <w:rFonts w:ascii="Arial" w:cs="Arial" w:eastAsia="Arial" w:hAnsi="Arial"/>
                <w:sz w:val="14"/>
                <w:szCs w:val="14"/>
                <w:color w:val="auto"/>
              </w:rPr>
              <w:t>(1,321)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income</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149,074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issued (2,000 shares)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(31)</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tcPr>
          <w:p>
            <w:pPr>
              <w:spacing w:after="0" w:line="138" w:lineRule="exact"/>
              <w:rPr>
                <w:sz w:val="20"/>
                <w:szCs w:val="20"/>
                <w:color w:val="auto"/>
              </w:rPr>
            </w:pPr>
            <w:r>
              <w:rPr>
                <w:rFonts w:ascii="Arial" w:cs="Arial" w:eastAsia="Arial" w:hAnsi="Arial"/>
                <w:sz w:val="14"/>
                <w:szCs w:val="14"/>
                <w:color w:val="auto"/>
              </w:rPr>
              <w:t>Stock issued for LYONs repurchase</w:t>
            </w: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ind w:left="200"/>
              <w:spacing w:after="0" w:line="149" w:lineRule="exact"/>
              <w:rPr>
                <w:sz w:val="20"/>
                <w:szCs w:val="20"/>
                <w:color w:val="auto"/>
              </w:rPr>
            </w:pPr>
            <w:r>
              <w:rPr>
                <w:rFonts w:ascii="Arial" w:cs="Arial" w:eastAsia="Arial" w:hAnsi="Arial"/>
                <w:sz w:val="14"/>
                <w:szCs w:val="14"/>
                <w:color w:val="auto"/>
              </w:rPr>
              <w:t>(5,534,905 shares), net of issuance</w:t>
            </w: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tcPr>
          <w:p>
            <w:pPr>
              <w:ind w:left="200"/>
              <w:spacing w:after="0" w:line="159" w:lineRule="exact"/>
              <w:rPr>
                <w:sz w:val="20"/>
                <w:szCs w:val="20"/>
                <w:color w:val="auto"/>
              </w:rPr>
            </w:pPr>
            <w:r>
              <w:rPr>
                <w:rFonts w:ascii="Arial" w:cs="Arial" w:eastAsia="Arial" w:hAnsi="Arial"/>
                <w:sz w:val="14"/>
                <w:szCs w:val="14"/>
                <w:color w:val="auto"/>
              </w:rPr>
              <w:t>costs</w:t>
            </w:r>
          </w:p>
        </w:tc>
        <w:tc>
          <w:tcPr>
            <w:tcW w:w="160" w:type="dxa"/>
            <w:vAlign w:val="bottom"/>
          </w:tcPr>
          <w:p>
            <w:pPr>
              <w:spacing w:after="0"/>
              <w:rPr>
                <w:sz w:val="13"/>
                <w:szCs w:val="13"/>
                <w:color w:val="auto"/>
              </w:rPr>
            </w:pPr>
          </w:p>
        </w:tc>
        <w:tc>
          <w:tcPr>
            <w:tcW w:w="900" w:type="dxa"/>
            <w:vAlign w:val="bottom"/>
          </w:tcPr>
          <w:p>
            <w:pPr>
              <w:ind w:left="660"/>
              <w:spacing w:after="0" w:line="159" w:lineRule="exact"/>
              <w:rPr>
                <w:sz w:val="20"/>
                <w:szCs w:val="20"/>
                <w:color w:val="auto"/>
              </w:rPr>
            </w:pPr>
            <w:r>
              <w:rPr>
                <w:rFonts w:ascii="Arial" w:cs="Arial" w:eastAsia="Arial" w:hAnsi="Arial"/>
                <w:sz w:val="14"/>
                <w:szCs w:val="14"/>
                <w:color w:val="auto"/>
                <w:w w:val="94"/>
              </w:rPr>
              <w:t>553</w:t>
            </w: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gridSpan w:val="2"/>
          </w:tcPr>
          <w:p>
            <w:pPr>
              <w:jc w:val="right"/>
              <w:ind w:right="2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920" w:type="dxa"/>
            <w:vAlign w:val="bottom"/>
          </w:tcPr>
          <w:p>
            <w:pPr>
              <w:jc w:val="right"/>
              <w:spacing w:after="0" w:line="159" w:lineRule="exact"/>
              <w:rPr>
                <w:sz w:val="20"/>
                <w:szCs w:val="20"/>
                <w:color w:val="auto"/>
              </w:rPr>
            </w:pPr>
            <w:r>
              <w:rPr>
                <w:rFonts w:ascii="Arial" w:cs="Arial" w:eastAsia="Arial" w:hAnsi="Arial"/>
                <w:sz w:val="14"/>
                <w:szCs w:val="14"/>
                <w:color w:val="auto"/>
              </w:rPr>
              <w:t>98,843</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ind w:left="74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1200" w:type="dxa"/>
            <w:vAlign w:val="bottom"/>
            <w:gridSpan w:val="2"/>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jc w:val="right"/>
              <w:spacing w:after="0" w:line="159" w:lineRule="exact"/>
              <w:rPr>
                <w:sz w:val="20"/>
                <w:szCs w:val="20"/>
                <w:color w:val="auto"/>
              </w:rPr>
            </w:pPr>
            <w:r>
              <w:rPr>
                <w:rFonts w:ascii="Arial" w:cs="Arial" w:eastAsia="Arial" w:hAnsi="Arial"/>
                <w:sz w:val="14"/>
                <w:szCs w:val="14"/>
                <w:color w:val="auto"/>
              </w:rPr>
              <w:t>99,396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phantom stock grants</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85"/>
              </w:rPr>
              <w:t>561</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561</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w w:val="97"/>
              </w:rPr>
              <w:t>Stock options exercised (515,204 shares)</w:t>
            </w:r>
          </w:p>
        </w:tc>
        <w:tc>
          <w:tcPr>
            <w:tcW w:w="16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52</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color w:val="auto"/>
              </w:rPr>
              <w:t>9,033</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9,085</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effects relating to stock plan</w:t>
            </w: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4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shd w:val="clear" w:color="auto" w:fill="CCEEFF"/>
          </w:tcPr>
          <w:p>
            <w:pPr>
              <w:ind w:left="700"/>
              <w:spacing w:after="0" w:line="149" w:lineRule="exact"/>
              <w:rPr>
                <w:sz w:val="20"/>
                <w:szCs w:val="20"/>
                <w:color w:val="auto"/>
              </w:rPr>
            </w:pPr>
            <w:r>
              <w:rPr>
                <w:rFonts w:ascii="Arial" w:cs="Arial" w:eastAsia="Arial" w:hAnsi="Arial"/>
                <w:sz w:val="14"/>
                <w:szCs w:val="14"/>
                <w:color w:val="auto"/>
                <w:w w:val="85"/>
              </w:rPr>
              <w:t>100</w:t>
            </w: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0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540" w:type="dxa"/>
            <w:vAlign w:val="bottom"/>
          </w:tcPr>
          <w:p>
            <w:pPr>
              <w:spacing w:after="0" w:line="149" w:lineRule="exact"/>
              <w:rPr>
                <w:sz w:val="20"/>
                <w:szCs w:val="20"/>
                <w:color w:val="auto"/>
              </w:rPr>
            </w:pPr>
            <w:r>
              <w:rPr>
                <w:rFonts w:ascii="Arial" w:cs="Arial" w:eastAsia="Arial" w:hAnsi="Arial"/>
                <w:sz w:val="14"/>
                <w:szCs w:val="14"/>
                <w:color w:val="auto"/>
              </w:rPr>
              <w:t>Options issued – RFWaves acquisition</w:t>
            </w:r>
          </w:p>
        </w:tc>
        <w:tc>
          <w:tcPr>
            <w:tcW w:w="160" w:type="dxa"/>
            <w:vAlign w:val="bottom"/>
          </w:tcPr>
          <w:p>
            <w:pPr>
              <w:spacing w:after="0"/>
              <w:rPr>
                <w:sz w:val="12"/>
                <w:szCs w:val="12"/>
                <w:color w:val="auto"/>
              </w:rPr>
            </w:pPr>
          </w:p>
        </w:tc>
        <w:tc>
          <w:tcPr>
            <w:tcW w:w="900" w:type="dxa"/>
            <w:vAlign w:val="bottom"/>
          </w:tcPr>
          <w:p>
            <w:pPr>
              <w:ind w:left="66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tcPr>
          <w:p>
            <w:pPr>
              <w:ind w:left="700"/>
              <w:spacing w:after="0" w:line="149" w:lineRule="exact"/>
              <w:rPr>
                <w:sz w:val="20"/>
                <w:szCs w:val="20"/>
                <w:color w:val="auto"/>
              </w:rPr>
            </w:pPr>
            <w:r>
              <w:rPr>
                <w:rFonts w:ascii="Arial" w:cs="Arial" w:eastAsia="Arial" w:hAnsi="Arial"/>
                <w:sz w:val="14"/>
                <w:szCs w:val="14"/>
                <w:color w:val="auto"/>
                <w:w w:val="85"/>
              </w:rPr>
              <w:t>900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0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2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jc w:val="right"/>
              <w:spacing w:after="0" w:line="149" w:lineRule="exact"/>
              <w:rPr>
                <w:sz w:val="20"/>
                <w:szCs w:val="20"/>
                <w:color w:val="auto"/>
              </w:rPr>
            </w:pPr>
            <w:r>
              <w:rPr>
                <w:rFonts w:ascii="Arial" w:cs="Arial" w:eastAsia="Arial" w:hAnsi="Arial"/>
                <w:sz w:val="14"/>
                <w:szCs w:val="14"/>
                <w:color w:val="auto"/>
              </w:rPr>
              <w:t>900</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54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Conversions from Class B to common</w:t>
            </w: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54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(702,856 shares)</w:t>
            </w: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70</w:t>
            </w:r>
          </w:p>
        </w:tc>
        <w:tc>
          <w:tcPr>
            <w:tcW w:w="1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4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(70)</w:t>
            </w:r>
          </w:p>
        </w:tc>
        <w:tc>
          <w:tcPr>
            <w:tcW w:w="140" w:type="dxa"/>
            <w:vAlign w:val="bottom"/>
            <w:shd w:val="clear" w:color="auto" w:fill="CCEEFF"/>
          </w:tcPr>
          <w:p>
            <w:pPr>
              <w:spacing w:after="0"/>
              <w:rPr>
                <w:sz w:val="13"/>
                <w:szCs w:val="13"/>
                <w:color w:val="auto"/>
              </w:rPr>
            </w:pPr>
          </w:p>
        </w:tc>
        <w:tc>
          <w:tcPr>
            <w:tcW w:w="920" w:type="dxa"/>
            <w:vAlign w:val="bottom"/>
            <w:shd w:val="clear" w:color="auto" w:fill="CCEEFF"/>
          </w:tcPr>
          <w:p>
            <w:pPr>
              <w:ind w:left="700"/>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00" w:type="dxa"/>
            <w:vAlign w:val="bottom"/>
            <w:shd w:val="clear" w:color="auto" w:fill="CCEEFF"/>
          </w:tcPr>
          <w:p>
            <w:pPr>
              <w:jc w:val="right"/>
              <w:ind w:right="32"/>
              <w:spacing w:after="0" w:line="15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60" w:type="dxa"/>
            <w:vAlign w:val="bottom"/>
            <w:gridSpan w:val="2"/>
            <w:shd w:val="clear" w:color="auto" w:fill="CCEEFF"/>
          </w:tcPr>
          <w:p>
            <w:pPr>
              <w:ind w:left="74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1200" w:type="dxa"/>
            <w:vAlign w:val="bottom"/>
            <w:gridSpan w:val="2"/>
            <w:shd w:val="clear" w:color="auto" w:fill="CCEEFF"/>
          </w:tcPr>
          <w:p>
            <w:pPr>
              <w:jc w:val="right"/>
              <w:ind w:right="20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080" w:type="dxa"/>
            <w:vAlign w:val="bottom"/>
            <w:gridSpan w:val="2"/>
            <w:shd w:val="clear" w:color="auto" w:fill="CCEEFF"/>
          </w:tcPr>
          <w:p>
            <w:pPr>
              <w:jc w:val="right"/>
              <w:ind w:right="18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540" w:type="dxa"/>
            <w:vAlign w:val="bottom"/>
          </w:tcPr>
          <w:p>
            <w:pPr>
              <w:spacing w:after="0"/>
              <w:rPr>
                <w:sz w:val="20"/>
                <w:szCs w:val="20"/>
                <w:color w:val="auto"/>
              </w:rPr>
            </w:pPr>
            <w:r>
              <w:rPr>
                <w:rFonts w:ascii="Arial" w:cs="Arial" w:eastAsia="Arial" w:hAnsi="Arial"/>
                <w:sz w:val="14"/>
                <w:szCs w:val="14"/>
                <w:color w:val="auto"/>
              </w:rPr>
              <w:t>Amortization of unearned compensation</w:t>
            </w:r>
          </w:p>
        </w:tc>
        <w:tc>
          <w:tcPr>
            <w:tcW w:w="160" w:type="dxa"/>
            <w:vAlign w:val="bottom"/>
          </w:tcPr>
          <w:p>
            <w:pPr>
              <w:spacing w:after="0"/>
              <w:rPr>
                <w:sz w:val="14"/>
                <w:szCs w:val="14"/>
                <w:color w:val="auto"/>
              </w:rPr>
            </w:pPr>
          </w:p>
        </w:tc>
        <w:tc>
          <w:tcPr>
            <w:tcW w:w="900" w:type="dxa"/>
            <w:vAlign w:val="bottom"/>
          </w:tcPr>
          <w:p>
            <w:pPr>
              <w:ind w:left="66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tcPr>
          <w:p>
            <w:pPr>
              <w:ind w:left="7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jc w:val="right"/>
              <w:ind w:right="32"/>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ind w:left="740"/>
              <w:spacing w:after="0"/>
              <w:rPr>
                <w:sz w:val="20"/>
                <w:szCs w:val="20"/>
                <w:color w:val="auto"/>
              </w:rPr>
            </w:pPr>
            <w:r>
              <w:rPr>
                <w:rFonts w:ascii="Arial" w:cs="Arial" w:eastAsia="Arial" w:hAnsi="Arial"/>
                <w:sz w:val="14"/>
                <w:szCs w:val="14"/>
                <w:color w:val="auto"/>
                <w:w w:val="94"/>
              </w:rPr>
              <w:t>185</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185</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54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900" w:type="dxa"/>
            <w:vAlign w:val="bottom"/>
            <w:tcBorders>
              <w:bottom w:val="single" w:sz="8" w:color="auto"/>
            </w:tcBorders>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8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9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4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90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5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160" w:type="dxa"/>
            <w:vAlign w:val="bottom"/>
            <w:shd w:val="clear" w:color="auto" w:fill="CCEEFF"/>
          </w:tcPr>
          <w:p>
            <w:pPr>
              <w:jc w:val="right"/>
              <w:ind w:right="49"/>
              <w:spacing w:after="0"/>
              <w:rPr>
                <w:sz w:val="20"/>
                <w:szCs w:val="20"/>
                <w:color w:val="auto"/>
              </w:rPr>
            </w:pPr>
            <w:r>
              <w:rPr>
                <w:rFonts w:ascii="Arial" w:cs="Arial" w:eastAsia="Arial" w:hAnsi="Arial"/>
                <w:sz w:val="10"/>
                <w:szCs w:val="10"/>
                <w:color w:val="auto"/>
                <w:w w:val="71"/>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15,142</w:t>
            </w:r>
          </w:p>
        </w:tc>
        <w:tc>
          <w:tcPr>
            <w:tcW w:w="3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1,468</w:t>
            </w: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2,028,253</w:t>
            </w:r>
          </w:p>
        </w:tc>
        <w:tc>
          <w:tcPr>
            <w:tcW w:w="36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594,892</w:t>
            </w:r>
          </w:p>
        </w:tc>
        <w:tc>
          <w:tcPr>
            <w:tcW w:w="2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(152)</w:t>
            </w: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133,732</w:t>
            </w:r>
          </w:p>
        </w:tc>
        <w:tc>
          <w:tcPr>
            <w:tcW w:w="120" w:type="dxa"/>
            <w:vAlign w:val="bottom"/>
            <w:shd w:val="clear" w:color="auto" w:fill="CCEEFF"/>
          </w:tcPr>
          <w:p>
            <w:pPr>
              <w:spacing w:after="0"/>
              <w:rPr>
                <w:sz w:val="12"/>
                <w:szCs w:val="12"/>
                <w:color w:val="auto"/>
              </w:rPr>
            </w:pPr>
          </w:p>
        </w:tc>
        <w:tc>
          <w:tcPr>
            <w:tcW w:w="2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2,773,335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Continues on following page.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420"/>
          </w:cols>
          <w:pgMar w:left="240" w:top="584" w:right="239" w:bottom="1440" w:gutter="0" w:footer="0" w:header="0"/>
        </w:sectPr>
      </w:pPr>
    </w:p>
    <w:bookmarkStart w:id="68" w:name="page69"/>
    <w:bookmarkEnd w:id="68"/>
    <w:p>
      <w:pPr>
        <w:spacing w:after="0"/>
        <w:rPr>
          <w:sz w:val="20"/>
          <w:szCs w:val="20"/>
          <w:color w:val="auto"/>
        </w:rPr>
      </w:pPr>
      <w:r>
        <w:rPr>
          <w:rFonts w:ascii="Arial" w:cs="Arial" w:eastAsia="Arial" w:hAnsi="Arial"/>
          <w:sz w:val="18"/>
          <w:szCs w:val="18"/>
          <w:b w:val="1"/>
          <w:bCs w:val="1"/>
          <w:color w:val="auto"/>
        </w:rPr>
        <w:t>VISHAY INTERTECHNOLOGY,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Stockholders’ Equity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 except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jc w:val="center"/>
              <w:ind w:right="92"/>
              <w:spacing w:after="0"/>
              <w:rPr>
                <w:sz w:val="20"/>
                <w:szCs w:val="20"/>
                <w:color w:val="auto"/>
              </w:rPr>
            </w:pPr>
            <w:r>
              <w:rPr>
                <w:rFonts w:ascii="Arial" w:cs="Arial" w:eastAsia="Arial" w:hAnsi="Arial"/>
                <w:sz w:val="14"/>
                <w:szCs w:val="14"/>
                <w:b w:val="1"/>
                <w:bCs w:val="1"/>
                <w:color w:val="auto"/>
                <w:w w:val="85"/>
              </w:rPr>
              <w:t>Class B</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6"/>
              </w:rPr>
              <w:t>Accumulated</w:t>
            </w: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8"/>
              </w:rPr>
              <w:t>Convertible</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91"/>
              </w:rPr>
              <w:t>Capital in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6"/>
              </w:rPr>
              <w:t>Other</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9"/>
              </w:rPr>
              <w:t>Total</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2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w w:val="98"/>
              </w:rPr>
              <w:t>Common</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92"/>
              <w:spacing w:after="0" w:line="149" w:lineRule="exact"/>
              <w:rPr>
                <w:sz w:val="20"/>
                <w:szCs w:val="20"/>
                <w:color w:val="auto"/>
              </w:rPr>
            </w:pPr>
            <w:r>
              <w:rPr>
                <w:rFonts w:ascii="Arial" w:cs="Arial" w:eastAsia="Arial" w:hAnsi="Arial"/>
                <w:sz w:val="14"/>
                <w:szCs w:val="14"/>
                <w:b w:val="1"/>
                <w:bCs w:val="1"/>
                <w:color w:val="auto"/>
                <w:w w:val="85"/>
              </w:rPr>
              <w:t>Common</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ind w:right="112"/>
              <w:spacing w:after="0" w:line="149" w:lineRule="exact"/>
              <w:rPr>
                <w:sz w:val="20"/>
                <w:szCs w:val="20"/>
                <w:color w:val="auto"/>
              </w:rPr>
            </w:pPr>
            <w:r>
              <w:rPr>
                <w:rFonts w:ascii="Arial" w:cs="Arial" w:eastAsia="Arial" w:hAnsi="Arial"/>
                <w:sz w:val="14"/>
                <w:szCs w:val="14"/>
                <w:b w:val="1"/>
                <w:bCs w:val="1"/>
                <w:color w:val="auto"/>
                <w:w w:val="82"/>
              </w:rPr>
              <w:t>Excess of</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Retained</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rPr>
              <w:t>Unearned</w:t>
            </w:r>
          </w:p>
        </w:tc>
        <w:tc>
          <w:tcPr>
            <w:tcW w:w="140" w:type="dxa"/>
            <w:vAlign w:val="bottom"/>
          </w:tcPr>
          <w:p>
            <w:pPr>
              <w:spacing w:after="0"/>
              <w:rPr>
                <w:sz w:val="12"/>
                <w:szCs w:val="12"/>
                <w:color w:val="auto"/>
              </w:rPr>
            </w:pPr>
          </w:p>
        </w:tc>
        <w:tc>
          <w:tcPr>
            <w:tcW w:w="120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5"/>
              </w:rPr>
              <w:t>Comprehensive</w:t>
            </w: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4"/>
              </w:rPr>
              <w:t>Stockholders’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Stock</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center"/>
              <w:ind w:right="92"/>
              <w:spacing w:after="0"/>
              <w:rPr>
                <w:sz w:val="20"/>
                <w:szCs w:val="20"/>
                <w:color w:val="auto"/>
              </w:rPr>
            </w:pPr>
            <w:r>
              <w:rPr>
                <w:rFonts w:ascii="Arial" w:cs="Arial" w:eastAsia="Arial" w:hAnsi="Arial"/>
                <w:sz w:val="14"/>
                <w:szCs w:val="14"/>
                <w:b w:val="1"/>
                <w:bCs w:val="1"/>
                <w:color w:val="auto"/>
                <w:w w:val="83"/>
              </w:rPr>
              <w:t>Stock</w:t>
            </w: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jc w:val="center"/>
              <w:ind w:right="112"/>
              <w:spacing w:after="0"/>
              <w:rPr>
                <w:sz w:val="20"/>
                <w:szCs w:val="20"/>
                <w:color w:val="auto"/>
              </w:rPr>
            </w:pPr>
            <w:r>
              <w:rPr>
                <w:rFonts w:ascii="Arial" w:cs="Arial" w:eastAsia="Arial" w:hAnsi="Arial"/>
                <w:sz w:val="14"/>
                <w:szCs w:val="14"/>
                <w:b w:val="1"/>
                <w:bCs w:val="1"/>
                <w:color w:val="auto"/>
                <w:w w:val="90"/>
              </w:rPr>
              <w:t>Par Value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jc w:val="right"/>
              <w:ind w:right="232"/>
              <w:spacing w:after="0"/>
              <w:rPr>
                <w:sz w:val="20"/>
                <w:szCs w:val="20"/>
                <w:color w:val="auto"/>
              </w:rPr>
            </w:pPr>
            <w:r>
              <w:rPr>
                <w:rFonts w:ascii="Arial" w:cs="Arial" w:eastAsia="Arial" w:hAnsi="Arial"/>
                <w:sz w:val="14"/>
                <w:szCs w:val="14"/>
                <w:b w:val="1"/>
                <w:bCs w:val="1"/>
                <w:color w:val="auto"/>
              </w:rPr>
              <w:t>Earnings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Compensation</w:t>
            </w:r>
          </w:p>
        </w:tc>
        <w:tc>
          <w:tcPr>
            <w:tcW w:w="140" w:type="dxa"/>
            <w:vAlign w:val="bottom"/>
          </w:tcPr>
          <w:p>
            <w:pPr>
              <w:spacing w:after="0"/>
              <w:rPr>
                <w:sz w:val="15"/>
                <w:szCs w:val="15"/>
                <w:color w:val="auto"/>
              </w:rPr>
            </w:pPr>
          </w:p>
        </w:tc>
        <w:tc>
          <w:tcPr>
            <w:tcW w:w="12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4"/>
              </w:rPr>
              <w:t>Income (Loss)</w:t>
            </w:r>
          </w:p>
        </w:tc>
        <w:tc>
          <w:tcPr>
            <w:tcW w:w="160" w:type="dxa"/>
            <w:vAlign w:val="bottom"/>
          </w:tcPr>
          <w:p>
            <w:pPr>
              <w:spacing w:after="0"/>
              <w:rPr>
                <w:sz w:val="15"/>
                <w:szCs w:val="15"/>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Equity</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8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2004</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15,142</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1,468</w:t>
            </w:r>
          </w:p>
        </w:tc>
        <w:tc>
          <w:tcPr>
            <w:tcW w:w="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2,028,253</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594,892</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(152)</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133,732</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2,773,335</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Net earnings</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ind w:left="7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62,274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0" w:type="dxa"/>
            <w:vAlign w:val="bottom"/>
            <w:gridSpan w:val="2"/>
          </w:tcPr>
          <w:p>
            <w:pPr>
              <w:ind w:left="90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62,274</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Foreign currency translation adjustment</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ind w:left="592"/>
              <w:spacing w:after="0" w:line="149" w:lineRule="exact"/>
              <w:rPr>
                <w:sz w:val="20"/>
                <w:szCs w:val="20"/>
                <w:color w:val="auto"/>
              </w:rPr>
            </w:pPr>
            <w:r>
              <w:rPr>
                <w:rFonts w:ascii="Arial" w:cs="Arial" w:eastAsia="Arial" w:hAnsi="Arial"/>
                <w:sz w:val="14"/>
                <w:szCs w:val="14"/>
                <w:b w:val="1"/>
                <w:bCs w:val="1"/>
                <w:color w:val="auto"/>
                <w:w w:val="99"/>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(104,262)</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(104,262)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Minimum pension liability adjustment</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ind w:left="7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0" w:type="dxa"/>
            <w:vAlign w:val="bottom"/>
            <w:gridSpan w:val="2"/>
          </w:tcPr>
          <w:p>
            <w:pPr>
              <w:jc w:val="right"/>
              <w:ind w:right="60"/>
              <w:spacing w:after="0" w:line="149" w:lineRule="exact"/>
              <w:rPr>
                <w:sz w:val="20"/>
                <w:szCs w:val="20"/>
                <w:color w:val="auto"/>
              </w:rPr>
            </w:pPr>
            <w:r>
              <w:rPr>
                <w:rFonts w:ascii="Arial" w:cs="Arial" w:eastAsia="Arial" w:hAnsi="Arial"/>
                <w:sz w:val="14"/>
                <w:szCs w:val="14"/>
                <w:b w:val="1"/>
                <w:bCs w:val="1"/>
                <w:color w:val="auto"/>
              </w:rPr>
              <w:t>(75,319)</w:t>
            </w:r>
          </w:p>
        </w:tc>
        <w:tc>
          <w:tcPr>
            <w:tcW w:w="160" w:type="dxa"/>
            <w:vAlign w:val="bottom"/>
          </w:tcPr>
          <w:p>
            <w:pPr>
              <w:spacing w:after="0"/>
              <w:rPr>
                <w:sz w:val="12"/>
                <w:szCs w:val="12"/>
                <w:color w:val="auto"/>
              </w:rPr>
            </w:pPr>
          </w:p>
        </w:tc>
        <w:tc>
          <w:tcPr>
            <w:tcW w:w="1100" w:type="dxa"/>
            <w:vAlign w:val="bottom"/>
            <w:gridSpan w:val="2"/>
          </w:tcPr>
          <w:p>
            <w:pPr>
              <w:jc w:val="right"/>
              <w:ind w:right="80"/>
              <w:spacing w:after="0" w:line="149" w:lineRule="exact"/>
              <w:rPr>
                <w:sz w:val="20"/>
                <w:szCs w:val="20"/>
                <w:color w:val="auto"/>
              </w:rPr>
            </w:pPr>
            <w:r>
              <w:rPr>
                <w:rFonts w:ascii="Arial" w:cs="Arial" w:eastAsia="Arial" w:hAnsi="Arial"/>
                <w:sz w:val="14"/>
                <w:szCs w:val="14"/>
                <w:b w:val="1"/>
                <w:bCs w:val="1"/>
                <w:color w:val="auto"/>
              </w:rPr>
              <w:t>(75,319)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Unrealized gain (loss) on available for sale</w:t>
            </w:r>
          </w:p>
        </w:tc>
        <w:tc>
          <w:tcPr>
            <w:tcW w:w="1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center"/>
              <w:ind w:left="592"/>
              <w:spacing w:after="0"/>
              <w:rPr>
                <w:sz w:val="20"/>
                <w:szCs w:val="20"/>
                <w:color w:val="auto"/>
              </w:rPr>
            </w:pPr>
            <w:r>
              <w:rPr>
                <w:rFonts w:ascii="Arial" w:cs="Arial" w:eastAsia="Arial" w:hAnsi="Arial"/>
                <w:sz w:val="14"/>
                <w:szCs w:val="14"/>
                <w:b w:val="1"/>
                <w:bCs w:val="1"/>
                <w:color w:val="auto"/>
                <w:w w:val="99"/>
              </w:rPr>
              <w:t>—</w:t>
            </w: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ind w:left="720"/>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32"/>
              <w:spacing w:after="0"/>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ind w:left="900"/>
              <w:spacing w:after="0"/>
              <w:rPr>
                <w:sz w:val="20"/>
                <w:szCs w:val="20"/>
                <w:color w:val="auto"/>
              </w:rPr>
            </w:pPr>
            <w:r>
              <w:rPr>
                <w:rFonts w:ascii="Arial" w:cs="Arial" w:eastAsia="Arial" w:hAnsi="Arial"/>
                <w:sz w:val="14"/>
                <w:szCs w:val="14"/>
                <w:b w:val="1"/>
                <w:bCs w:val="1"/>
                <w:color w:val="auto"/>
                <w:w w:val="85"/>
              </w:rPr>
              <w:t>250</w:t>
            </w:r>
          </w:p>
        </w:tc>
        <w:tc>
          <w:tcPr>
            <w:tcW w:w="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b w:val="1"/>
                <w:bCs w:val="1"/>
                <w:color w:val="auto"/>
              </w:rPr>
              <w:t>250</w:t>
            </w: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shd w:val="clear" w:color="auto" w:fill="CCEEFF"/>
          </w:tcPr>
          <w:p>
            <w:pPr>
              <w:ind w:left="200"/>
              <w:spacing w:after="0" w:line="159" w:lineRule="exact"/>
              <w:rPr>
                <w:sz w:val="20"/>
                <w:szCs w:val="20"/>
                <w:color w:val="auto"/>
              </w:rPr>
            </w:pPr>
            <w:r>
              <w:rPr>
                <w:rFonts w:ascii="Arial" w:cs="Arial" w:eastAsia="Arial" w:hAnsi="Arial"/>
                <w:sz w:val="14"/>
                <w:szCs w:val="14"/>
                <w:color w:val="auto"/>
              </w:rPr>
              <w:t>securities</w:t>
            </w:r>
          </w:p>
        </w:tc>
        <w:tc>
          <w:tcPr>
            <w:tcW w:w="18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100" w:type="dxa"/>
            <w:vAlign w:val="bottom"/>
            <w:gridSpan w:val="2"/>
            <w:vMerge w:val="continue"/>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0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Comprehensive loss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(117,057)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Pr>
          <w:p>
            <w:pPr>
              <w:spacing w:after="0"/>
              <w:rPr>
                <w:sz w:val="9"/>
                <w:szCs w:val="9"/>
                <w:color w:val="auto"/>
              </w:rPr>
            </w:pPr>
          </w:p>
        </w:tc>
        <w:tc>
          <w:tcPr>
            <w:tcW w:w="9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96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 issued (4,978 shares)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ind w:left="592"/>
              <w:spacing w:after="0" w:line="149" w:lineRule="exact"/>
              <w:rPr>
                <w:sz w:val="20"/>
                <w:szCs w:val="20"/>
                <w:color w:val="auto"/>
              </w:rPr>
            </w:pPr>
            <w:r>
              <w:rPr>
                <w:rFonts w:ascii="Arial" w:cs="Arial" w:eastAsia="Arial" w:hAnsi="Arial"/>
                <w:sz w:val="14"/>
                <w:szCs w:val="14"/>
                <w:b w:val="1"/>
                <w:bCs w:val="1"/>
                <w:color w:val="auto"/>
                <w:w w:val="99"/>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59</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(59)</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860" w:type="dxa"/>
            <w:vAlign w:val="bottom"/>
          </w:tcPr>
          <w:p>
            <w:pPr>
              <w:spacing w:after="0" w:line="138" w:lineRule="exact"/>
              <w:rPr>
                <w:sz w:val="20"/>
                <w:szCs w:val="20"/>
                <w:color w:val="auto"/>
              </w:rPr>
            </w:pPr>
            <w:r>
              <w:rPr>
                <w:rFonts w:ascii="Arial" w:cs="Arial" w:eastAsia="Arial" w:hAnsi="Arial"/>
                <w:sz w:val="14"/>
                <w:szCs w:val="14"/>
                <w:color w:val="auto"/>
              </w:rPr>
              <w:t>Stock issued for Siliconix acquisition</w:t>
            </w:r>
          </w:p>
        </w:tc>
        <w:tc>
          <w:tcPr>
            <w:tcW w:w="18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1,799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center"/>
              <w:ind w:left="592"/>
              <w:spacing w:after="0"/>
              <w:rPr>
                <w:sz w:val="20"/>
                <w:szCs w:val="20"/>
                <w:color w:val="auto"/>
              </w:rPr>
            </w:pPr>
            <w:r>
              <w:rPr>
                <w:rFonts w:ascii="Arial" w:cs="Arial" w:eastAsia="Arial" w:hAnsi="Arial"/>
                <w:sz w:val="14"/>
                <w:szCs w:val="14"/>
                <w:b w:val="1"/>
                <w:bCs w:val="1"/>
                <w:color w:val="auto"/>
                <w:w w:val="99"/>
              </w:rPr>
              <w:t>—</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196,761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6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1"/>
                <w:szCs w:val="11"/>
                <w:color w:val="auto"/>
              </w:rPr>
            </w:pPr>
          </w:p>
        </w:tc>
        <w:tc>
          <w:tcPr>
            <w:tcW w:w="1200" w:type="dxa"/>
            <w:vAlign w:val="bottom"/>
            <w:gridSpan w:val="2"/>
            <w:vMerge w:val="restart"/>
          </w:tcPr>
          <w:p>
            <w:pPr>
              <w:ind w:left="90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198,560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860" w:type="dxa"/>
            <w:vAlign w:val="bottom"/>
          </w:tcPr>
          <w:p>
            <w:pPr>
              <w:ind w:left="200"/>
              <w:spacing w:after="0" w:line="159" w:lineRule="exact"/>
              <w:rPr>
                <w:sz w:val="20"/>
                <w:szCs w:val="20"/>
                <w:color w:val="auto"/>
              </w:rPr>
            </w:pPr>
            <w:r>
              <w:rPr>
                <w:rFonts w:ascii="Arial" w:cs="Arial" w:eastAsia="Arial" w:hAnsi="Arial"/>
                <w:sz w:val="14"/>
                <w:szCs w:val="14"/>
                <w:color w:val="auto"/>
              </w:rPr>
              <w:t>(17,985,476 shares)</w:t>
            </w:r>
          </w:p>
        </w:tc>
        <w:tc>
          <w:tcPr>
            <w:tcW w:w="18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00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Fair value of phantom stock grants</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ind w:left="592"/>
              <w:spacing w:after="0" w:line="149" w:lineRule="exact"/>
              <w:rPr>
                <w:sz w:val="20"/>
                <w:szCs w:val="20"/>
                <w:color w:val="auto"/>
              </w:rPr>
            </w:pPr>
            <w:r>
              <w:rPr>
                <w:rFonts w:ascii="Arial" w:cs="Arial" w:eastAsia="Arial" w:hAnsi="Arial"/>
                <w:sz w:val="14"/>
                <w:szCs w:val="14"/>
                <w:b w:val="1"/>
                <w:bCs w:val="1"/>
                <w:color w:val="auto"/>
                <w:w w:val="99"/>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b w:val="1"/>
                <w:bCs w:val="1"/>
                <w:color w:val="auto"/>
                <w:w w:val="94"/>
              </w:rPr>
              <w:t>497</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497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Stock options exercised (48,931 shares)</w:t>
            </w:r>
          </w:p>
        </w:tc>
        <w:tc>
          <w:tcPr>
            <w:tcW w:w="180" w:type="dxa"/>
            <w:vAlign w:val="bottom"/>
          </w:tcPr>
          <w:p>
            <w:pPr>
              <w:spacing w:after="0"/>
              <w:rPr>
                <w:sz w:val="12"/>
                <w:szCs w:val="12"/>
                <w:color w:val="auto"/>
              </w:rPr>
            </w:pPr>
          </w:p>
        </w:tc>
        <w:tc>
          <w:tcPr>
            <w:tcW w:w="9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ind w:left="720"/>
              <w:spacing w:after="0" w:line="149" w:lineRule="exact"/>
              <w:rPr>
                <w:sz w:val="20"/>
                <w:szCs w:val="20"/>
                <w:color w:val="auto"/>
              </w:rPr>
            </w:pPr>
            <w:r>
              <w:rPr>
                <w:rFonts w:ascii="Arial" w:cs="Arial" w:eastAsia="Arial" w:hAnsi="Arial"/>
                <w:sz w:val="14"/>
                <w:szCs w:val="14"/>
                <w:b w:val="1"/>
                <w:bCs w:val="1"/>
                <w:color w:val="auto"/>
                <w:w w:val="94"/>
              </w:rPr>
              <w:t>273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0" w:type="dxa"/>
            <w:vAlign w:val="bottom"/>
            <w:gridSpan w:val="2"/>
          </w:tcPr>
          <w:p>
            <w:pPr>
              <w:ind w:left="90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0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278</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Tax effects relating to stock plan</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ind w:left="592"/>
              <w:spacing w:after="0" w:line="149" w:lineRule="exact"/>
              <w:rPr>
                <w:sz w:val="20"/>
                <w:szCs w:val="20"/>
                <w:color w:val="auto"/>
              </w:rPr>
            </w:pPr>
            <w:r>
              <w:rPr>
                <w:rFonts w:ascii="Arial" w:cs="Arial" w:eastAsia="Arial" w:hAnsi="Arial"/>
                <w:sz w:val="14"/>
                <w:szCs w:val="14"/>
                <w:b w:val="1"/>
                <w:bCs w:val="1"/>
                <w:color w:val="auto"/>
                <w:w w:val="99"/>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b w:val="1"/>
                <w:bCs w:val="1"/>
                <w:color w:val="auto"/>
                <w:w w:val="94"/>
              </w:rPr>
              <w:t>123</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123</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tcPr>
          <w:p>
            <w:pPr>
              <w:spacing w:after="0" w:line="149" w:lineRule="exact"/>
              <w:rPr>
                <w:sz w:val="20"/>
                <w:szCs w:val="20"/>
                <w:color w:val="auto"/>
              </w:rPr>
            </w:pPr>
            <w:r>
              <w:rPr>
                <w:rFonts w:ascii="Arial" w:cs="Arial" w:eastAsia="Arial" w:hAnsi="Arial"/>
                <w:sz w:val="14"/>
                <w:szCs w:val="14"/>
                <w:color w:val="auto"/>
              </w:rPr>
              <w:t>Cancellation of shares (982 shares)</w:t>
            </w:r>
          </w:p>
        </w:tc>
        <w:tc>
          <w:tcPr>
            <w:tcW w:w="180" w:type="dxa"/>
            <w:vAlign w:val="bottom"/>
          </w:tcPr>
          <w:p>
            <w:pPr>
              <w:spacing w:after="0"/>
              <w:rPr>
                <w:sz w:val="12"/>
                <w:szCs w:val="12"/>
                <w:color w:val="auto"/>
              </w:rPr>
            </w:pPr>
          </w:p>
        </w:tc>
        <w:tc>
          <w:tcPr>
            <w:tcW w:w="92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left="592"/>
              <w:spacing w:after="0" w:line="149" w:lineRule="exact"/>
              <w:rPr>
                <w:sz w:val="20"/>
                <w:szCs w:val="20"/>
                <w:color w:val="auto"/>
              </w:rPr>
            </w:pPr>
            <w:r>
              <w:rPr>
                <w:rFonts w:ascii="Arial" w:cs="Arial" w:eastAsia="Arial" w:hAnsi="Arial"/>
                <w:sz w:val="14"/>
                <w:szCs w:val="14"/>
                <w:b w:val="1"/>
                <w:bCs w:val="1"/>
                <w:color w:val="auto"/>
                <w:w w:val="99"/>
              </w:rPr>
              <w:t>—</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ind w:left="7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160"/>
              <w:spacing w:after="0" w:line="149" w:lineRule="exact"/>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1200" w:type="dxa"/>
            <w:vAlign w:val="bottom"/>
            <w:gridSpan w:val="2"/>
          </w:tcPr>
          <w:p>
            <w:pPr>
              <w:ind w:left="90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2"/>
                <w:szCs w:val="12"/>
                <w:color w:val="auto"/>
              </w:rPr>
            </w:pPr>
          </w:p>
        </w:tc>
        <w:tc>
          <w:tcPr>
            <w:tcW w:w="110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Amortization of unearned compensation</w:t>
            </w:r>
          </w:p>
        </w:tc>
        <w:tc>
          <w:tcPr>
            <w:tcW w:w="180" w:type="dxa"/>
            <w:vAlign w:val="bottom"/>
            <w:shd w:val="clear" w:color="auto" w:fill="CCEEFF"/>
          </w:tcPr>
          <w:p>
            <w:pPr>
              <w:spacing w:after="0"/>
              <w:rPr>
                <w:sz w:val="12"/>
                <w:szCs w:val="12"/>
                <w:color w:val="auto"/>
              </w:rPr>
            </w:pPr>
          </w:p>
        </w:tc>
        <w:tc>
          <w:tcPr>
            <w:tcW w:w="92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center"/>
              <w:ind w:left="592"/>
              <w:spacing w:after="0" w:line="149" w:lineRule="exact"/>
              <w:rPr>
                <w:sz w:val="20"/>
                <w:szCs w:val="20"/>
                <w:color w:val="auto"/>
              </w:rPr>
            </w:pPr>
            <w:r>
              <w:rPr>
                <w:rFonts w:ascii="Arial" w:cs="Arial" w:eastAsia="Arial" w:hAnsi="Arial"/>
                <w:sz w:val="14"/>
                <w:szCs w:val="14"/>
                <w:b w:val="1"/>
                <w:bCs w:val="1"/>
                <w:color w:val="auto"/>
                <w:w w:val="99"/>
              </w:rPr>
              <w:t>—</w:t>
            </w: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960" w:type="dxa"/>
            <w:vAlign w:val="bottom"/>
            <w:shd w:val="clear" w:color="auto" w:fill="CCEEFF"/>
          </w:tcPr>
          <w:p>
            <w:pPr>
              <w:ind w:left="720"/>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6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116</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ind w:left="900"/>
              <w:spacing w:after="0" w:line="149"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rPr>
                <w:sz w:val="12"/>
                <w:szCs w:val="12"/>
                <w:color w:val="auto"/>
              </w:rPr>
            </w:pP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116</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8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1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860" w:type="dxa"/>
            <w:vAlign w:val="bottom"/>
          </w:tcPr>
          <w:p>
            <w:pPr>
              <w:spacing w:after="0"/>
              <w:rPr>
                <w:sz w:val="8"/>
                <w:szCs w:val="8"/>
                <w:color w:val="auto"/>
              </w:rPr>
            </w:pPr>
          </w:p>
        </w:tc>
        <w:tc>
          <w:tcPr>
            <w:tcW w:w="18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8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at December 31, 2005</w:t>
            </w:r>
          </w:p>
        </w:tc>
        <w:tc>
          <w:tcPr>
            <w:tcW w:w="180" w:type="dxa"/>
            <w:vAlign w:val="bottom"/>
            <w:shd w:val="clear" w:color="auto" w:fill="CCEEFF"/>
          </w:tcPr>
          <w:p>
            <w:pPr>
              <w:jc w:val="right"/>
              <w:ind w:right="32"/>
              <w:spacing w:after="0" w:line="149" w:lineRule="exact"/>
              <w:rPr>
                <w:sz w:val="20"/>
                <w:szCs w:val="20"/>
                <w:color w:val="auto"/>
              </w:rPr>
            </w:pPr>
            <w:r>
              <w:rPr>
                <w:rFonts w:ascii="Arial" w:cs="Arial" w:eastAsia="Arial" w:hAnsi="Arial"/>
                <w:sz w:val="14"/>
                <w:szCs w:val="14"/>
                <w:b w:val="1"/>
                <w:bCs w:val="1"/>
                <w:color w:val="auto"/>
                <w:w w:val="76"/>
              </w:rPr>
              <w:t>$</w:t>
            </w:r>
          </w:p>
        </w:tc>
        <w:tc>
          <w:tcPr>
            <w:tcW w:w="9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16,946</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center"/>
              <w:ind w:left="552"/>
              <w:spacing w:after="0" w:line="149" w:lineRule="exact"/>
              <w:rPr>
                <w:sz w:val="20"/>
                <w:szCs w:val="20"/>
                <w:color w:val="auto"/>
              </w:rPr>
            </w:pPr>
            <w:r>
              <w:rPr>
                <w:rFonts w:ascii="Arial" w:cs="Arial" w:eastAsia="Arial" w:hAnsi="Arial"/>
                <w:sz w:val="14"/>
                <w:szCs w:val="14"/>
                <w:b w:val="1"/>
                <w:bCs w:val="1"/>
                <w:color w:val="auto"/>
                <w:w w:val="85"/>
              </w:rPr>
              <w:t>1,468</w:t>
            </w:r>
          </w:p>
        </w:tc>
        <w:tc>
          <w:tcPr>
            <w:tcW w:w="2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2,225,966</w:t>
            </w:r>
          </w:p>
        </w:tc>
        <w:tc>
          <w:tcPr>
            <w:tcW w:w="2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b w:val="1"/>
                <w:bCs w:val="1"/>
                <w:color w:val="auto"/>
              </w:rPr>
              <w:t>$</w:t>
            </w:r>
          </w:p>
        </w:tc>
        <w:tc>
          <w:tcPr>
            <w:tcW w:w="9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657,166</w:t>
            </w:r>
          </w:p>
        </w:tc>
        <w:tc>
          <w:tcPr>
            <w:tcW w:w="1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b w:val="1"/>
                <w:bCs w:val="1"/>
                <w:color w:val="auto"/>
              </w:rPr>
              <w:t>$</w:t>
            </w:r>
          </w:p>
        </w:tc>
        <w:tc>
          <w:tcPr>
            <w:tcW w:w="11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(95)</w:t>
            </w:r>
          </w:p>
        </w:tc>
        <w:tc>
          <w:tcPr>
            <w:tcW w:w="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w w:val="76"/>
              </w:rPr>
              <w:t>$</w:t>
            </w:r>
          </w:p>
        </w:tc>
        <w:tc>
          <w:tcPr>
            <w:tcW w:w="12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b w:val="1"/>
                <w:bCs w:val="1"/>
                <w:color w:val="auto"/>
              </w:rPr>
              <w:t>(45,599)</w:t>
            </w:r>
          </w:p>
        </w:tc>
        <w:tc>
          <w:tcPr>
            <w:tcW w:w="160" w:type="dxa"/>
            <w:vAlign w:val="bottom"/>
            <w:shd w:val="clear" w:color="auto" w:fill="CCEEFF"/>
          </w:tcPr>
          <w:p>
            <w:pPr>
              <w:jc w:val="right"/>
              <w:ind w:right="12"/>
              <w:spacing w:after="0" w:line="149" w:lineRule="exact"/>
              <w:rPr>
                <w:sz w:val="20"/>
                <w:szCs w:val="20"/>
                <w:color w:val="auto"/>
              </w:rPr>
            </w:pPr>
            <w:r>
              <w:rPr>
                <w:rFonts w:ascii="Arial" w:cs="Arial" w:eastAsia="Arial" w:hAnsi="Arial"/>
                <w:sz w:val="14"/>
                <w:szCs w:val="14"/>
                <w:b w:val="1"/>
                <w:bCs w:val="1"/>
                <w:color w:val="auto"/>
                <w:w w:val="76"/>
              </w:rPr>
              <w:t>$</w:t>
            </w:r>
          </w:p>
        </w:tc>
        <w:tc>
          <w:tcPr>
            <w:tcW w:w="10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b w:val="1"/>
                <w:bCs w:val="1"/>
                <w:color w:val="auto"/>
              </w:rPr>
              <w:t>2,855,852</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86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1829435</wp:posOffset>
            </wp:positionH>
            <wp:positionV relativeFrom="paragraph">
              <wp:posOffset>-29210</wp:posOffset>
            </wp:positionV>
            <wp:extent cx="12700"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2515870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-29210</wp:posOffset>
            </wp:positionV>
            <wp:extent cx="1270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12700"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3270250</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2644140</wp:posOffset>
            </wp:positionH>
            <wp:positionV relativeFrom="paragraph">
              <wp:posOffset>-29210</wp:posOffset>
            </wp:positionV>
            <wp:extent cx="1270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3330575</wp:posOffset>
            </wp:positionH>
            <wp:positionV relativeFrom="paragraph">
              <wp:posOffset>-29210</wp:posOffset>
            </wp:positionV>
            <wp:extent cx="12700"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3399155</wp:posOffset>
            </wp:positionH>
            <wp:positionV relativeFrom="paragraph">
              <wp:posOffset>-29210</wp:posOffset>
            </wp:positionV>
            <wp:extent cx="379476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79476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See accompanying notes.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420"/>
          </w:cols>
          <w:pgMar w:left="240" w:top="584" w:right="239" w:bottom="1440" w:gutter="0" w:footer="0" w:header="0"/>
        </w:sectPr>
      </w:pPr>
    </w:p>
    <w:bookmarkStart w:id="69" w:name="page70"/>
    <w:bookmarkEnd w:id="69"/>
    <w:p>
      <w:pPr>
        <w:spacing w:after="0"/>
        <w:rPr>
          <w:sz w:val="20"/>
          <w:szCs w:val="20"/>
          <w:color w:val="auto"/>
        </w:rPr>
      </w:pPr>
      <w:r>
        <w:rPr>
          <w:rFonts w:ascii="Arial" w:cs="Arial" w:eastAsia="Arial" w:hAnsi="Arial"/>
          <w:sz w:val="18"/>
          <w:szCs w:val="18"/>
          <w:b w:val="1"/>
          <w:bCs w:val="1"/>
          <w:color w:val="auto"/>
        </w:rPr>
        <w:t>Vishay Intertechnology, Inc.</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Notes to Consolidated Financial Statements</w:t>
      </w:r>
    </w:p>
    <w:p>
      <w:pPr>
        <w:spacing w:after="0" w:line="219"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Vishay Intertechnology, Inc. (“Vishay” or the “Company”) is an international manufacturer and supplier of semiconductors and passive electronic components, including power MOSFETs, power conversion and motor control integrated circuits, transistors, diodes, optoelectronic components, resistors, capacitors, inductors, strain gages, load cells, force measurement sensors, displacement sensors, and photoelastic sensors. Electronic components manufactured by the Company are used in virtually all types of electronic products, including those in the industrial, computer, automotive, consumer electronics products, telecommunications, military/aerospace, and medical industries.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Note 1 – 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requires management to make estimates and assumptions that affect the amounts reported in the consolidated financial statements and accompanying notes. Actual results could differ significantly from those estimates.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The consolidated financial statements include the accounts of Vishay and all of its subsidiaries in which a controlling financial interest is maintained. For those consolidated subsidiaries in which the Company’s ownership is less than 100 percent, the outside stockholders’ interests are shown as Minority Interest in the accompanying consolidated balance sheets. Investments in affiliates over which the Company has significant influence but not a controlling interest are carried on the equity basis. Investments in affiliates over which the Company does not have significant influence are accounted for by the cost method. All significant intercompany transactions, accounts, and profits are eliminated.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The Company recognizes revenue on product sales during the period when the sales process is complete. This generally occurs when products are shipped to the customer in accordance with terms of an agreement of sale, title and risk of loss have been transferred, collectibility is reasonably assured and pricing is fixed or determinable. For a small percentage of sales where title and risk of loss passes at point of delivery, the Company recognizes revenue upon delivery to the customer, assuming all other criteria for revenue recognition are met. The Company historically has had agreements with distributors that provided limited rights of product return. Beginning in 2002, the Company modified these arrangements to allow distributors a limited credit for unsaleable products, which it terms a “scrap allowance.” Consistent with industry practice, the Company also has a “stock, ship and debit” program whereby it considers requests by distributors for credits on previously purchased products that remain in distributors’ inventory, to enable the distributors to offer more competitive pricing. In addition, the Company has contractual arrangements whereby it provides distributors with protection against price reductions initiated by the Company after product is sold by the Company to the distributor and prior to resale by the distributor.</w:t>
      </w:r>
    </w:p>
    <w:p>
      <w:pPr>
        <w:spacing w:after="0" w:line="174" w:lineRule="exact"/>
        <w:rPr>
          <w:sz w:val="20"/>
          <w:szCs w:val="20"/>
          <w:color w:val="auto"/>
        </w:rPr>
      </w:pPr>
    </w:p>
    <w:p>
      <w:pPr>
        <w:ind w:right="140"/>
        <w:spacing w:after="0" w:line="290" w:lineRule="auto"/>
        <w:rPr>
          <w:sz w:val="20"/>
          <w:szCs w:val="20"/>
          <w:color w:val="auto"/>
        </w:rPr>
      </w:pPr>
      <w:r>
        <w:rPr>
          <w:rFonts w:ascii="Arial" w:cs="Arial" w:eastAsia="Arial" w:hAnsi="Arial"/>
          <w:sz w:val="16"/>
          <w:szCs w:val="16"/>
          <w:color w:val="auto"/>
        </w:rPr>
        <w:t>As a result of a concentrated effort to defend its intellectual property and generate additional licensing income, Vishay began receiving royalties in the fourth quarter of 2004. The Company expects royalty revenues to increase and continues to seek to expand its royalty streams. The Company records royalty revenue in accordance with agreed upon terms when performance obligations are satisfied, the amount is fixed or determinable, and collectibility is reasonably assured. Vishay earns royalties at the point of sale of products which incorporate licensed intellectual property. Accordingly, the amount of royalties recognized is determined based on periodic reporting to Vishay by its licensees, and based on judgments and estimates by Vishay management, which management considers reasonable. Royalty revenues, included in net revenues on the consolidated statements of operations, were $4,916,000 and $1,078,000 for the years ended December 31, 2005 and 2004, respectively.</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380"/>
          </w:cols>
          <w:pgMar w:left="240" w:top="584" w:right="279" w:bottom="1440" w:gutter="0" w:footer="0" w:header="0"/>
        </w:sectPr>
      </w:pPr>
    </w:p>
    <w:bookmarkStart w:id="70" w:name="page71"/>
    <w:bookmarkEnd w:id="70"/>
    <w:p>
      <w:pPr>
        <w:spacing w:after="0"/>
        <w:rPr>
          <w:sz w:val="20"/>
          <w:szCs w:val="20"/>
          <w:color w:val="auto"/>
        </w:rPr>
      </w:pPr>
      <w:r>
        <w:rPr>
          <w:rFonts w:ascii="Arial" w:cs="Arial" w:eastAsia="Arial" w:hAnsi="Arial"/>
          <w:sz w:val="18"/>
          <w:szCs w:val="18"/>
          <w:b w:val="1"/>
          <w:bCs w:val="1"/>
          <w:u w:val="single" w:color="auto"/>
          <w:color w:val="auto"/>
        </w:rPr>
        <w:t>Note 1 – Summary of Significant Accounting Policies (continued)</w:t>
      </w:r>
    </w:p>
    <w:p>
      <w:pPr>
        <w:spacing w:after="0" w:line="23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records a reduction of revenue during each period, and records a related accrued expense for the period, based upon its estimate of product returns, scrap allowances, “stock, ship and debit” credits and price protection credits that will be attributable to sales recorded through the end of the period. The Company makes these estimates based upon sales levels to its distributors during the period, inventory levels at the distributors, current and projected market conditions and historical experience under the programs. While the Company utilizes a number of different methodologies to estimate the accruals, all of the methodologies take into account sales levels to distributors during the relevant period, inventory levels at the distributors, current and projected market trends and conditions, recent and historical activity under the relevant programs, changes in program policies and open requests for credits. These procedures require the exercise of significant judgments, but the Company believes that they allow the Company to reasonably estimate future credits under the programs.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Shipping and handling costs are included in costs of products sold.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Research and development costs are expensed as incurred. The amount charged to expense for research and development (exclusive of purchased in-process research and development) aggregated $48,634,000, $51,008,000, and $45,377,000 for the years ended December 31, 2005, 2004, and 2003, respectively. The Company spends additional amounts for the development of machinery and equipment for new processes and for cost reduction measures.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Grants</w:t>
      </w:r>
    </w:p>
    <w:p>
      <w:pPr>
        <w:spacing w:after="0" w:line="225"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Government grants received by certain subsidiaries, primarily in Israel, are recognized as income in accordance with the purpose of the specific contract and in the period in which the related expense is incurred. Grants recognized as a reduction of costs of products sold were $6,914,000, $8,936,000, and $12,359,000 for the years ended December 31, 2005, 2004, and 2003, respectively. Grants receivable of $3,336,000 and $3,568,000 are included in other current assets at December 31, 2005 and 2004, respectively. Deferred grant income was $11,896,000 and $18,723,000 at December 31, 2005 and 2004, respectively. The grants are subject to certain conditions, including maintaining specified levels of employment for periods up to ten years. Noncompliance with such conditions could result in the repayment of grants. However, management expects that the Company will comply with all terms and conditions of the grants.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spacing w:after="0" w:line="309" w:lineRule="auto"/>
        <w:rPr>
          <w:sz w:val="20"/>
          <w:szCs w:val="20"/>
          <w:color w:val="auto"/>
        </w:rPr>
      </w:pPr>
      <w:r>
        <w:rPr>
          <w:rFonts w:ascii="Arial" w:cs="Arial" w:eastAsia="Arial" w:hAnsi="Arial"/>
          <w:sz w:val="15"/>
          <w:szCs w:val="15"/>
          <w:color w:val="auto"/>
        </w:rPr>
        <w:t xml:space="preserve">The provision for income taxes is determined using the asset and liability approach of accounting for income taxes. Under this approach, deferred taxes represent the future tax consequences expected to occur when the reported amounts of assets and liabilities are recovered or paid. The provision for income taxes represents income taxes paid or payable for the current year plus the change in deferred taxes during the year. Deferred taxes result from differences between the financial and tax bases of the Company’s assets and liabilities and are adjusted for changes in tax rates and tax laws when changes are enacted. Valuation allowances have been established for deferred tax assets which the Company believes do not meet the “more likely than not” criteria established by Statement of Financial Accounting Standards (“SFAS”) No. 109, </w:t>
      </w:r>
      <w:r>
        <w:rPr>
          <w:rFonts w:ascii="Arial" w:cs="Arial" w:eastAsia="Arial" w:hAnsi="Arial"/>
          <w:sz w:val="15"/>
          <w:szCs w:val="15"/>
          <w:i w:val="1"/>
          <w:iCs w:val="1"/>
          <w:color w:val="auto"/>
        </w:rPr>
        <w:t>Accounting for Income Taxes</w:t>
      </w:r>
      <w:r>
        <w:rPr>
          <w:rFonts w:ascii="Arial" w:cs="Arial" w:eastAsia="Arial" w:hAnsi="Arial"/>
          <w:sz w:val="15"/>
          <w:szCs w:val="15"/>
          <w:color w:val="auto"/>
        </w:rPr>
        <w:t>. This criterion requires a level of judgment regarding future taxable income, which may be revised due to changes in market conditions, tax laws or other factors. If the Company’s assumptions and estimates change in the future, valuation allowances established may be increased resulting in increased tax expense. Conversely, if the Company is ultimately able to utilize all or a portion of the deferred tax assets, for which a valuation allowance has been established, then the related portion of the valuation allowance can be released resulting in decreased tax expense.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and Short-Term Investments</w:t>
      </w:r>
    </w:p>
    <w:p>
      <w:pPr>
        <w:spacing w:after="0" w:line="225"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Cash and cash equivalents includes demand deposits and highly liquid investments with maturities of three months or less when purchased. Highly liquid investments with maturities greater than three months are classified as short-term investments.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00"/>
          </w:cols>
          <w:pgMar w:left="240" w:top="584"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u w:val="single" w:color="auto"/>
          <w:color w:val="auto"/>
        </w:rPr>
        <w:t>Note 1 –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Allowance for Doubtful Accounts</w:t>
      </w:r>
    </w:p>
    <w:p>
      <w:pPr>
        <w:spacing w:after="0" w:line="225" w:lineRule="exact"/>
        <w:rPr>
          <w:sz w:val="20"/>
          <w:szCs w:val="20"/>
          <w:color w:val="auto"/>
        </w:rPr>
      </w:pPr>
    </w:p>
    <w:p>
      <w:pPr>
        <w:spacing w:after="0" w:line="318" w:lineRule="auto"/>
        <w:rPr>
          <w:sz w:val="20"/>
          <w:szCs w:val="20"/>
          <w:color w:val="auto"/>
        </w:rPr>
      </w:pPr>
      <w:r>
        <w:rPr>
          <w:rFonts w:ascii="Arial" w:cs="Arial" w:eastAsia="Arial" w:hAnsi="Arial"/>
          <w:sz w:val="15"/>
          <w:szCs w:val="15"/>
          <w:color w:val="auto"/>
        </w:rPr>
        <w:t>The Company maintains an allowance for doubtful accounts for estimated losses resulting from the inability of its customers to make required payments. The allowance is determined through an analysis of the aging of accounts receivable and assessments of risk that are based on historical trends and an evaluation of the impact of current and projected economic conditions. The Company evaluates the past-due status of its trade receivables based on contractual terms of sale. If the financial condition of the Company’s customers were to deteriorate, resulting in an impairment of their ability to make payments, additional allowances may be required. Bad debt expense was $1,929,000, $3,444,000, and $4,181,000 for the years ended December 31, 2005, 2004, and 2003,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Inventories</w:t>
      </w:r>
    </w:p>
    <w:p>
      <w:pPr>
        <w:spacing w:after="0" w:line="225" w:lineRule="exact"/>
        <w:rPr>
          <w:sz w:val="20"/>
          <w:szCs w:val="20"/>
          <w:color w:val="auto"/>
        </w:rPr>
      </w:pPr>
    </w:p>
    <w:p>
      <w:pPr>
        <w:ind w:right="20"/>
        <w:spacing w:after="0" w:line="332" w:lineRule="auto"/>
        <w:rPr>
          <w:sz w:val="20"/>
          <w:szCs w:val="20"/>
          <w:color w:val="auto"/>
        </w:rPr>
      </w:pPr>
      <w:r>
        <w:rPr>
          <w:rFonts w:ascii="Arial" w:cs="Arial" w:eastAsia="Arial" w:hAnsi="Arial"/>
          <w:sz w:val="16"/>
          <w:szCs w:val="16"/>
          <w:color w:val="auto"/>
        </w:rPr>
        <w:t>Inventories are stated at the lower of cost, determined by the first-in, first-out method, or market. Inventories are adjusted for estimated obsolescence and written down to net realizable value based upon estimates of future demand, technology developments and market conditions.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Property and equipment is carried at cost and is depreciated principally by the straight-line method based upon the estimated useful lives of the assets. Machinery and equipment are being depreciated over useful lives of seven to ten years. Buildings and building improvements are being depreciated over useful lives of twenty to forty years. Construction in progress is not depreciated until the assets are placed in service. The estimated cost to complete construction in progress at December 31, 2005 was approximately $23.4 million. Depreciation of capital lease assets is included in total depreciation expense. Depreciation expense was $174,439,000, $191,132,000, and $180,706,000 for the years ended December 31, 2005, 2004, and 2003,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Other Intangible Assets</w:t>
      </w:r>
    </w:p>
    <w:p>
      <w:pPr>
        <w:spacing w:after="0" w:line="225" w:lineRule="exact"/>
        <w:rPr>
          <w:sz w:val="20"/>
          <w:szCs w:val="20"/>
          <w:color w:val="auto"/>
        </w:rPr>
      </w:pPr>
    </w:p>
    <w:p>
      <w:pPr>
        <w:ind w:right="480"/>
        <w:spacing w:after="0" w:line="332" w:lineRule="auto"/>
        <w:rPr>
          <w:sz w:val="20"/>
          <w:szCs w:val="20"/>
          <w:color w:val="auto"/>
        </w:rPr>
      </w:pPr>
      <w:r>
        <w:rPr>
          <w:rFonts w:ascii="Arial" w:cs="Arial" w:eastAsia="Arial" w:hAnsi="Arial"/>
          <w:sz w:val="16"/>
          <w:szCs w:val="16"/>
          <w:color w:val="auto"/>
        </w:rPr>
        <w:t>Goodwill and indefinite-lived intangible assets are not amortized but rather are tested for impairment at least annually. These tests will be performed more frequently if there are triggering events. The Company has assigned an indefinite useful life to most of its tradenames.</w:t>
      </w:r>
    </w:p>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Definite-lived intangible assets are amortized over their estimated useful lives. Patents and acquired technology are being amortized over useful lives of seven to twenty-five years. Capitalized software is being amortized over periods of three to ten years. Customer relationships are being amortized over useful lives of ten to fifteen years. Noncompete agreements are being amortized over periods of one to ten years. The Company continually evaluates the reasonableness of the useful lives of these assets.</w:t>
      </w:r>
    </w:p>
    <w:p>
      <w:pPr>
        <w:spacing w:after="0" w:line="197"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 xml:space="preserve">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prescribes a two-step method for determining goodwill impairment. In the first step, the Company determines the fair value of the reporting unit using a comparable companies market multiple approach. If the net book value of the reporting unit were to exceed the fair value, the Company would then perform the second step of the impairment test, which requires allocation of the reporting unit’s fair value to all of its assets and liabilities in a manner similar to a purchase price allocation, with any residual fair value being allocated to goodwill. An impairment charge will be recognized only when the implied fair value of a reporting unit’s goodwill is less than its carrying amount.</w:t>
      </w:r>
    </w:p>
    <w:p>
      <w:pPr>
        <w:spacing w:after="0" w:line="170"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Company’s required annual impairment test is completed as of the first day of the fourth fiscal quarter of each year. It was determined that no impairment existed based on the annual impairment tests for 2005, 2004 and 2003.</w:t>
      </w:r>
    </w:p>
    <w:p>
      <w:pPr>
        <w:spacing w:after="0" w:line="18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fair value of the tradenames is measured as the discounted cash flow savings realized from owning such tradenames and not having to pay a royalty for their use. The annual impairment test of tradenames is completed as of the first day of the fourth fiscal quarter of each year. It was determined that no impairment existed based on the annual impairment tests for 2005, 2004 and 2003.</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360"/>
          </w:cols>
          <w:pgMar w:left="240" w:top="584" w:right="29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u w:val="single" w:color="auto"/>
          <w:color w:val="auto"/>
        </w:rPr>
        <w:t>Note 1 –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 xml:space="preserve">The Company evaluates impairment of its long-lived assets, other than goodwill and indefinite-lived intangible assets, in accordance with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The carrying value of long-lived assets held-and-used, other than goodwill and indefinite-lived</w:t>
      </w:r>
      <w:r>
        <w:rPr>
          <w:rFonts w:ascii="Arial" w:cs="Arial" w:eastAsia="Arial" w:hAnsi="Arial"/>
          <w:sz w:val="18"/>
          <w:szCs w:val="18"/>
          <w:i w:val="1"/>
          <w:iCs w:val="1"/>
          <w:color w:val="auto"/>
        </w:rPr>
        <w:t xml:space="preserve"> </w:t>
      </w:r>
      <w:r>
        <w:rPr>
          <w:rFonts w:ascii="Arial" w:cs="Arial" w:eastAsia="Arial" w:hAnsi="Arial"/>
          <w:sz w:val="18"/>
          <w:szCs w:val="18"/>
          <w:color w:val="auto"/>
        </w:rPr>
        <w:t>intangible assets, is evaluated when events or changes in circumstances indicate the carrying value may not be recoverable. The carrying value of a long-lived asset is considered impaired when the total projected undiscounted cash flows from such asset are separately identifiable and are less than the carrying value. In that event, a loss is recognized based on the amount by which the carrying value exceeds the fair market value of the long-lived asset. Fair market value is determined primarily using the projected cash flows from the asset discounted at a rate commensurate with the risk involved. Losses on long-lived assets held-for-sale, other than goodwill and indefinite-lived intangible assets, are determined in a similar manner, except that fair market values are reduced for disposal costs.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Available-for-Sale Securities</w:t>
      </w:r>
    </w:p>
    <w:p>
      <w:pPr>
        <w:spacing w:after="0" w:line="225"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Other assets includes investments in marketable securities which are classified as available-for-sale. These assets are held in trust related to the Company’s non-qualified pension and deferred compensation plans. See Note 11. These assets are reported at fair value, based on quoted market prices as of the end of the reporting period. Unrealized gains and losses are reported, net of their related tax consequences, as a component of accumulated other comprehensive income in stockholders’ equity until sold. At the time of sale, any gains or losses calculated by the specific identification method are recognized as a reduction to benefits expense, within selling, general, and administrative expenses.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225"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color w:val="auto"/>
        </w:rPr>
        <w:t>The Company reports derivative instruments on the consolidated balance sheet at their fair values. The accounting for changes in fair value depends upon the purpose of the derivative instrument and whether it is designated and qualifies for hedge accounting. For instruments designated as hedges, the effective portion of gains or losses is reported in other comprehensive income and the ineffective portion, if any, is reported in net earnings (loss). Changes in the fair values of derivative instruments that are not designated as hedges are recorded in current period earnings.</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has in the past used interest rate swap agreements to modify variable rate obligations to fixed rate obligations, thereby reducing exposure to market rate fluctuations. Such interest rate swap agreements were designated as hedges. See Note 14.</w:t>
      </w:r>
    </w:p>
    <w:p>
      <w:pPr>
        <w:spacing w:after="0" w:line="186" w:lineRule="exact"/>
        <w:rPr>
          <w:sz w:val="20"/>
          <w:szCs w:val="20"/>
          <w:color w:val="auto"/>
        </w:rPr>
      </w:pPr>
    </w:p>
    <w:p>
      <w:pPr>
        <w:jc w:val="both"/>
        <w:ind w:right="60"/>
        <w:spacing w:after="0" w:line="259" w:lineRule="auto"/>
        <w:rPr>
          <w:sz w:val="20"/>
          <w:szCs w:val="20"/>
          <w:color w:val="auto"/>
        </w:rPr>
      </w:pPr>
      <w:r>
        <w:rPr>
          <w:rFonts w:ascii="Arial" w:cs="Arial" w:eastAsia="Arial" w:hAnsi="Arial"/>
          <w:sz w:val="18"/>
          <w:szCs w:val="18"/>
          <w:color w:val="auto"/>
        </w:rPr>
        <w:t>In prior years, the Company used financial instruments such as forward exchange contracts to hedge a portion, but not all, of its firm commitments denominated in foreign currencies. The purpose of the Company’s foreign currency management is to minimize the effect of exchange rate changes on actual cash flows from foreign currency denominated transactions.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and 2004, the Company had no outstanding derivative instruments.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Translation</w:t>
      </w:r>
    </w:p>
    <w:p>
      <w:pPr>
        <w:spacing w:after="0" w:line="22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The financial statements for most of the Company’s foreign subsidiaries are measured using the local currency as the functional currency. Foreign assets and liabilities in the consolidated balance sheets have been translated at the rate of exchange as of the balance sheet date. Revenues and expenses are translated at the average exchange rate for the year. Translation adjustments do not impact the results of operations and are reported as a separate component of stockholders’ equity. Foreign currency transaction gains and losses are included in the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For those foreign subsidiaries where the U.S. dollar is the functional currency, all foreign currency financial statement amounts are remeasured into U.S. dollars.</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Exchange gains and losses arising from remeasurement of foreign currency-denominated monetary assets and liabilities are included in the results of operations.</w:t>
      </w: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380"/>
          </w:cols>
          <w:pgMar w:left="240" w:top="584" w:right="27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u w:val="single" w:color="auto"/>
          <w:color w:val="auto"/>
        </w:rPr>
        <w:t>Note 1 – 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encourages entities to record compensation expense for stock-based employee compensation plans at fair value but provides the option of measuring compensation expense using the intrinsic value method prescribed in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The Company accounts for stock-based compensation in accordance with APB No. 25 and related interpretations. The following is provided to comply with the disclosure requirements of SFAS No. 123 as amended.</w:t>
      </w:r>
    </w:p>
    <w:p>
      <w:pPr>
        <w:spacing w:after="0" w:line="16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 xml:space="preserve">If compensation cost for the Company’s stock option programs had been determined using the fair-value method prescribed by SFAS No. 123, the Company’s results would have been reduced to the pro forma amounts indicated below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0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520" w:type="dxa"/>
            <w:vAlign w:val="bottom"/>
            <w:gridSpan w:val="5"/>
          </w:tcPr>
          <w:p>
            <w:pPr>
              <w:jc w:val="right"/>
              <w:spacing w:after="0"/>
              <w:rPr>
                <w:sz w:val="20"/>
                <w:szCs w:val="20"/>
                <w:color w:val="auto"/>
              </w:rPr>
            </w:pPr>
            <w:r>
              <w:rPr>
                <w:rFonts w:ascii="Arial" w:cs="Arial" w:eastAsia="Arial" w:hAnsi="Arial"/>
                <w:sz w:val="14"/>
                <w:szCs w:val="14"/>
                <w:b w:val="1"/>
                <w:bCs w:val="1"/>
                <w:color w:val="auto"/>
                <w:w w:val="84"/>
              </w:rPr>
              <w:t>Years ended December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0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39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income, as reported</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62,274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44,696</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020" w:type="dxa"/>
            <w:vAlign w:val="bottom"/>
          </w:tcPr>
          <w:p>
            <w:pPr>
              <w:spacing w:after="0"/>
              <w:rPr>
                <w:sz w:val="20"/>
                <w:szCs w:val="20"/>
                <w:color w:val="auto"/>
              </w:rPr>
            </w:pPr>
            <w:r>
              <w:rPr>
                <w:rFonts w:ascii="Arial" w:cs="Arial" w:eastAsia="Arial" w:hAnsi="Arial"/>
                <w:sz w:val="18"/>
                <w:szCs w:val="18"/>
                <w:color w:val="auto"/>
                <w:w w:val="92"/>
              </w:rPr>
              <w:t>Add: Total stock-based employee compensation expense included in reported net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b w:val="1"/>
                <w:bCs w:val="1"/>
                <w:color w:val="auto"/>
              </w:rPr>
              <w:t>323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20" w:type="dxa"/>
            <w:vAlign w:val="bottom"/>
          </w:tcPr>
          <w:p>
            <w:pPr>
              <w:ind w:left="200"/>
              <w:spacing w:after="0"/>
              <w:rPr>
                <w:sz w:val="20"/>
                <w:szCs w:val="20"/>
                <w:color w:val="auto"/>
              </w:rPr>
            </w:pPr>
            <w:r>
              <w:rPr>
                <w:rFonts w:ascii="Arial" w:cs="Arial" w:eastAsia="Arial" w:hAnsi="Arial"/>
                <w:sz w:val="18"/>
                <w:szCs w:val="18"/>
                <w:color w:val="auto"/>
              </w:rPr>
              <w:t>income, net of related tax effects</w:t>
            </w: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365</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w w:val="91"/>
              </w:rPr>
              <w:t>Deduct: Total stock-based employee compensation expense determined under fair</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3"/>
            <w:vMerge w:val="restart"/>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(788)</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0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value-based method for all awards, net of related tax effects</w:t>
            </w:r>
          </w:p>
        </w:tc>
        <w:tc>
          <w:tcPr>
            <w:tcW w:w="3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3"/>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(1,385)</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2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Pro forma net income</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61,809</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43,676</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25,230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020" w:type="dxa"/>
            <w:vAlign w:val="bottom"/>
          </w:tcPr>
          <w:p>
            <w:pPr>
              <w:ind w:left="420"/>
              <w:spacing w:after="0"/>
              <w:rPr>
                <w:sz w:val="20"/>
                <w:szCs w:val="20"/>
                <w:color w:val="auto"/>
              </w:rPr>
            </w:pPr>
            <w:r>
              <w:rPr>
                <w:rFonts w:ascii="Arial" w:cs="Arial" w:eastAsia="Arial" w:hAnsi="Arial"/>
                <w:sz w:val="18"/>
                <w:szCs w:val="18"/>
                <w:color w:val="auto"/>
              </w:rPr>
              <w:t>Basic, as reported</w:t>
            </w:r>
          </w:p>
        </w:tc>
        <w:tc>
          <w:tcPr>
            <w:tcW w:w="4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0.35</w:t>
            </w:r>
          </w:p>
        </w:tc>
        <w:tc>
          <w:tcPr>
            <w:tcW w:w="32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0.27</w:t>
            </w:r>
          </w:p>
        </w:tc>
        <w:tc>
          <w:tcPr>
            <w:tcW w:w="16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0.17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0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20" w:type="dxa"/>
            <w:vAlign w:val="bottom"/>
            <w:tcBorders>
              <w:bottom w:val="single" w:sz="8" w:color="auto"/>
            </w:tcBorders>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Basic, pro forma</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as reported</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6020" w:type="dxa"/>
            <w:vAlign w:val="bottom"/>
          </w:tcPr>
          <w:p>
            <w:pPr>
              <w:spacing w:after="0"/>
              <w:rPr>
                <w:sz w:val="9"/>
                <w:szCs w:val="9"/>
                <w:color w:val="auto"/>
              </w:rPr>
            </w:pPr>
          </w:p>
        </w:tc>
        <w:tc>
          <w:tcPr>
            <w:tcW w:w="3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Diluted, pro forma</w:t>
            </w:r>
          </w:p>
        </w:tc>
        <w:tc>
          <w:tcPr>
            <w:tcW w:w="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0.26</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20" w:type="dxa"/>
            <w:vAlign w:val="bottom"/>
            <w:vMerge w:val="restart"/>
          </w:tcPr>
          <w:p>
            <w:pPr>
              <w:ind w:left="4940"/>
              <w:spacing w:after="0"/>
              <w:rPr>
                <w:sz w:val="20"/>
                <w:szCs w:val="20"/>
                <w:color w:val="auto"/>
              </w:rPr>
            </w:pPr>
            <w:r>
              <w:rPr>
                <w:rFonts w:ascii="Arial" w:cs="Arial" w:eastAsia="Arial" w:hAnsi="Arial"/>
                <w:sz w:val="18"/>
                <w:szCs w:val="18"/>
                <w:color w:val="auto"/>
              </w:rPr>
              <w:t>F-14</w:t>
            </w:r>
          </w:p>
        </w:tc>
        <w:tc>
          <w:tcPr>
            <w:tcW w:w="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60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-1706880</wp:posOffset>
            </wp:positionV>
            <wp:extent cx="12700"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-1706880</wp:posOffset>
            </wp:positionV>
            <wp:extent cx="238823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23882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-1269365</wp:posOffset>
            </wp:positionV>
            <wp:extent cx="1270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-1269365</wp:posOffset>
            </wp:positionV>
            <wp:extent cx="23882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8823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-969010</wp:posOffset>
            </wp:positionV>
            <wp:extent cx="244792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447925"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-669290</wp:posOffset>
            </wp:positionV>
            <wp:extent cx="1270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-669290</wp:posOffset>
            </wp:positionV>
            <wp:extent cx="12700"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-669290</wp:posOffset>
            </wp:positionV>
            <wp:extent cx="12700"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-669290</wp:posOffset>
            </wp:positionV>
            <wp:extent cx="12700"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-669290</wp:posOffset>
            </wp:positionV>
            <wp:extent cx="12700"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-669290</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-669290</wp:posOffset>
            </wp:positionV>
            <wp:extent cx="1270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-669290</wp:posOffset>
            </wp:positionV>
            <wp:extent cx="12700"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-669290</wp:posOffset>
            </wp:positionV>
            <wp:extent cx="12700"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-368935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-368935</wp:posOffset>
            </wp:positionV>
            <wp:extent cx="2388235"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388235" cy="29845"/>
                    </a:xfrm>
                    <a:prstGeom prst="rect">
                      <a:avLst/>
                    </a:prstGeom>
                    <a:noFill/>
                  </pic:spPr>
                </pic:pic>
              </a:graphicData>
            </a:graphic>
          </wp:anchor>
        </w:drawing>
      </w:r>
    </w:p>
    <w:p>
      <w:pPr>
        <w:sectPr>
          <w:pgSz w:w="11900" w:h="16838" w:orient="portrait"/>
          <w:cols w:equalWidth="0" w:num="1">
            <w:col w:w="11320"/>
          </w:cols>
          <w:pgMar w:left="240" w:top="584" w:right="33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u w:val="single" w:color="auto"/>
          <w:color w:val="auto"/>
        </w:rPr>
        <w:t>Note 1 – Summary of Significant Accounting Policies (continued)</w:t>
      </w:r>
    </w:p>
    <w:p>
      <w:pPr>
        <w:spacing w:after="0" w:line="231"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weighted average fair value of the options granted was estimated using the Black-Scholes option-pricing model, with the assumptions presented below. Options granted in 2005, 2004 and 2003 had a weighted average fair value of $5.30, $7.11, and $6.53, respectively, and an exercise price equal to the market value.</w:t>
      </w:r>
    </w:p>
    <w:p>
      <w:pPr>
        <w:spacing w:after="0" w:line="177"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7100" w:type="dxa"/>
            <w:vAlign w:val="bottom"/>
            <w:gridSpan w:val="3"/>
          </w:tcPr>
          <w:p>
            <w:pPr>
              <w:jc w:val="right"/>
              <w:ind w:right="32"/>
              <w:spacing w:after="0"/>
              <w:rPr>
                <w:sz w:val="20"/>
                <w:szCs w:val="20"/>
                <w:color w:val="auto"/>
              </w:rPr>
            </w:pPr>
            <w:r>
              <w:rPr>
                <w:rFonts w:ascii="Arial" w:cs="Arial" w:eastAsia="Arial" w:hAnsi="Arial"/>
                <w:sz w:val="14"/>
                <w:szCs w:val="14"/>
                <w:b w:val="1"/>
                <w:bCs w:val="1"/>
                <w:color w:val="auto"/>
              </w:rPr>
              <w:t>2005</w:t>
            </w:r>
          </w:p>
        </w:tc>
        <w:tc>
          <w:tcPr>
            <w:tcW w:w="3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tcPr>
          <w:p>
            <w:pPr>
              <w:jc w:val="right"/>
              <w:ind w:right="379"/>
              <w:spacing w:after="0"/>
              <w:rPr>
                <w:sz w:val="20"/>
                <w:szCs w:val="20"/>
                <w:color w:val="auto"/>
              </w:rPr>
            </w:pPr>
            <w:r>
              <w:rPr>
                <w:rFonts w:ascii="Arial" w:cs="Arial" w:eastAsia="Arial" w:hAnsi="Arial"/>
                <w:sz w:val="14"/>
                <w:szCs w:val="14"/>
                <w:b w:val="1"/>
                <w:bCs w:val="1"/>
                <w:color w:val="auto"/>
              </w:rPr>
              <w:t>2004</w:t>
            </w:r>
          </w:p>
        </w:tc>
        <w:tc>
          <w:tcPr>
            <w:tcW w:w="180" w:type="dxa"/>
            <w:vAlign w:val="bottom"/>
          </w:tcPr>
          <w:p>
            <w:pPr>
              <w:spacing w:after="0"/>
              <w:rPr>
                <w:sz w:val="14"/>
                <w:szCs w:val="14"/>
                <w:color w:val="auto"/>
              </w:rPr>
            </w:pPr>
          </w:p>
        </w:tc>
        <w:tc>
          <w:tcPr>
            <w:tcW w:w="1160" w:type="dxa"/>
            <w:vAlign w:val="bottom"/>
          </w:tcPr>
          <w:p>
            <w:pPr>
              <w:jc w:val="right"/>
              <w:ind w:right="379"/>
              <w:spacing w:after="0"/>
              <w:rPr>
                <w:sz w:val="20"/>
                <w:szCs w:val="20"/>
                <w:color w:val="auto"/>
              </w:rPr>
            </w:pPr>
            <w:r>
              <w:rPr>
                <w:rFonts w:ascii="Arial" w:cs="Arial" w:eastAsia="Arial" w:hAnsi="Arial"/>
                <w:sz w:val="14"/>
                <w:szCs w:val="14"/>
                <w:b w:val="1"/>
                <w:bCs w:val="1"/>
                <w:color w:val="auto"/>
              </w:rPr>
              <w:t>2003</w:t>
            </w: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6300" w:type="dxa"/>
            <w:vAlign w:val="bottom"/>
          </w:tcPr>
          <w:p>
            <w:pPr>
              <w:spacing w:after="0"/>
              <w:rPr>
                <w:sz w:val="15"/>
                <w:szCs w:val="15"/>
                <w:color w:val="auto"/>
              </w:rPr>
            </w:pPr>
          </w:p>
        </w:tc>
        <w:tc>
          <w:tcPr>
            <w:tcW w:w="780" w:type="dxa"/>
            <w:vAlign w:val="bottom"/>
          </w:tcPr>
          <w:p>
            <w:pPr>
              <w:jc w:val="center"/>
              <w:ind w:left="252"/>
              <w:spacing w:after="0"/>
              <w:rPr>
                <w:sz w:val="20"/>
                <w:szCs w:val="20"/>
                <w:color w:val="auto"/>
              </w:rPr>
            </w:pPr>
            <w:r>
              <w:rPr>
                <w:rFonts w:ascii="Arial" w:cs="Arial" w:eastAsia="Arial" w:hAnsi="Arial"/>
                <w:sz w:val="14"/>
                <w:szCs w:val="14"/>
                <w:b w:val="1"/>
                <w:bCs w:val="1"/>
                <w:color w:val="auto"/>
                <w:w w:val="92"/>
              </w:rPr>
              <w:t>Grants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Grants</w:t>
            </w:r>
          </w:p>
        </w:tc>
        <w:tc>
          <w:tcPr>
            <w:tcW w:w="13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Grants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3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3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dividend yield</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0.0%</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Risk-free interest rate</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3.4%</w:t>
            </w:r>
          </w:p>
        </w:tc>
        <w:tc>
          <w:tcPr>
            <w:tcW w:w="1300" w:type="dxa"/>
            <w:vAlign w:val="bottom"/>
            <w:gridSpan w:val="2"/>
          </w:tcPr>
          <w:p>
            <w:pPr>
              <w:jc w:val="right"/>
              <w:ind w:right="2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56.1%</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59.1%</w:t>
            </w:r>
          </w:p>
        </w:tc>
        <w:tc>
          <w:tcPr>
            <w:tcW w:w="13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80" w:type="dxa"/>
            <w:vAlign w:val="bottom"/>
            <w:gridSpan w:val="2"/>
          </w:tcPr>
          <w:p>
            <w:pPr>
              <w:spacing w:after="0"/>
              <w:rPr>
                <w:sz w:val="20"/>
                <w:szCs w:val="20"/>
                <w:color w:val="auto"/>
              </w:rPr>
            </w:pPr>
            <w:r>
              <w:rPr>
                <w:rFonts w:ascii="Arial" w:cs="Arial" w:eastAsia="Arial" w:hAnsi="Arial"/>
                <w:sz w:val="18"/>
                <w:szCs w:val="18"/>
                <w:color w:val="auto"/>
              </w:rPr>
              <w:t>Expected life (in years)</w:t>
            </w:r>
          </w:p>
        </w:tc>
        <w:tc>
          <w:tcPr>
            <w:tcW w:w="360" w:type="dxa"/>
            <w:vAlign w:val="bottom"/>
          </w:tcPr>
          <w:p>
            <w:pPr>
              <w:jc w:val="right"/>
              <w:spacing w:after="0"/>
              <w:rPr>
                <w:sz w:val="20"/>
                <w:szCs w:val="20"/>
                <w:color w:val="auto"/>
              </w:rPr>
            </w:pPr>
            <w:r>
              <w:rPr>
                <w:rFonts w:ascii="Arial" w:cs="Arial" w:eastAsia="Arial" w:hAnsi="Arial"/>
                <w:sz w:val="18"/>
                <w:szCs w:val="18"/>
                <w:b w:val="1"/>
                <w:bCs w:val="1"/>
                <w:color w:val="auto"/>
              </w:rPr>
              <w:t>4.5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jc w:val="both"/>
        <w:ind w:right="560"/>
        <w:spacing w:after="0" w:line="268" w:lineRule="auto"/>
        <w:rPr>
          <w:sz w:val="20"/>
          <w:szCs w:val="20"/>
          <w:color w:val="auto"/>
        </w:rPr>
      </w:pPr>
      <w:r>
        <w:rPr>
          <w:rFonts w:ascii="Arial" w:cs="Arial" w:eastAsia="Arial" w:hAnsi="Arial"/>
          <w:sz w:val="18"/>
          <w:szCs w:val="18"/>
          <w:color w:val="auto"/>
        </w:rPr>
        <w:t>As described in Note 2, the Company granted 120,000 options as part of an acquisition made in 2004. These option grants are not considered stock-based compensation.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Commitments and Contingencies</w:t>
      </w:r>
    </w:p>
    <w:p>
      <w:pPr>
        <w:spacing w:after="0" w:line="225" w:lineRule="exact"/>
        <w:rPr>
          <w:sz w:val="20"/>
          <w:szCs w:val="20"/>
          <w:color w:val="auto"/>
        </w:rPr>
      </w:pPr>
    </w:p>
    <w:p>
      <w:pPr>
        <w:jc w:val="both"/>
        <w:ind w:right="100"/>
        <w:spacing w:after="0" w:line="294" w:lineRule="auto"/>
        <w:rPr>
          <w:sz w:val="20"/>
          <w:szCs w:val="20"/>
          <w:color w:val="auto"/>
        </w:rPr>
      </w:pPr>
      <w:r>
        <w:rPr>
          <w:rFonts w:ascii="Arial" w:cs="Arial" w:eastAsia="Arial" w:hAnsi="Arial"/>
          <w:sz w:val="16"/>
          <w:szCs w:val="16"/>
          <w:color w:val="auto"/>
        </w:rPr>
        <w:t>Liabilities for loss contingencies, including environmental remediation costs, arising from claims, assessments, litigation, fines, penalties, and other sources are recorded when it is probable that a liability has been incurred and the amount of the assessment and/or remediation can be reasonably estimated. The costs for a specific environmental remediation site are discounted if the aggregate amount of the obligation and the amount and timing of the cash payments for that site are fixed or reliably determinable based upon information derived from the remediation plan for that site. Accrued liabilities for environmental matters recorded at December 31, 2005 and 2004 do not include claims against third parties.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 xml:space="preserve">In November 2004, the FASB issued Statement No. 151, </w:t>
      </w:r>
      <w:r>
        <w:rPr>
          <w:rFonts w:ascii="Arial" w:cs="Arial" w:eastAsia="Arial" w:hAnsi="Arial"/>
          <w:sz w:val="16"/>
          <w:szCs w:val="16"/>
          <w:i w:val="1"/>
          <w:iCs w:val="1"/>
          <w:color w:val="auto"/>
        </w:rPr>
        <w:t>Inventory Costs—an amendment of ARB No. 43, Chapter 4</w:t>
      </w:r>
      <w:r>
        <w:rPr>
          <w:rFonts w:ascii="Arial" w:cs="Arial" w:eastAsia="Arial" w:hAnsi="Arial"/>
          <w:sz w:val="16"/>
          <w:szCs w:val="16"/>
          <w:color w:val="auto"/>
        </w:rPr>
        <w:t>, which amends and clarifies existing accounting literature regarding abnormal amounts of idle facility expense, freight, handling costs, and wasted material (spoilage). This statement is effective for inventory costs incurred during fiscal years beginning after June 15, 2005, with earlier application permitted. The provisions of this statement are to be applied prospectively. The adoption of this standard is not expected to have a material effect on the Company’s financial position, results of operations, or liquidity.</w:t>
      </w:r>
    </w:p>
    <w:p>
      <w:pPr>
        <w:spacing w:after="0" w:line="167"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 xml:space="preserve">In December 2004, the FASB issued Statement No. 123-R (“SFAS No. 123-R”),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This statement replaces SFAS No. 123, </w:t>
      </w:r>
      <w:r>
        <w:rPr>
          <w:rFonts w:ascii="Arial" w:cs="Arial" w:eastAsia="Arial" w:hAnsi="Arial"/>
          <w:sz w:val="16"/>
          <w:szCs w:val="16"/>
          <w:i w:val="1"/>
          <w:iCs w:val="1"/>
          <w:color w:val="auto"/>
        </w:rPr>
        <w:t>Accounting for</w:t>
      </w:r>
      <w:r>
        <w:rPr>
          <w:rFonts w:ascii="Arial" w:cs="Arial" w:eastAsia="Arial" w:hAnsi="Arial"/>
          <w:sz w:val="16"/>
          <w:szCs w:val="16"/>
          <w:color w:val="auto"/>
        </w:rPr>
        <w:t xml:space="preserve"> </w:t>
      </w:r>
      <w:r>
        <w:rPr>
          <w:rFonts w:ascii="Arial" w:cs="Arial" w:eastAsia="Arial" w:hAnsi="Arial"/>
          <w:sz w:val="16"/>
          <w:szCs w:val="16"/>
          <w:i w:val="1"/>
          <w:iCs w:val="1"/>
          <w:color w:val="auto"/>
        </w:rPr>
        <w:t>Stock-Based Compensation</w:t>
      </w:r>
      <w:r>
        <w:rPr>
          <w:rFonts w:ascii="Arial" w:cs="Arial" w:eastAsia="Arial" w:hAnsi="Arial"/>
          <w:sz w:val="16"/>
          <w:szCs w:val="16"/>
          <w:color w:val="auto"/>
        </w:rPr>
        <w:t>, and supersedes APB No. 25, which the Company presently applies. SFAS No. 123-R will require compensation costs related to</w:t>
      </w:r>
      <w:r>
        <w:rPr>
          <w:rFonts w:ascii="Arial" w:cs="Arial" w:eastAsia="Arial" w:hAnsi="Arial"/>
          <w:sz w:val="16"/>
          <w:szCs w:val="16"/>
          <w:i w:val="1"/>
          <w:iCs w:val="1"/>
          <w:color w:val="auto"/>
        </w:rPr>
        <w:t xml:space="preserve"> </w:t>
      </w:r>
      <w:r>
        <w:rPr>
          <w:rFonts w:ascii="Arial" w:cs="Arial" w:eastAsia="Arial" w:hAnsi="Arial"/>
          <w:sz w:val="16"/>
          <w:szCs w:val="16"/>
          <w:color w:val="auto"/>
        </w:rPr>
        <w:t>share-based payment transactions to be recognized in the consolidated financial statements (with limited exceptions). The amount of compensation cost will be measured based on the grant-date fair value of the equity or liability instruments issued. Compensation cost will be recognized over the period that an employee provides service in exchange for the award. In April 2005, the U.S. Securities and Exchange Commission delayed the compliance date for this standard until the first fiscal year that begins after June 15, 2005. Accordingly, Vishay will adopt this standard effective January 1, 2006. Vishay will use the modified prospective application transition method. The adoption of this standard is not expected to have a material effect on the Company’s financial position, results of operations, or liquidity.</w:t>
      </w:r>
    </w:p>
    <w:p>
      <w:pPr>
        <w:spacing w:after="0" w:line="172"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December 2004, the FASB issued Statement No. 153, </w:t>
      </w:r>
      <w:r>
        <w:rPr>
          <w:rFonts w:ascii="Arial" w:cs="Arial" w:eastAsia="Arial" w:hAnsi="Arial"/>
          <w:sz w:val="16"/>
          <w:szCs w:val="16"/>
          <w:i w:val="1"/>
          <w:iCs w:val="1"/>
          <w:color w:val="auto"/>
        </w:rPr>
        <w:t>Exchanges of Nonmonetary Assets—an amendment of APB Opinion No. 29.</w:t>
      </w:r>
      <w:r>
        <w:rPr>
          <w:rFonts w:ascii="Arial" w:cs="Arial" w:eastAsia="Arial" w:hAnsi="Arial"/>
          <w:sz w:val="16"/>
          <w:szCs w:val="16"/>
          <w:color w:val="auto"/>
        </w:rPr>
        <w:t xml:space="preserve"> This statement amends APB No. 29 to eliminate the exception for nonmonetary exchanges of similar productive assets and replaces it with a general exception for exchanges of nonmonetary assets that do not have commercial substance. A nonmonetary exchange has commercial substance if the future cash flows of the entity are expected to change significantly as a result of the exchange. The provisions of this statement are effective for nonmonetary asset exchanges occurring in fiscal periods beginning after June 15, 2005, with earlier application permitted. The provisions of this statement are to be applied prospectively. The adoption of this standard did not have a material effect on the Company’s financial position, results of operations, or liquidity.</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00"/>
          </w:cols>
          <w:pgMar w:left="240" w:top="584" w:right="25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u w:val="single" w:color="auto"/>
          <w:color w:val="auto"/>
        </w:rPr>
        <w:t>Note 1 – Summary of Significant Accounting Policies (continued)</w:t>
      </w:r>
    </w:p>
    <w:p>
      <w:pPr>
        <w:spacing w:after="0" w:line="23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 xml:space="preserve">In May 2005, the FASB issued Statement No.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 This statement replaces APB Opinion No. 20, </w:t>
      </w:r>
      <w:r>
        <w:rPr>
          <w:rFonts w:ascii="Arial" w:cs="Arial" w:eastAsia="Arial" w:hAnsi="Arial"/>
          <w:sz w:val="16"/>
          <w:szCs w:val="16"/>
          <w:i w:val="1"/>
          <w:iCs w:val="1"/>
          <w:color w:val="auto"/>
        </w:rPr>
        <w:t>Accounting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Changes, </w:t>
      </w:r>
      <w:r>
        <w:rPr>
          <w:rFonts w:ascii="Arial" w:cs="Arial" w:eastAsia="Arial" w:hAnsi="Arial"/>
          <w:sz w:val="16"/>
          <w:szCs w:val="16"/>
          <w:color w:val="auto"/>
        </w:rPr>
        <w:t>and SFAS No. 3,</w:t>
      </w:r>
      <w:r>
        <w:rPr>
          <w:rFonts w:ascii="Arial" w:cs="Arial" w:eastAsia="Arial" w:hAnsi="Arial"/>
          <w:sz w:val="16"/>
          <w:szCs w:val="16"/>
          <w:i w:val="1"/>
          <w:iCs w:val="1"/>
          <w:color w:val="auto"/>
        </w:rPr>
        <w:t xml:space="preserve"> Reporting Accounting Changes in Interim Financial Statements, </w:t>
      </w:r>
      <w:r>
        <w:rPr>
          <w:rFonts w:ascii="Arial" w:cs="Arial" w:eastAsia="Arial" w:hAnsi="Arial"/>
          <w:sz w:val="16"/>
          <w:szCs w:val="16"/>
          <w:color w:val="auto"/>
        </w:rPr>
        <w:t>and changes the requirements of the accounting for and reporting of a</w:t>
      </w:r>
      <w:r>
        <w:rPr>
          <w:rFonts w:ascii="Arial" w:cs="Arial" w:eastAsia="Arial" w:hAnsi="Arial"/>
          <w:sz w:val="16"/>
          <w:szCs w:val="16"/>
          <w:i w:val="1"/>
          <w:iCs w:val="1"/>
          <w:color w:val="auto"/>
        </w:rPr>
        <w:t xml:space="preserve"> </w:t>
      </w:r>
      <w:r>
        <w:rPr>
          <w:rFonts w:ascii="Arial" w:cs="Arial" w:eastAsia="Arial" w:hAnsi="Arial"/>
          <w:sz w:val="16"/>
          <w:szCs w:val="16"/>
          <w:color w:val="auto"/>
        </w:rPr>
        <w:t>change in accounting principle. This statement also provides guidance on the accounting for and reporting of error corrections. The provisions of this statement are applicable for accounting changes and error corrections made in fiscal years beginning after December 15, 2005. The Company does not expect the provisions of this statement to have a material impact on the Company’s financial position, results of operations, or liquidity.</w:t>
      </w:r>
    </w:p>
    <w:p>
      <w:pPr>
        <w:spacing w:after="0" w:line="170"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 xml:space="preserve">In June 2005, the Emerging Issues Task Force reached a consensus on Issue No. 05-5, </w:t>
      </w:r>
      <w:r>
        <w:rPr>
          <w:rFonts w:ascii="Arial" w:cs="Arial" w:eastAsia="Arial" w:hAnsi="Arial"/>
          <w:sz w:val="16"/>
          <w:szCs w:val="16"/>
          <w:i w:val="1"/>
          <w:iCs w:val="1"/>
          <w:color w:val="auto"/>
        </w:rPr>
        <w:t>Accounting for Early Retirement or Postemployment Programs with</w:t>
      </w:r>
      <w:r>
        <w:rPr>
          <w:rFonts w:ascii="Arial" w:cs="Arial" w:eastAsia="Arial" w:hAnsi="Arial"/>
          <w:sz w:val="16"/>
          <w:szCs w:val="16"/>
          <w:color w:val="auto"/>
        </w:rPr>
        <w:t xml:space="preserve"> </w:t>
      </w:r>
      <w:r>
        <w:rPr>
          <w:rFonts w:ascii="Arial" w:cs="Arial" w:eastAsia="Arial" w:hAnsi="Arial"/>
          <w:sz w:val="16"/>
          <w:szCs w:val="16"/>
          <w:i w:val="1"/>
          <w:iCs w:val="1"/>
          <w:color w:val="auto"/>
        </w:rPr>
        <w:t>Specific Features (such as Terms Specified in Altersteilzeit Early Retirement Arrangements)</w:t>
      </w:r>
      <w:r>
        <w:rPr>
          <w:rFonts w:ascii="Arial" w:cs="Arial" w:eastAsia="Arial" w:hAnsi="Arial"/>
          <w:sz w:val="16"/>
          <w:szCs w:val="16"/>
          <w:color w:val="auto"/>
        </w:rPr>
        <w:t>. Altersteilzeit (ATZ) in Germany is an early retirement program</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designed to create an incentive for employees, within a certain age group, to leave their employers before the legal retirement age. Although established by law, the actual arrangement between employers and employees is negotiated. The Task Force reached a consensus that the additional compensation under an ATZ arrangement should be accounted for as a postemployment benefit under SFAS No. 112, </w:t>
      </w:r>
      <w:r>
        <w:rPr>
          <w:rFonts w:ascii="Arial" w:cs="Arial" w:eastAsia="Arial" w:hAnsi="Arial"/>
          <w:sz w:val="16"/>
          <w:szCs w:val="16"/>
          <w:i w:val="1"/>
          <w:iCs w:val="1"/>
          <w:color w:val="auto"/>
        </w:rPr>
        <w:t>Employers’ Accounting for Postemployment Benefits</w:t>
      </w:r>
      <w:r>
        <w:rPr>
          <w:rFonts w:ascii="Arial" w:cs="Arial" w:eastAsia="Arial" w:hAnsi="Arial"/>
          <w:sz w:val="16"/>
          <w:szCs w:val="16"/>
          <w:color w:val="auto"/>
        </w:rPr>
        <w:t>. An entity should recognize the additional compensation over the period from the point at which the employee signs the ATZ contract until the end of the active service period. EITF 05-5 is effective for fiscal years beginning after December 15, 2005, and the impact is reported as a change in accounting estimate effected by a change in accounting principle. Vishay will adopt this standard effective January 1, 2006. The adoption of this standard is not expected to have a material effect on the Company’s consolidated financial position, results of operations, or liquidity.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Certain prior year amounts have been reclassified to conform to the current financial statement presentation.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00"/>
          </w:cols>
          <w:pgMar w:left="240" w:top="584" w:right="259" w:bottom="1440" w:gutter="0" w:footer="0" w:header="0"/>
        </w:sectPr>
      </w:pPr>
    </w:p>
    <w:bookmarkStart w:id="76" w:name="page77"/>
    <w:bookmarkEnd w:id="76"/>
    <w:p>
      <w:pPr>
        <w:spacing w:after="0"/>
        <w:rPr>
          <w:sz w:val="20"/>
          <w:szCs w:val="20"/>
          <w:color w:val="auto"/>
        </w:rPr>
      </w:pPr>
      <w:r>
        <w:rPr>
          <w:rFonts w:ascii="Arial" w:cs="Arial" w:eastAsia="Arial" w:hAnsi="Arial"/>
          <w:sz w:val="18"/>
          <w:szCs w:val="18"/>
          <w:b w:val="1"/>
          <w:bCs w:val="1"/>
          <w:u w:val="single" w:color="auto"/>
          <w:color w:val="auto"/>
        </w:rPr>
        <w:t>Note 2 - Acquisitions</w:t>
      </w:r>
    </w:p>
    <w:p>
      <w:pPr>
        <w:spacing w:after="0" w:line="231"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As part of its growth strategy, the Company seeks to expand through the acquisition of other manufacturers of electronic components that have established positions in major markets, reputations for product quality and reliability, and product lines with which the Company has substantial marketing and technical expertise.</w:t>
      </w:r>
    </w:p>
    <w:p>
      <w:pPr>
        <w:spacing w:after="0" w:line="194"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 pricing an acquisition, the Company focuses primarily on the target’s revenues and customer base, the strategic fit of the target’s product line with the Company’s existing product offerings, opportunities for cost cutting and integration with the Company’s existing operations and production and other post-acquisition synergies, rather than on the target’s assets, such as its property, equipment and inventory. As a result, the fair value of the acquired assets may correspond to a relatively smaller portion of the acquisition price, with the Company recording a substantial amount of goodwill related to the acquisition. These principles applied in particular to acquisitions in the Passive Components segment during 2002. The passive electronics business is a mature industry that, in general, has a slow organic growth rate linked to macro economic trends.</w:t>
      </w:r>
    </w:p>
    <w:p>
      <w:pPr>
        <w:spacing w:after="0" w:line="174" w:lineRule="exact"/>
        <w:rPr>
          <w:sz w:val="20"/>
          <w:szCs w:val="20"/>
          <w:color w:val="auto"/>
        </w:rPr>
      </w:pPr>
    </w:p>
    <w:p>
      <w:pPr>
        <w:ind w:right="620"/>
        <w:spacing w:after="0" w:line="268" w:lineRule="auto"/>
        <w:rPr>
          <w:sz w:val="20"/>
          <w:szCs w:val="20"/>
          <w:color w:val="auto"/>
        </w:rPr>
      </w:pPr>
      <w:r>
        <w:rPr>
          <w:rFonts w:ascii="Arial" w:cs="Arial" w:eastAsia="Arial" w:hAnsi="Arial"/>
          <w:sz w:val="18"/>
          <w:szCs w:val="18"/>
          <w:color w:val="auto"/>
        </w:rPr>
        <w:t>Also as part of its growth strategy, the Company seeks to explore opportunities with privately held developers of electronic components, whether through acquisition, investment in non-controlling interests, or strategic alliances.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SI Technologies, Inc.</w:t>
      </w:r>
    </w:p>
    <w:p>
      <w:pPr>
        <w:spacing w:after="0" w:line="225"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color w:val="auto"/>
        </w:rPr>
        <w:t>On April 28, 2005, the Company completed its acquisition of all of the outstanding capital stock of SI Technologies, Inc., a designer, manufacturer, and marketer of high-performance industrial sensors and controls, weighing and automotive systems, and related products. The purchase price was $17,660,000 in cash, plus the assumption of $10,693,000 of SI Technologies debt, of which Vishay caused $8,665,000 to be repaid subsequent to closing. The remaining outstanding amounts on the short-term revolving credit facility of SI Technologies’ European subsidiary were repaid during the third quarter of 2005.</w:t>
      </w:r>
    </w:p>
    <w:p>
      <w:pPr>
        <w:spacing w:after="0" w:line="16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On October 11, 2005, Vishay sold AeroGo, Inc., SI Technologies’ subsidiary engaged in the design, manufacture, and marketing of industrial automation products, for $4,888,000. The purchase price consisted of cash in the amount of $1,000,000, a promissory note of $500,000 due December 31, 2005, and a second promissory note of $3,388,000 payable in quarterly installments beginning in 2006. The first promissory note was paid in full in December 2005. The buyer prepaid $251,000 of the second promissory note in December 2005, and made an additional prepayment of $191,000 in January 2006. No gain or loss was recognized on the sale of AeroGo.</w:t>
      </w:r>
    </w:p>
    <w:p>
      <w:pPr>
        <w:spacing w:after="0" w:line="197"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results of operations of SI Technologies are included in the results of the Passive Components segment from April 28, 2005. After allocating the purchase price to the assets acquired and the liabilities assumed based on a preliminary evaluation of their fair values, the Company recorded goodwill of $11,811,000 related to this acquisition. The goodwill associated with this acquisition is not deductible for income tax purposes. The Company will perform an impairment test for the goodwill, which has been allocated to the Measurements Group reporting unit, at least annually in accordance with U.S. generally accepted accounting principles. The preliminary purchase price allocation is pending finalization of appraisals for property and equipment and intangible assets; adjustment of liabilities recorded subsequent to the finalization of an exit plan that management began to formulate prior to the acquisition date; and the related deferred tax effects of any adjustments. There can be no assurance that the estimated amounts will represent the final purchase price allocation.</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584" w:right="25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u w:val="single" w:color="auto"/>
          <w:color w:val="auto"/>
        </w:rPr>
        <w:t>Note 2 – Acquisitions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Acquisition of Minority Interest in Siliconix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color w:val="auto"/>
        </w:rPr>
        <w:t>On May 12, 2005, Vishay completed an exchange offer for shares of Siliconix incorporated (“Siliconix”) common stock that Vishay did not already own. Each Siliconix share tendered was exchanged for 3.075 shares of Vishay common stock, with cash paid in lieu of fractional shares of Vishay. Prior to the exchange offer, Vishay owned approximately 80.4% of the common stock of Siliconix. Following the completion of the exchange offer, Vishay’s ownership increased to approximately 95.5% of the common stock of Siliconix, which was above the threshold necessary to effect a merger without a vote of stockholders.</w:t>
      </w:r>
    </w:p>
    <w:p>
      <w:pPr>
        <w:spacing w:after="0" w:line="16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On May 16, 2005, Vishay effected a merger of a subsidiary of Vishay with and into Siliconix, as a result of which Siliconix became a wholly owned subsidiary of Vishay. In the merger, each share of Siliconix stock, other than those owned by Vishay and its subsidiaries, was converted into the right to receive 3.075 shares of Vishay common stock, subject to the right of Siliconix’s remaining stockholders to seek appraisal under Delaware law. The exercise period for filing a petition asserting appraisal rights under Delaware law expired on September 14, 2005. Although several holders notified the Company of their desire to exercise their appraisal rights, these holders either subsequently withdrew or otherwise did not validly assert those rights before the expiration date.</w:t>
      </w:r>
    </w:p>
    <w:p>
      <w:pPr>
        <w:spacing w:after="0" w:line="170" w:lineRule="exact"/>
        <w:rPr>
          <w:sz w:val="20"/>
          <w:szCs w:val="20"/>
          <w:color w:val="auto"/>
        </w:rPr>
      </w:pPr>
    </w:p>
    <w:p>
      <w:pPr>
        <w:jc w:val="both"/>
        <w:ind w:right="300"/>
        <w:spacing w:after="0" w:line="306" w:lineRule="auto"/>
        <w:rPr>
          <w:sz w:val="20"/>
          <w:szCs w:val="20"/>
          <w:color w:val="auto"/>
        </w:rPr>
      </w:pPr>
      <w:r>
        <w:rPr>
          <w:rFonts w:ascii="Arial" w:cs="Arial" w:eastAsia="Arial" w:hAnsi="Arial"/>
          <w:sz w:val="16"/>
          <w:szCs w:val="16"/>
          <w:color w:val="auto"/>
        </w:rPr>
        <w:t>As a controlled majority-owned subsidiary, the results of operations of Siliconix were included in the consolidated financial statements of Vishay prior to the acquisition of the minority interest, and the outside stockholders’ interests were shown as “minority interest” on the consolidated statements of operations and consolidated balance sheets. The results of operations of Siliconix will continue to be reported in the results of the Semiconductors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Litigation</w:t>
      </w:r>
    </w:p>
    <w:p>
      <w:pPr>
        <w:spacing w:after="0" w:line="225" w:lineRule="exact"/>
        <w:rPr>
          <w:sz w:val="20"/>
          <w:szCs w:val="20"/>
          <w:color w:val="auto"/>
        </w:rPr>
      </w:pPr>
    </w:p>
    <w:p>
      <w:pPr>
        <w:ind w:right="40"/>
        <w:spacing w:after="0" w:line="314" w:lineRule="auto"/>
        <w:rPr>
          <w:sz w:val="20"/>
          <w:szCs w:val="20"/>
          <w:color w:val="auto"/>
        </w:rPr>
      </w:pPr>
      <w:r>
        <w:rPr>
          <w:rFonts w:ascii="Arial" w:cs="Arial" w:eastAsia="Arial" w:hAnsi="Arial"/>
          <w:sz w:val="15"/>
          <w:szCs w:val="15"/>
          <w:color w:val="auto"/>
        </w:rPr>
        <w:t>Following the announcement of Vishay’s intention to make the tender offer for the remaining shares of Siliconix that Vishay did not already own, several purported class-action complaints were filed in the Delaware Chancery Court against Vishay, Siliconix, and the Siliconix directors, alleging, among other things, that the intended offer was unfair and a breach of fiduciary duty, and seeking, among other things, to enjoin the transaction. These actions were consolidated into a single class action, and the plaintiffs filed an amended complaint on April 18, 2005 further alleging that defendants failed to disclose or misrepresented material information relating to the tender offer. On April 28, 2005, the parties to the Delaware consolidated action executed a memorandum of understanding providing for the settlement of all claims relating to the tender offer. The settlement agreement reached with the plaintiffs was approved by the court on October 25, 2005.</w:t>
      </w:r>
    </w:p>
    <w:p>
      <w:pPr>
        <w:spacing w:after="0" w:line="15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 single stockholder class action also was filed in California state court challenging the tender offer. On April 26, 2005, the California Superior Court granted Vishay’s motion to stay the purported class action filed in California challenging the offer. Vishay will seek formal dismissal of this action, as, in its opinion, the court approval of the settlement of the Delaware consolidated action makes the California action moot.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584" w:right="259" w:bottom="1440" w:gutter="0" w:footer="0" w:header="0"/>
        </w:sectPr>
      </w:pPr>
    </w:p>
    <w:bookmarkStart w:id="78" w:name="page79"/>
    <w:bookmarkEnd w:id="78"/>
    <w:p>
      <w:pPr>
        <w:spacing w:after="0"/>
        <w:rPr>
          <w:sz w:val="20"/>
          <w:szCs w:val="20"/>
          <w:color w:val="auto"/>
        </w:rPr>
      </w:pPr>
      <w:r>
        <w:rPr>
          <w:rFonts w:ascii="Arial" w:cs="Arial" w:eastAsia="Arial" w:hAnsi="Arial"/>
          <w:sz w:val="18"/>
          <w:szCs w:val="18"/>
          <w:b w:val="1"/>
          <w:bCs w:val="1"/>
          <w:u w:val="single" w:color="auto"/>
          <w:color w:val="auto"/>
        </w:rPr>
        <w:t>Note 2 – Acquisitions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Siliconix Transaction-Related Expenses</w:t>
      </w:r>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Both Vishay and Siliconix incurred expenses associated with the defense of the stockholder litigation described above and the settlement of the Delaware action. Additionally, Siliconix incurred expenses related to the exchange offer, including costs of the special committee of independent Siliconix directors appointed to evaluate the offer and the costs of the special committee’s financial and legal advisors. These costs do not represent Vishay’s direct costs of the acquisition, and accordingly are not included in the purchase price. These costs, aggregating to $3,751,000, are included in a separate line item in the accompanying consolidated statement of operations for the year ended December 31, 2005.</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Allocation of Purchase Price</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The total purchase price for the acquisition of the minority interest in Siliconix was $199,224,000, including direct acquisition costs incurred by Vishay. Vishay valued the common stock issued in the transaction at $11.04 per share, the average closing price of its common stock for the period beginning three days immediately prior to the date the 3.075 exchange ratio was announced (April 21, 2005) and ending the three trading days immediately thereafter. The aggregate fair value was determined by multiplying the total number of shares of Vishay common stock issued in the exchange offer and subsequent merger (17,985,476 shares) by $11.04 per share. Cash was paid in lieu of fractional shares of Vishay.</w:t>
      </w:r>
    </w:p>
    <w:p>
      <w:pPr>
        <w:spacing w:after="0" w:line="170"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 xml:space="preserve">The acquisition of the Siliconix minority interest has been accounted for under the purchase method of accounting in accordance with U.S. generally accepted accounting principles. Accordingly, the cost to acquire the Siliconix minority interest in excess of its carrying value has been preliminarily allocated on a pro rata basis, as follows, to the assets acquired and liabilities assumed based on their fair values, with the excess being allocated to goodwill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Property and equipment</w:t>
            </w:r>
          </w:p>
        </w:tc>
        <w:tc>
          <w:tcPr>
            <w:tcW w:w="2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Completed technology</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14,290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Tradenames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16,052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Purchased in-process research and development</w:t>
            </w:r>
          </w:p>
        </w:tc>
        <w:tc>
          <w:tcPr>
            <w:tcW w:w="1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9,201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Deferred taxes</w:t>
            </w:r>
          </w:p>
        </w:tc>
        <w:tc>
          <w:tcPr>
            <w:tcW w:w="1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(4,077)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0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Pro rata allocation of fair value in excess of carrying value</w:t>
            </w:r>
          </w:p>
        </w:tc>
        <w:tc>
          <w:tcPr>
            <w:tcW w:w="2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 purchase price</w:t>
            </w:r>
          </w:p>
        </w:tc>
        <w:tc>
          <w:tcPr>
            <w:tcW w:w="2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199,224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080" w:type="dxa"/>
            <w:vAlign w:val="bottom"/>
          </w:tcPr>
          <w:p>
            <w:pPr>
              <w:spacing w:after="0"/>
              <w:rPr>
                <w:sz w:val="20"/>
                <w:szCs w:val="20"/>
                <w:color w:val="auto"/>
              </w:rPr>
            </w:pPr>
            <w:r>
              <w:rPr>
                <w:rFonts w:ascii="Arial" w:cs="Arial" w:eastAsia="Arial" w:hAnsi="Arial"/>
                <w:sz w:val="18"/>
                <w:szCs w:val="18"/>
                <w:color w:val="auto"/>
              </w:rPr>
              <w:t>Less minority interest recorded at May 12, 2005</w:t>
            </w:r>
          </w:p>
        </w:tc>
        <w:tc>
          <w:tcPr>
            <w:tcW w:w="1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97,012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0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080" w:type="dxa"/>
            <w:vAlign w:val="bottom"/>
          </w:tcPr>
          <w:p>
            <w:pPr>
              <w:spacing w:after="0"/>
              <w:rPr>
                <w:sz w:val="8"/>
                <w:szCs w:val="8"/>
                <w:color w:val="auto"/>
              </w:rPr>
            </w:pPr>
          </w:p>
        </w:tc>
        <w:tc>
          <w:tcPr>
            <w:tcW w:w="194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9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Net purchase price</w:t>
            </w:r>
          </w:p>
        </w:tc>
        <w:tc>
          <w:tcPr>
            <w:tcW w:w="2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102,212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6080" w:type="dxa"/>
            <w:vAlign w:val="bottom"/>
          </w:tcPr>
          <w:p>
            <w:pPr>
              <w:spacing w:after="0"/>
              <w:rPr>
                <w:sz w:val="9"/>
                <w:szCs w:val="9"/>
                <w:color w:val="auto"/>
              </w:rPr>
            </w:pPr>
          </w:p>
        </w:tc>
        <w:tc>
          <w:tcPr>
            <w:tcW w:w="194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90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2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08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5834380</wp:posOffset>
            </wp:positionH>
            <wp:positionV relativeFrom="paragraph">
              <wp:posOffset>-1047750</wp:posOffset>
            </wp:positionV>
            <wp:extent cx="12700"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-1047750</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5894705</wp:posOffset>
            </wp:positionH>
            <wp:positionV relativeFrom="paragraph">
              <wp:posOffset>-1047750</wp:posOffset>
            </wp:positionV>
            <wp:extent cx="1270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-327025</wp:posOffset>
            </wp:positionV>
            <wp:extent cx="65595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55955" cy="29845"/>
                    </a:xfrm>
                    <a:prstGeom prst="rect">
                      <a:avLst/>
                    </a:prstGeom>
                    <a:noFill/>
                  </pic:spPr>
                </pic:pic>
              </a:graphicData>
            </a:graphic>
          </wp:anchor>
        </w:drawing>
        <w:drawing>
          <wp:anchor simplePos="0" relativeHeight="251657728" behindDoc="1" locked="0" layoutInCell="0" allowOverlap="1">
            <wp:simplePos x="0" y="0"/>
            <wp:positionH relativeFrom="column">
              <wp:posOffset>5834380</wp:posOffset>
            </wp:positionH>
            <wp:positionV relativeFrom="paragraph">
              <wp:posOffset>-27305</wp:posOffset>
            </wp:positionV>
            <wp:extent cx="65595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55955" cy="29845"/>
                    </a:xfrm>
                    <a:prstGeom prst="rect">
                      <a:avLst/>
                    </a:prstGeom>
                    <a:noFill/>
                  </pic:spPr>
                </pic:pic>
              </a:graphicData>
            </a:graphic>
          </wp:anchor>
        </w:drawing>
      </w:r>
    </w:p>
    <w:p>
      <w:pPr>
        <w:spacing w:after="0" w:line="296" w:lineRule="exact"/>
        <w:rPr>
          <w:sz w:val="20"/>
          <w:szCs w:val="20"/>
          <w:color w:val="auto"/>
        </w:rPr>
      </w:pPr>
    </w:p>
    <w:p>
      <w:pPr>
        <w:jc w:val="both"/>
        <w:ind w:right="380"/>
        <w:spacing w:after="0" w:line="259" w:lineRule="auto"/>
        <w:rPr>
          <w:sz w:val="20"/>
          <w:szCs w:val="20"/>
          <w:color w:val="auto"/>
        </w:rPr>
      </w:pPr>
      <w:r>
        <w:rPr>
          <w:rFonts w:ascii="Arial" w:cs="Arial" w:eastAsia="Arial" w:hAnsi="Arial"/>
          <w:sz w:val="18"/>
          <w:szCs w:val="18"/>
          <w:color w:val="auto"/>
        </w:rPr>
        <w:t>The tradenames will not be subject to amortization, but will be tested at least annually for impairment. The completed technology will be amortized over a weighted-average useful life of 15 years. The customer relationships will be amortized over a ten year useful life. The other intangible assets which will be amortized over one year.</w:t>
      </w:r>
    </w:p>
    <w:p>
      <w:pPr>
        <w:spacing w:after="0" w:line="194" w:lineRule="exact"/>
        <w:rPr>
          <w:sz w:val="20"/>
          <w:szCs w:val="20"/>
          <w:color w:val="auto"/>
        </w:rPr>
      </w:pPr>
    </w:p>
    <w:p>
      <w:pPr>
        <w:ind w:right="100"/>
        <w:spacing w:after="0" w:line="318" w:lineRule="auto"/>
        <w:rPr>
          <w:sz w:val="20"/>
          <w:szCs w:val="20"/>
          <w:color w:val="auto"/>
        </w:rPr>
      </w:pPr>
      <w:r>
        <w:rPr>
          <w:rFonts w:ascii="Arial" w:cs="Arial" w:eastAsia="Arial" w:hAnsi="Arial"/>
          <w:sz w:val="15"/>
          <w:szCs w:val="15"/>
          <w:color w:val="auto"/>
        </w:rPr>
        <w:t>Purchased in-process research and development represents the value assigned in a business combination to research and development projects of the acquired business that were commenced, but not completed, at the date of acquisition, for which technological feasibility has not been established, and which have no alternative future use in research and development activities or otherwise. Amounts assigned to purchased in-process research and development meeting the above criteria must be charged to expense at the date of consummation of the business combination. A charge of $9,201,000 was recorded in the second quarter of 2005, equal to approximately 19.6% of the value of Siliconix in-process research and development at the time of the acquisition of the minority interest.</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360"/>
          </w:cols>
          <w:pgMar w:left="240" w:top="584" w:right="299" w:bottom="1440" w:gutter="0" w:footer="0" w:header="0"/>
        </w:sectPr>
      </w:pPr>
    </w:p>
    <w:bookmarkStart w:id="79" w:name="page80"/>
    <w:bookmarkEnd w:id="79"/>
    <w:p>
      <w:pPr>
        <w:spacing w:after="0"/>
        <w:rPr>
          <w:sz w:val="20"/>
          <w:szCs w:val="20"/>
          <w:color w:val="auto"/>
        </w:rPr>
      </w:pPr>
      <w:r>
        <w:rPr>
          <w:rFonts w:ascii="Arial" w:cs="Arial" w:eastAsia="Arial" w:hAnsi="Arial"/>
          <w:sz w:val="18"/>
          <w:szCs w:val="18"/>
          <w:b w:val="1"/>
          <w:bCs w:val="1"/>
          <w:u w:val="single" w:color="auto"/>
          <w:color w:val="auto"/>
        </w:rPr>
        <w:t>Note 2 – Acquisitions (continued)</w:t>
      </w:r>
    </w:p>
    <w:p>
      <w:pPr>
        <w:spacing w:after="0" w:line="231"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The goodwill associated with this transaction is not deductible for income tax purposes. The Company will perform an impairment test for the goodwill, which has been allocated to the Semiconductors reporting unit, at least annually in accordance with U.S. generally accepted accounting principles. Factors that contributed to a purchase price resulting in the recognition of a significant amount of goodwill included the value perceived by Vishay of full control over the Siliconix business and the desire to quickly resolve legal challenges to the tender offer.</w:t>
      </w:r>
    </w:p>
    <w:p>
      <w:pPr>
        <w:spacing w:after="0" w:line="197"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This preliminary purchase price allocation is pending finalization of appraisals for property and equipment and intangible assets and the related deferred tax effects of any adjustments. The Company received updated appraisals during the fourth quarter of 2005, which resulted in a decrease in goodwill arising from the transaction of approximately $8 million. There can be no assurance that the estimated amounts will represent the final purchase price allocation.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Other niche acquisitions</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In the fourth quarter of 2005, the Company completed two niche acquisitions. On October 24, 2005, the Company acquired the assets of CyOptics Israel, Ltd. These assets were integrated into a wholly-owned subsidiary of Vishay in Israel and are intended to be used primarily for research and development purposes. On November 30, 2005, the Company acquired Alpha Electronics K.K., a Japanese manufacturer of foil resistors. The results of operations of Alpha Electronics</w:t>
      </w:r>
    </w:p>
    <w:p>
      <w:pPr>
        <w:spacing w:after="0" w:line="1" w:lineRule="exact"/>
        <w:rPr>
          <w:sz w:val="20"/>
          <w:szCs w:val="20"/>
          <w:color w:val="auto"/>
        </w:rPr>
      </w:pPr>
    </w:p>
    <w:p>
      <w:pPr>
        <w:ind w:right="20" w:firstLine="8"/>
        <w:spacing w:after="0" w:line="292" w:lineRule="auto"/>
        <w:tabs>
          <w:tab w:leader="none" w:pos="385" w:val="left"/>
        </w:tabs>
        <w:numPr>
          <w:ilvl w:val="0"/>
          <w:numId w:val="16"/>
        </w:numPr>
        <w:rPr>
          <w:rFonts w:ascii="Arial" w:cs="Arial" w:eastAsia="Arial" w:hAnsi="Arial"/>
          <w:sz w:val="16"/>
          <w:szCs w:val="16"/>
          <w:color w:val="auto"/>
        </w:rPr>
      </w:pPr>
      <w:r>
        <w:rPr>
          <w:rFonts w:ascii="Arial" w:cs="Arial" w:eastAsia="Arial" w:hAnsi="Arial"/>
          <w:sz w:val="16"/>
          <w:szCs w:val="16"/>
          <w:color w:val="auto"/>
        </w:rPr>
        <w:t>are included in the results of the Passive Components segment from November 30, 2005. The purchase price for these two acquisitions was approximately $11 million, plus assumption of debt of approximately $8 million. After allocating the purchase price to the assets acquired and the liabilities assumed based on a preliminary evaluation of their fair values, the Company recorded goodwill of $1,521,000. The goodwill associated with these transactions is not deductible for income tax purposes. The Company will test the goodwill for impairment at least annually in accordance with U.S. generally accepted accounting principles. The inclusion of these entities did not have a material impact on consolidated results for the year ended December 31, 2005.</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A charge of $493,000 was recorded in the fourth quarter of 2005 related to the value of the acquired in-process research and development.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preliminary purchase price allocation is pending finalization of appraisals for property and equipment, intangible assets, and in-process research and development, and the related deferred tax effects of any adjustments. There can be no assurance that the estimated amounts will represent the final purchase price allocation.</w:t>
      </w:r>
    </w:p>
    <w:p>
      <w:pPr>
        <w:spacing w:after="0" w:line="194" w:lineRule="exact"/>
        <w:rPr>
          <w:sz w:val="20"/>
          <w:szCs w:val="20"/>
          <w:color w:val="auto"/>
        </w:rPr>
      </w:pPr>
    </w:p>
    <w:p>
      <w:pPr>
        <w:jc w:val="both"/>
        <w:ind w:right="340"/>
        <w:spacing w:after="0" w:line="259" w:lineRule="auto"/>
        <w:rPr>
          <w:sz w:val="20"/>
          <w:szCs w:val="20"/>
          <w:color w:val="auto"/>
        </w:rPr>
      </w:pPr>
      <w:r>
        <w:rPr>
          <w:rFonts w:ascii="Arial" w:cs="Arial" w:eastAsia="Arial" w:hAnsi="Arial"/>
          <w:sz w:val="18"/>
          <w:szCs w:val="18"/>
          <w:color w:val="auto"/>
        </w:rPr>
        <w:t>Concurrent with the acquisition of Alpha Electronics K.K., the Company entered into noncompete agreements with several directors, employees and former employees of Alpha Electronics K.K. These noncompete agreements have terms of ten years. The noncompete agreements are valued at approximately $5.5 million and are being amortized over the ten year term of the agreements.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During 2004, the Company made two acquisitions. On August 31, 2004, the Company acquired substantially all of the assets of RFWaves, Ltd., a fab-less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integrated circuit design house located in Israel. On September 29, 2004, the Company acquired all of the outstanding shares of Aeroflex Pearl River Inc.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(renamed Vishay MIC Technology, Inc.), the former thin film interconnect subsidiary of Aeroflex, Incorporated. The total purchase price of these acquisitions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was approximately $12,700,000, which included cash payments of $11,800,000 plus 120,000 stock options with an aggregate fair value of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$900,000. The stock options were valued using the Black-Scholes option-pricing model. The significant assumptions used included an exercise price of $12.75</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(market price on date of grant), an expected dividend yield of 0.0%, a risk-free interest rate of 3.76%, an expected volatility of 54.3%, and expected life of 7.0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years.  The purchase agreement for RFWaves includes provisions for Vishay to pay additional consideration subject to RFWaves achieving operational targets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through 2006. The payment of this additional consideration would not be material to Vishay’s financial position or cash flows.</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00"/>
          </w:cols>
          <w:pgMar w:left="240" w:top="584"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u w:val="single" w:color="auto"/>
          <w:color w:val="auto"/>
        </w:rPr>
        <w:t>Note 2 – Acquisitions (continued)</w:t>
      </w:r>
    </w:p>
    <w:p>
      <w:pPr>
        <w:spacing w:after="0" w:line="23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A charge of $1,500,000 was recorded in the third quarter of 2004 related to the value of the acquired in-process research and development associated with the RFWaves acquisition.</w:t>
      </w:r>
    </w:p>
    <w:p>
      <w:pPr>
        <w:spacing w:after="0" w:line="18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For financial reporting purposes, the results of operations for RFWaves have been included in the Semiconductors segment from August 31, 2004. The results of operations for Vishay MIC Technology have been included in the Passive Components segment from September 29, 2004. The inclusion of these entities did not have a material impact on consolidated results for the year ended December 31, 2004. After allocating the purchase price to the assets acquired and liabilities assumed based on an evaluation of their fair values, the Company recorded goodwill of $10.1 million related to these acquisitions.</w:t>
      </w:r>
    </w:p>
    <w:p>
      <w:pPr>
        <w:spacing w:after="0" w:line="16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Had these acquisitions occurred as of the beginning of the periods presented in these consolidated financial statements, the pro forma statements of operations would not be materially different than the consolidated statements of operations presented.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 acquisitions were made during the year ended December 31, 2003.</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Results</w:t>
      </w:r>
    </w:p>
    <w:p>
      <w:pPr>
        <w:spacing w:after="0" w:line="225" w:lineRule="exact"/>
        <w:rPr>
          <w:sz w:val="20"/>
          <w:szCs w:val="20"/>
          <w:color w:val="auto"/>
        </w:rPr>
      </w:pPr>
    </w:p>
    <w:p>
      <w:pPr>
        <w:ind w:right="960"/>
        <w:spacing w:after="0" w:line="268" w:lineRule="auto"/>
        <w:rPr>
          <w:sz w:val="20"/>
          <w:szCs w:val="20"/>
          <w:color w:val="auto"/>
        </w:rPr>
      </w:pPr>
      <w:r>
        <w:rPr>
          <w:rFonts w:ascii="Arial" w:cs="Arial" w:eastAsia="Arial" w:hAnsi="Arial"/>
          <w:sz w:val="18"/>
          <w:szCs w:val="18"/>
          <w:color w:val="auto"/>
        </w:rPr>
        <w:t xml:space="preserve">The unaudited pro forma results would have been as follows, assuming the 2005 acquisitions had occurred at the beginning of each period presented </w:t>
      </w:r>
      <w:r>
        <w:rPr>
          <w:rFonts w:ascii="Arial" w:cs="Arial" w:eastAsia="Arial" w:hAnsi="Arial"/>
          <w:sz w:val="18"/>
          <w:szCs w:val="18"/>
          <w:i w:val="1"/>
          <w:iCs w:val="1"/>
          <w:color w:val="auto"/>
        </w:rPr>
        <w:t>(in thousands, except per share amounts):</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2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4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Years ended December 31,</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160" w:type="dxa"/>
            <w:vAlign w:val="bottom"/>
          </w:tcPr>
          <w:p>
            <w:pPr>
              <w:spacing w:after="0"/>
              <w:rPr>
                <w:sz w:val="22"/>
                <w:szCs w:val="22"/>
                <w:color w:val="auto"/>
              </w:rPr>
            </w:pPr>
          </w:p>
        </w:tc>
        <w:tc>
          <w:tcPr>
            <w:tcW w:w="2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99"/>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96"/>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1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160" w:type="dxa"/>
            <w:vAlign w:val="bottom"/>
          </w:tcPr>
          <w:p>
            <w:pPr>
              <w:spacing w:after="0"/>
              <w:rPr>
                <w:sz w:val="8"/>
                <w:szCs w:val="8"/>
                <w:color w:val="auto"/>
              </w:rPr>
            </w:pPr>
          </w:p>
        </w:tc>
        <w:tc>
          <w:tcPr>
            <w:tcW w:w="25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 forma net sales</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2,319,685</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2,465,256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 forma net earnings</w:t>
            </w:r>
          </w:p>
        </w:tc>
        <w:tc>
          <w:tcPr>
            <w:tcW w:w="2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61,862</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49,900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Pro forma earnings per share - basic</w:t>
            </w:r>
          </w:p>
        </w:tc>
        <w:tc>
          <w:tcPr>
            <w:tcW w:w="2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4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160" w:type="dxa"/>
            <w:vAlign w:val="bottom"/>
          </w:tcPr>
          <w:p>
            <w:pPr>
              <w:spacing w:after="0"/>
              <w:rPr>
                <w:sz w:val="20"/>
                <w:szCs w:val="20"/>
                <w:color w:val="auto"/>
              </w:rPr>
            </w:pPr>
            <w:r>
              <w:rPr>
                <w:rFonts w:ascii="Arial" w:cs="Arial" w:eastAsia="Arial" w:hAnsi="Arial"/>
                <w:sz w:val="18"/>
                <w:szCs w:val="18"/>
                <w:color w:val="auto"/>
              </w:rPr>
              <w:t>Pro forma earnings per share - diluted</w:t>
            </w:r>
          </w:p>
        </w:tc>
        <w:tc>
          <w:tcPr>
            <w:tcW w:w="27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0.33</w:t>
            </w:r>
          </w:p>
        </w:tc>
        <w:tc>
          <w:tcPr>
            <w:tcW w:w="4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0.27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95" w:lineRule="exact"/>
        <w:rPr>
          <w:sz w:val="20"/>
          <w:szCs w:val="20"/>
          <w:color w:val="auto"/>
        </w:rPr>
      </w:pPr>
    </w:p>
    <w:p>
      <w:pPr>
        <w:ind w:right="460"/>
        <w:spacing w:after="0" w:line="332" w:lineRule="auto"/>
        <w:rPr>
          <w:sz w:val="20"/>
          <w:szCs w:val="20"/>
          <w:color w:val="auto"/>
        </w:rPr>
      </w:pPr>
      <w:r>
        <w:rPr>
          <w:rFonts w:ascii="Arial" w:cs="Arial" w:eastAsia="Arial" w:hAnsi="Arial"/>
          <w:sz w:val="16"/>
          <w:szCs w:val="16"/>
          <w:color w:val="auto"/>
        </w:rPr>
        <w:t>The pro forma information includes adjustments for adjustments to depreciation based on the fair value of property and equipment acquired, adjustments to amortization based on the fair value of intangible assets, elimination of the minority interest in net earnings related to Siliconix, and tax related effects.</w:t>
      </w:r>
    </w:p>
    <w:p>
      <w:pPr>
        <w:spacing w:after="0" w:line="139"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color w:val="auto"/>
        </w:rPr>
        <w:t>The unaudited pro forma results are not necessarily indicative of the results that would have been attained had the acquisitions occurred at the beginning of the periods presented.</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00"/>
          </w:cols>
          <w:pgMar w:left="240" w:top="584" w:right="259" w:bottom="1440" w:gutter="0" w:footer="0" w:header="0"/>
        </w:sectPr>
      </w:pPr>
    </w:p>
    <w:bookmarkStart w:id="81" w:name="page82"/>
    <w:bookmarkEnd w:id="81"/>
    <w:p>
      <w:pPr>
        <w:spacing w:after="0"/>
        <w:rPr>
          <w:sz w:val="20"/>
          <w:szCs w:val="20"/>
          <w:color w:val="auto"/>
        </w:rPr>
      </w:pPr>
      <w:r>
        <w:rPr>
          <w:rFonts w:ascii="Arial" w:cs="Arial" w:eastAsia="Arial" w:hAnsi="Arial"/>
          <w:sz w:val="18"/>
          <w:szCs w:val="18"/>
          <w:b w:val="1"/>
          <w:bCs w:val="1"/>
          <w:u w:val="single" w:color="auto"/>
          <w:color w:val="auto"/>
        </w:rPr>
        <w:t>Note 3 – Goodwill and Other Intangible Assets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changes in the carrying amounts of goodwill by segment for the years ended December 31, 2005 and 2004 were as follows </w:t>
      </w:r>
      <w:r>
        <w:rPr>
          <w:rFonts w:ascii="Arial" w:cs="Arial" w:eastAsia="Arial" w:hAnsi="Arial"/>
          <w:sz w:val="18"/>
          <w:szCs w:val="18"/>
          <w:i w:val="1"/>
          <w:iCs w:val="1"/>
          <w:color w:val="auto"/>
        </w:rPr>
        <w:t>(in thousands):</w:t>
      </w:r>
    </w:p>
    <w:p>
      <w:pPr>
        <w:spacing w:after="0" w:line="28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Passive</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7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85"/>
              </w:rPr>
              <w:t>Semiconductors</w:t>
            </w:r>
          </w:p>
        </w:tc>
        <w:tc>
          <w:tcPr>
            <w:tcW w:w="180" w:type="dxa"/>
            <w:vAlign w:val="bottom"/>
          </w:tcPr>
          <w:p>
            <w:pPr>
              <w:spacing w:after="0"/>
              <w:rPr>
                <w:sz w:val="15"/>
                <w:szCs w:val="15"/>
                <w:color w:val="auto"/>
              </w:rPr>
            </w:pPr>
          </w:p>
        </w:tc>
        <w:tc>
          <w:tcPr>
            <w:tcW w:w="12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93"/>
              </w:rPr>
              <w:t>Components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January 1, 2004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883,392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583,322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1,466,714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8,600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10,100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allocation adjustments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(32,242)</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(16,247)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(48,489)</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including currency translation adjustments</w:t>
            </w:r>
          </w:p>
        </w:tc>
        <w:tc>
          <w:tcPr>
            <w:tcW w:w="1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color w:val="auto"/>
              </w:rPr>
              <w:t>(106)</w:t>
            </w:r>
          </w:p>
        </w:tc>
        <w:tc>
          <w:tcPr>
            <w:tcW w:w="18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6,902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6,796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2004</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852,544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582,577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1,435,121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Goodwill acquired during the year</w:t>
            </w:r>
          </w:p>
        </w:tc>
        <w:tc>
          <w:tcPr>
            <w:tcW w:w="12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43,123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13,332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b w:val="1"/>
                <w:bCs w:val="1"/>
                <w:color w:val="auto"/>
              </w:rPr>
              <w:t>56,455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Purchase price allocation adjustments</w:t>
            </w:r>
          </w:p>
        </w:tc>
        <w:tc>
          <w:tcPr>
            <w:tcW w:w="1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(22,115)</w:t>
            </w: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(1,746)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(23,861)</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040" w:type="dxa"/>
            <w:vAlign w:val="bottom"/>
          </w:tcPr>
          <w:p>
            <w:pPr>
              <w:spacing w:after="0"/>
              <w:rPr>
                <w:sz w:val="20"/>
                <w:szCs w:val="20"/>
                <w:color w:val="auto"/>
              </w:rPr>
            </w:pPr>
            <w:r>
              <w:rPr>
                <w:rFonts w:ascii="Arial" w:cs="Arial" w:eastAsia="Arial" w:hAnsi="Arial"/>
                <w:sz w:val="18"/>
                <w:szCs w:val="18"/>
                <w:color w:val="auto"/>
              </w:rPr>
              <w:t>Other, including currency translation adjustments</w:t>
            </w:r>
          </w:p>
        </w:tc>
        <w:tc>
          <w:tcPr>
            <w:tcW w:w="120" w:type="dxa"/>
            <w:vAlign w:val="bottom"/>
          </w:tcPr>
          <w:p>
            <w:pPr>
              <w:spacing w:after="0"/>
              <w:rPr>
                <w:sz w:val="19"/>
                <w:szCs w:val="19"/>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(8,983)</w:t>
            </w:r>
          </w:p>
        </w:tc>
        <w:tc>
          <w:tcPr>
            <w:tcW w:w="180" w:type="dxa"/>
            <w:vAlign w:val="bottom"/>
          </w:tcPr>
          <w:p>
            <w:pPr>
              <w:spacing w:after="0"/>
              <w:rPr>
                <w:sz w:val="19"/>
                <w:szCs w:val="19"/>
                <w:color w:val="auto"/>
              </w:rPr>
            </w:pPr>
          </w:p>
        </w:tc>
        <w:tc>
          <w:tcPr>
            <w:tcW w:w="12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(23,831)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(32,814)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70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1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864,569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570,332</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1,434,901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0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4479925</wp:posOffset>
            </wp:positionH>
            <wp:positionV relativeFrom="paragraph">
              <wp:posOffset>-29210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5414645</wp:posOffset>
            </wp:positionH>
            <wp:positionV relativeFrom="paragraph">
              <wp:posOffset>-29210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5483225</wp:posOffset>
            </wp:positionH>
            <wp:positionV relativeFrom="paragraph">
              <wp:posOffset>-29210</wp:posOffset>
            </wp:positionV>
            <wp:extent cx="17106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1710690" cy="29845"/>
                    </a:xfrm>
                    <a:prstGeom prst="rect">
                      <a:avLst/>
                    </a:prstGeom>
                    <a:noFill/>
                  </pic:spPr>
                </pic:pic>
              </a:graphicData>
            </a:graphic>
          </wp:anchor>
        </w:drawing>
      </w:r>
    </w:p>
    <w:p>
      <w:pPr>
        <w:spacing w:after="0" w:line="293"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Passive Components segment goodwill is allocated to the Other Passives and Measurements Group reporting units for SFAS No. 142 evaluation purposes. Goodwill allocated to the Other Passives reporting unit at December 31, 2005 and 2004 was $522,814,000 and $543,568,000, respectively. Goodwill allocated to the Measurements Group reporting unit at December 31, 2005 and 2004 was $47,518,000 and $39,009,000, respectively.</w:t>
      </w:r>
    </w:p>
    <w:p>
      <w:pPr>
        <w:spacing w:after="0" w:line="161"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Purchase price allocation adjustments recorded in 2004 are attributable to changes in estimates related to restructuring activities subsequent to the BCcomponents and General Semiconductor acquisitions and reversals of deferred tax related items established in purchase accounting.</w:t>
      </w:r>
    </w:p>
    <w:p>
      <w:pPr>
        <w:spacing w:after="0" w:line="186"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Purchase price allocation adjustments recorded in 2005 are attributable to reversals of deferred tax related items and accruals for certain tax contingencies established in purchase accounting.</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584" w:right="239" w:bottom="1440" w:gutter="0" w:footer="0" w:header="0"/>
        </w:sectPr>
      </w:pPr>
    </w:p>
    <w:bookmarkStart w:id="82" w:name="page83"/>
    <w:bookmarkEnd w:id="82"/>
    <w:p>
      <w:pPr>
        <w:spacing w:after="0"/>
        <w:rPr>
          <w:sz w:val="20"/>
          <w:szCs w:val="20"/>
          <w:color w:val="auto"/>
        </w:rPr>
      </w:pPr>
      <w:r>
        <w:rPr>
          <w:rFonts w:ascii="Arial" w:cs="Arial" w:eastAsia="Arial" w:hAnsi="Arial"/>
          <w:sz w:val="18"/>
          <w:szCs w:val="18"/>
          <w:b w:val="1"/>
          <w:bCs w:val="1"/>
          <w:u w:val="single" w:color="auto"/>
          <w:color w:val="auto"/>
        </w:rPr>
        <w:t>Note 3 – Goodwill and Other Intangible Assets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Other intangible assets were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612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40" w:type="dxa"/>
            <w:vAlign w:val="bottom"/>
            <w:gridSpan w:val="5"/>
          </w:tcPr>
          <w:p>
            <w:pPr>
              <w:ind w:left="580"/>
              <w:spacing w:after="0"/>
              <w:rPr>
                <w:sz w:val="20"/>
                <w:szCs w:val="20"/>
                <w:color w:val="auto"/>
              </w:rPr>
            </w:pPr>
            <w:r>
              <w:rPr>
                <w:rFonts w:ascii="Arial" w:cs="Arial" w:eastAsia="Arial" w:hAnsi="Arial"/>
                <w:sz w:val="14"/>
                <w:szCs w:val="14"/>
                <w:b w:val="1"/>
                <w:bCs w:val="1"/>
                <w:color w:val="auto"/>
                <w:w w:val="92"/>
              </w:rPr>
              <w:t>December 31,</w:t>
            </w: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12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920" w:type="dxa"/>
            <w:vAlign w:val="bottom"/>
          </w:tcPr>
          <w:p>
            <w:pPr>
              <w:jc w:val="right"/>
              <w:ind w:right="395"/>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Subject to Amortization (Definite Lived):</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40"/>
              <w:spacing w:after="0"/>
              <w:rPr>
                <w:sz w:val="20"/>
                <w:szCs w:val="20"/>
                <w:color w:val="auto"/>
              </w:rPr>
            </w:pPr>
            <w:r>
              <w:rPr>
                <w:rFonts w:ascii="Arial" w:cs="Arial" w:eastAsia="Arial" w:hAnsi="Arial"/>
                <w:sz w:val="18"/>
                <w:szCs w:val="18"/>
                <w:color w:val="auto"/>
              </w:rPr>
              <w:t>Patents and acquired technology</w:t>
            </w:r>
          </w:p>
        </w:tc>
        <w:tc>
          <w:tcPr>
            <w:tcW w:w="180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91,230</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79,801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Capitalized software</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38,611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37,612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40"/>
              <w:spacing w:after="0"/>
              <w:rPr>
                <w:sz w:val="20"/>
                <w:szCs w:val="20"/>
                <w:color w:val="auto"/>
              </w:rPr>
            </w:pPr>
            <w:r>
              <w:rPr>
                <w:rFonts w:ascii="Arial" w:cs="Arial" w:eastAsia="Arial" w:hAnsi="Arial"/>
                <w:sz w:val="18"/>
                <w:szCs w:val="18"/>
                <w:color w:val="auto"/>
              </w:rPr>
              <w:t>Customer relationships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19,906</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9,045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158,792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119,901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Accumulated amortization:</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40"/>
              <w:spacing w:after="0"/>
              <w:rPr>
                <w:sz w:val="20"/>
                <w:szCs w:val="20"/>
                <w:color w:val="auto"/>
              </w:rPr>
            </w:pPr>
            <w:r>
              <w:rPr>
                <w:rFonts w:ascii="Arial" w:cs="Arial" w:eastAsia="Arial" w:hAnsi="Arial"/>
                <w:sz w:val="18"/>
                <w:szCs w:val="18"/>
                <w:color w:val="auto"/>
              </w:rPr>
              <w:t>Patents and acquired technology</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(32,299)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(23,753)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Capitalized software</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(27,546)</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(26,742)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ind w:left="840"/>
              <w:spacing w:after="0"/>
              <w:rPr>
                <w:sz w:val="20"/>
                <w:szCs w:val="20"/>
                <w:color w:val="auto"/>
              </w:rPr>
            </w:pPr>
            <w:r>
              <w:rPr>
                <w:rFonts w:ascii="Arial" w:cs="Arial" w:eastAsia="Arial" w:hAnsi="Arial"/>
                <w:sz w:val="18"/>
                <w:szCs w:val="18"/>
                <w:color w:val="auto"/>
              </w:rPr>
              <w:t>Customer relationships</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(1,019)</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Other</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(1,164)</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(62,028)</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(52,095)</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Intangible Assets Subject to Amortization</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96,764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67,806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tcPr>
          <w:p>
            <w:pPr>
              <w:spacing w:after="0"/>
              <w:rPr>
                <w:sz w:val="20"/>
                <w:szCs w:val="20"/>
                <w:color w:val="auto"/>
              </w:rPr>
            </w:pPr>
            <w:r>
              <w:rPr>
                <w:rFonts w:ascii="Arial" w:cs="Arial" w:eastAsia="Arial" w:hAnsi="Arial"/>
                <w:sz w:val="18"/>
                <w:szCs w:val="18"/>
                <w:color w:val="auto"/>
              </w:rPr>
              <w:t>Intangible Assets Not Subject to Amortization (Indefinite Lived):</w:t>
            </w:r>
          </w:p>
        </w:tc>
        <w:tc>
          <w:tcPr>
            <w:tcW w:w="15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ind w:left="840"/>
              <w:spacing w:after="0"/>
              <w:rPr>
                <w:sz w:val="20"/>
                <w:szCs w:val="20"/>
                <w:color w:val="auto"/>
              </w:rPr>
            </w:pPr>
            <w:r>
              <w:rPr>
                <w:rFonts w:ascii="Arial" w:cs="Arial" w:eastAsia="Arial" w:hAnsi="Arial"/>
                <w:sz w:val="18"/>
                <w:szCs w:val="18"/>
                <w:color w:val="auto"/>
              </w:rPr>
              <w:t>Tradenames</w:t>
            </w:r>
          </w:p>
        </w:tc>
        <w:tc>
          <w:tcPr>
            <w:tcW w:w="15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77,456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59,991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20" w:type="dxa"/>
            <w:vAlign w:val="bottom"/>
          </w:tcPr>
          <w:p>
            <w:pPr>
              <w:spacing w:after="0"/>
              <w:rPr>
                <w:sz w:val="9"/>
                <w:szCs w:val="9"/>
                <w:color w:val="auto"/>
              </w:rPr>
            </w:pPr>
          </w:p>
        </w:tc>
        <w:tc>
          <w:tcPr>
            <w:tcW w:w="154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120" w:type="dxa"/>
            <w:vAlign w:val="bottom"/>
          </w:tcPr>
          <w:p>
            <w:pPr>
              <w:spacing w:after="0"/>
              <w:rPr>
                <w:sz w:val="8"/>
                <w:szCs w:val="8"/>
                <w:color w:val="auto"/>
              </w:rPr>
            </w:pPr>
          </w:p>
        </w:tc>
        <w:tc>
          <w:tcPr>
            <w:tcW w:w="154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2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174,220</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127,797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2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-29210</wp:posOffset>
            </wp:positionV>
            <wp:extent cx="12700"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-29210</wp:posOffset>
            </wp:positionV>
            <wp:extent cx="153035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530350" cy="29845"/>
                    </a:xfrm>
                    <a:prstGeom prst="rect">
                      <a:avLst/>
                    </a:prstGeom>
                    <a:noFill/>
                  </pic:spPr>
                </pic:pic>
              </a:graphicData>
            </a:graphic>
          </wp:anchor>
        </w:drawing>
      </w:r>
    </w:p>
    <w:p>
      <w:pPr>
        <w:spacing w:after="0" w:line="29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Other definite lived intangible assets is comprised of noncompete agreements, acquired backlog, and certain tradenames. Amortization expense was $11,954,000, $9,052,000, and $11,634,000 for the years ended December 31, 2005, 2004, and 2003,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Estimated annual amortization expense for each of the next five years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1720" w:type="dxa"/>
        <w:tblCellMar>
          <w:top w:w="0" w:type="dxa"/>
          <w:left w:w="0" w:type="dxa"/>
          <w:bottom w:w="0" w:type="dxa"/>
          <w:right w:w="0" w:type="dxa"/>
        </w:tblCellMar>
      </w:tblPr>
      <w:tr>
        <w:trPr>
          <w:trHeight w:val="216"/>
        </w:trPr>
        <w:tc>
          <w:tcPr>
            <w:tcW w:w="2100" w:type="dxa"/>
            <w:vAlign w:val="bottom"/>
            <w:shd w:val="clear" w:color="auto" w:fill="CCEEFF"/>
          </w:tcPr>
          <w:p>
            <w:pPr>
              <w:jc w:val="right"/>
              <w:ind w:right="1652"/>
              <w:spacing w:after="0"/>
              <w:rPr>
                <w:sz w:val="20"/>
                <w:szCs w:val="20"/>
                <w:color w:val="auto"/>
              </w:rPr>
            </w:pPr>
            <w:r>
              <w:rPr>
                <w:rFonts w:ascii="Arial" w:cs="Arial" w:eastAsia="Arial" w:hAnsi="Arial"/>
                <w:sz w:val="18"/>
                <w:szCs w:val="18"/>
                <w:color w:val="auto"/>
                <w:w w:val="84"/>
              </w:rPr>
              <w:t>2006</w:t>
            </w:r>
          </w:p>
        </w:tc>
        <w:tc>
          <w:tcPr>
            <w:tcW w:w="51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12,613</w:t>
            </w:r>
          </w:p>
        </w:tc>
      </w:tr>
      <w:tr>
        <w:trPr>
          <w:trHeight w:val="216"/>
        </w:trPr>
        <w:tc>
          <w:tcPr>
            <w:tcW w:w="2100" w:type="dxa"/>
            <w:vAlign w:val="bottom"/>
          </w:tcPr>
          <w:p>
            <w:pPr>
              <w:jc w:val="right"/>
              <w:ind w:right="1652"/>
              <w:spacing w:after="0"/>
              <w:rPr>
                <w:sz w:val="20"/>
                <w:szCs w:val="20"/>
                <w:color w:val="auto"/>
              </w:rPr>
            </w:pPr>
            <w:r>
              <w:rPr>
                <w:rFonts w:ascii="Arial" w:cs="Arial" w:eastAsia="Arial" w:hAnsi="Arial"/>
                <w:sz w:val="18"/>
                <w:szCs w:val="18"/>
                <w:color w:val="auto"/>
                <w:w w:val="84"/>
              </w:rPr>
              <w:t>2007</w:t>
            </w:r>
          </w:p>
        </w:tc>
        <w:tc>
          <w:tcPr>
            <w:tcW w:w="5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11,569</w:t>
            </w:r>
          </w:p>
        </w:tc>
      </w:tr>
      <w:tr>
        <w:trPr>
          <w:trHeight w:val="216"/>
        </w:trPr>
        <w:tc>
          <w:tcPr>
            <w:tcW w:w="2100" w:type="dxa"/>
            <w:vAlign w:val="bottom"/>
            <w:shd w:val="clear" w:color="auto" w:fill="CCEEFF"/>
          </w:tcPr>
          <w:p>
            <w:pPr>
              <w:jc w:val="right"/>
              <w:ind w:right="1652"/>
              <w:spacing w:after="0"/>
              <w:rPr>
                <w:sz w:val="20"/>
                <w:szCs w:val="20"/>
                <w:color w:val="auto"/>
              </w:rPr>
            </w:pPr>
            <w:r>
              <w:rPr>
                <w:rFonts w:ascii="Arial" w:cs="Arial" w:eastAsia="Arial" w:hAnsi="Arial"/>
                <w:sz w:val="18"/>
                <w:szCs w:val="18"/>
                <w:color w:val="auto"/>
                <w:w w:val="84"/>
              </w:rPr>
              <w:t>2008</w:t>
            </w:r>
          </w:p>
        </w:tc>
        <w:tc>
          <w:tcPr>
            <w:tcW w:w="5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11,554</w:t>
            </w:r>
          </w:p>
        </w:tc>
      </w:tr>
      <w:tr>
        <w:trPr>
          <w:trHeight w:val="216"/>
        </w:trPr>
        <w:tc>
          <w:tcPr>
            <w:tcW w:w="2100" w:type="dxa"/>
            <w:vAlign w:val="bottom"/>
          </w:tcPr>
          <w:p>
            <w:pPr>
              <w:jc w:val="right"/>
              <w:ind w:right="1652"/>
              <w:spacing w:after="0"/>
              <w:rPr>
                <w:sz w:val="20"/>
                <w:szCs w:val="20"/>
                <w:color w:val="auto"/>
              </w:rPr>
            </w:pPr>
            <w:r>
              <w:rPr>
                <w:rFonts w:ascii="Arial" w:cs="Arial" w:eastAsia="Arial" w:hAnsi="Arial"/>
                <w:sz w:val="18"/>
                <w:szCs w:val="18"/>
                <w:color w:val="auto"/>
                <w:w w:val="84"/>
              </w:rPr>
              <w:t>2009</w:t>
            </w:r>
          </w:p>
        </w:tc>
        <w:tc>
          <w:tcPr>
            <w:tcW w:w="51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10,389</w:t>
            </w:r>
          </w:p>
        </w:tc>
      </w:tr>
      <w:tr>
        <w:trPr>
          <w:trHeight w:val="216"/>
        </w:trPr>
        <w:tc>
          <w:tcPr>
            <w:tcW w:w="2100" w:type="dxa"/>
            <w:vAlign w:val="bottom"/>
            <w:shd w:val="clear" w:color="auto" w:fill="CCEEFF"/>
          </w:tcPr>
          <w:p>
            <w:pPr>
              <w:jc w:val="right"/>
              <w:ind w:right="1652"/>
              <w:spacing w:after="0"/>
              <w:rPr>
                <w:sz w:val="20"/>
                <w:szCs w:val="20"/>
                <w:color w:val="auto"/>
              </w:rPr>
            </w:pPr>
            <w:r>
              <w:rPr>
                <w:rFonts w:ascii="Arial" w:cs="Arial" w:eastAsia="Arial" w:hAnsi="Arial"/>
                <w:sz w:val="18"/>
                <w:szCs w:val="18"/>
                <w:color w:val="auto"/>
                <w:w w:val="84"/>
              </w:rPr>
              <w:t>2010</w:t>
            </w:r>
          </w:p>
        </w:tc>
        <w:tc>
          <w:tcPr>
            <w:tcW w:w="51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10,469</w:t>
            </w:r>
          </w:p>
        </w:tc>
      </w:tr>
      <w:tr>
        <w:trPr>
          <w:trHeight w:val="430"/>
        </w:trPr>
        <w:tc>
          <w:tcPr>
            <w:tcW w:w="2100" w:type="dxa"/>
            <w:vAlign w:val="bottom"/>
          </w:tcPr>
          <w:p>
            <w:pPr>
              <w:spacing w:after="0"/>
              <w:rPr>
                <w:sz w:val="24"/>
                <w:szCs w:val="24"/>
                <w:color w:val="auto"/>
              </w:rPr>
            </w:pPr>
          </w:p>
        </w:tc>
        <w:tc>
          <w:tcPr>
            <w:tcW w:w="5160" w:type="dxa"/>
            <w:vAlign w:val="bottom"/>
          </w:tcPr>
          <w:p>
            <w:pPr>
              <w:jc w:val="right"/>
              <w:ind w:right="3012"/>
              <w:spacing w:after="0"/>
              <w:rPr>
                <w:sz w:val="20"/>
                <w:szCs w:val="20"/>
                <w:color w:val="auto"/>
              </w:rPr>
            </w:pPr>
            <w:r>
              <w:rPr>
                <w:rFonts w:ascii="Arial" w:cs="Arial" w:eastAsia="Arial" w:hAnsi="Arial"/>
                <w:sz w:val="18"/>
                <w:szCs w:val="18"/>
                <w:color w:val="auto"/>
              </w:rPr>
              <w:t>F-23</w:t>
            </w:r>
          </w:p>
        </w:tc>
        <w:tc>
          <w:tcPr>
            <w:tcW w:w="720" w:type="dxa"/>
            <w:vAlign w:val="bottom"/>
          </w:tcPr>
          <w:p>
            <w:pPr>
              <w:spacing w:after="0"/>
              <w:rPr>
                <w:sz w:val="24"/>
                <w:szCs w:val="24"/>
                <w:color w:val="auto"/>
              </w:rPr>
            </w:pPr>
          </w:p>
        </w:tc>
      </w:tr>
    </w:tbl>
    <w:p>
      <w:pPr>
        <w:sectPr>
          <w:pgSz w:w="11900" w:h="16838" w:orient="portrait"/>
          <w:cols w:equalWidth="0" w:num="1">
            <w:col w:w="11400"/>
          </w:cols>
          <w:pgMar w:left="240" w:top="584" w:right="259" w:bottom="1440" w:gutter="0" w:footer="0" w:header="0"/>
        </w:sectPr>
      </w:pPr>
    </w:p>
    <w:bookmarkStart w:id="83" w:name="page84"/>
    <w:bookmarkEnd w:id="83"/>
    <w:p>
      <w:pPr>
        <w:spacing w:after="0"/>
        <w:rPr>
          <w:sz w:val="20"/>
          <w:szCs w:val="20"/>
          <w:color w:val="auto"/>
        </w:rPr>
      </w:pPr>
      <w:r>
        <w:rPr>
          <w:rFonts w:ascii="Arial" w:cs="Arial" w:eastAsia="Arial" w:hAnsi="Arial"/>
          <w:sz w:val="18"/>
          <w:szCs w:val="18"/>
          <w:b w:val="1"/>
          <w:bCs w:val="1"/>
          <w:u w:val="single" w:color="auto"/>
          <w:color w:val="auto"/>
        </w:rPr>
        <w:t>Note 4 – Restructuring and Severance Costs and Related Asset Write-Downs</w:t>
      </w:r>
    </w:p>
    <w:p>
      <w:pPr>
        <w:spacing w:after="0" w:line="231"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Restructuring and severance costs reflect the cost reduction programs currently being implemented by the Company. These include the closing of facilities and the termination of employees. Severance costs also include executive severance and charges for the fair value of stock options of certain former employees which were modified such that they did not expire at termination. Restructuring costs are expensed during the period in which the Company determines it will incur those costs and all requirements of accrual are met. Because these costs are recorded based upon estimates, actual expenditures for the restructuring activities may differ from the initially recorded costs. If the initial estimates are too low or too high, the Company could be required either to record additional expenses in future periods or to reverse part of the previously recorded charges. Asset write-downs are principally related to buildings and equipment that will not be used subsequent to the completion of restructuring plans presently being implemented, and cannot be sold for amounts in excess of carrying value.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2005</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Company recorded restructuring and severance costs of $28,735,000 during the year ended December 31, 2005. Restructuring of European and Asian operations included $24,825,000 of employee termination costs covering 906 technical, production, administrative and support employees located in the Republic of China (Taiwan), Germany, France, the Netherlands, the United Kingdom, Spain, Portugal, Austria, the Czech Republic, the People’s Republic of China, Sweden, Norway, Finland and Hungary. Included in employee termination costs is a pension settlement charge of $3,255,000 related to 194 employees in the Republic of China (Taiwan). The remaining $3,910,000 of severance costs relates to termination costs of 159 technical, production, administrative, and support employees and three executives in the United States. The Company also incurred $1,037,000 of other exit costs. The restructuring and severance costs were incurred as part of the continuing cost reduction programs currently being implemented by the Company.</w:t>
      </w:r>
    </w:p>
    <w:p>
      <w:pPr>
        <w:spacing w:after="0" w:line="17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Company also recorded asset write-downs of $11,416,000 related to these restructuring programs. Asset write-downs included amounts to reduce the carrying value of certain buildings which had been vacated as part of restructuring activities, based on expected future selling prices. At December 31, 2005, these buildings had a carrying value of $9,500,000, which has been reclassified to “other assets” as assets held-for-sale. Additionally, these charges included the write-down to salvage value of certain equipment which the Company has determined will not be used at other Vishay locations subsequent to the execution of its restructuring plans.</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summarizes activity to date related to restructuring programs initiated in 2005 </w:t>
      </w:r>
      <w:r>
        <w:rPr>
          <w:rFonts w:ascii="Arial" w:cs="Arial" w:eastAsia="Arial" w:hAnsi="Arial"/>
          <w:sz w:val="16"/>
          <w:szCs w:val="16"/>
          <w:i w:val="1"/>
          <w:iCs w:val="1"/>
          <w:color w:val="auto"/>
        </w:rPr>
        <w:t>(in thousands, except for number of employees):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3"/>
              </w:rPr>
              <w:t>Employees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Severance</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right"/>
              <w:ind w:right="520"/>
              <w:spacing w:after="0" w:line="149" w:lineRule="exact"/>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to be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6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Costs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Exit Costs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15"/>
                <w:szCs w:val="15"/>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Terminated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Restructuring and severance costs</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28,735</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29,772</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1,068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tcPr>
          <w:p>
            <w:pPr>
              <w:spacing w:after="0"/>
              <w:rPr>
                <w:sz w:val="20"/>
                <w:szCs w:val="20"/>
                <w:color w:val="auto"/>
              </w:rPr>
            </w:pPr>
            <w:r>
              <w:rPr>
                <w:rFonts w:ascii="Arial" w:cs="Arial" w:eastAsia="Arial" w:hAnsi="Arial"/>
                <w:sz w:val="18"/>
                <w:szCs w:val="18"/>
                <w:color w:val="auto"/>
              </w:rPr>
              <w:t>Utilized</w:t>
            </w: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(18,487)</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(638)</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(19,125)</w:t>
            </w:r>
          </w:p>
        </w:tc>
        <w:tc>
          <w:tcPr>
            <w:tcW w:w="126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(979)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w:t>
            </w: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(130)</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(130)</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6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80" w:type="dxa"/>
            <w:vAlign w:val="bottom"/>
          </w:tcPr>
          <w:p>
            <w:pPr>
              <w:spacing w:after="0"/>
              <w:rPr>
                <w:sz w:val="8"/>
                <w:szCs w:val="8"/>
                <w:color w:val="auto"/>
              </w:rPr>
            </w:pPr>
          </w:p>
        </w:tc>
        <w:tc>
          <w:tcPr>
            <w:tcW w:w="13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8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2005</w:t>
            </w:r>
          </w:p>
        </w:tc>
        <w:tc>
          <w:tcPr>
            <w:tcW w:w="14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10,118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399</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10,517</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3544570</wp:posOffset>
            </wp:positionH>
            <wp:positionV relativeFrom="paragraph">
              <wp:posOffset>-27305</wp:posOffset>
            </wp:positionV>
            <wp:extent cx="3297555"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297555" cy="29845"/>
                    </a:xfrm>
                    <a:prstGeom prst="rect">
                      <a:avLst/>
                    </a:prstGeom>
                    <a:noFill/>
                  </pic:spPr>
                </pic:pic>
              </a:graphicData>
            </a:graphic>
          </wp:anchor>
        </w:drawing>
      </w:r>
    </w:p>
    <w:p>
      <w:pPr>
        <w:spacing w:after="0" w:line="29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Substantially all of the remaining restructuring liability, currently shown in other accrued expenses, is expected to be paid by December 31, 2006. The payment terms related to these restructuring programs varies, usually based on local customs and laws. Most severance amounts are paid in a lump sum at termination, while some payments are structured to be paid in installments.</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584" w:right="239" w:bottom="1440" w:gutter="0" w:footer="0" w:header="0"/>
        </w:sectPr>
      </w:pPr>
    </w:p>
    <w:bookmarkStart w:id="84" w:name="page85"/>
    <w:bookmarkEnd w:id="84"/>
    <w:p>
      <w:pPr>
        <w:spacing w:after="0"/>
        <w:rPr>
          <w:sz w:val="20"/>
          <w:szCs w:val="20"/>
          <w:color w:val="auto"/>
        </w:rPr>
      </w:pPr>
      <w:r>
        <w:rPr>
          <w:rFonts w:ascii="Arial" w:cs="Arial" w:eastAsia="Arial" w:hAnsi="Arial"/>
          <w:sz w:val="18"/>
          <w:szCs w:val="18"/>
          <w:b w:val="1"/>
          <w:bCs w:val="1"/>
          <w:u w:val="single" w:color="auto"/>
          <w:color w:val="auto"/>
        </w:rPr>
        <w:t>Note 4 – Restructuring and Severance Costs and Related Asset Write-Downs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2004</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summarizes restructuring programs initiated during the year ended December 31, 2004 </w:t>
      </w:r>
      <w:r>
        <w:rPr>
          <w:rFonts w:ascii="Arial" w:cs="Arial" w:eastAsia="Arial" w:hAnsi="Arial"/>
          <w:sz w:val="16"/>
          <w:szCs w:val="16"/>
          <w:i w:val="1"/>
          <w:iCs w:val="1"/>
          <w:color w:val="auto"/>
        </w:rPr>
        <w:t>(in thousands, except for number of employees):</w:t>
      </w:r>
    </w:p>
    <w:p>
      <w:pPr>
        <w:spacing w:after="0" w:line="231" w:lineRule="exact"/>
        <w:rPr>
          <w:sz w:val="20"/>
          <w:szCs w:val="20"/>
          <w:color w:val="auto"/>
        </w:rPr>
      </w:pPr>
    </w:p>
    <w:tbl>
      <w:tblPr>
        <w:tblLayout w:type="fixed"/>
        <w:tblInd w:w="58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05" w:type="dxa"/>
            <w:vAlign w:val="bottom"/>
          </w:tcPr>
          <w:p>
            <w:pPr>
              <w:spacing w:after="0"/>
              <w:rPr>
                <w:sz w:val="14"/>
                <w:szCs w:val="14"/>
                <w:color w:val="auto"/>
              </w:rPr>
            </w:pPr>
          </w:p>
        </w:tc>
        <w:tc>
          <w:tcPr>
            <w:tcW w:w="835" w:type="dxa"/>
            <w:vAlign w:val="bottom"/>
          </w:tcPr>
          <w:p>
            <w:pPr>
              <w:jc w:val="right"/>
              <w:ind w:right="119"/>
              <w:spacing w:after="0"/>
              <w:rPr>
                <w:sz w:val="20"/>
                <w:szCs w:val="20"/>
                <w:color w:val="auto"/>
              </w:rPr>
            </w:pPr>
            <w:r>
              <w:rPr>
                <w:rFonts w:ascii="Arial" w:cs="Arial" w:eastAsia="Arial" w:hAnsi="Arial"/>
                <w:sz w:val="14"/>
                <w:szCs w:val="14"/>
                <w:b w:val="1"/>
                <w:bCs w:val="1"/>
                <w:color w:val="auto"/>
                <w:w w:val="88"/>
              </w:rPr>
              <w:t>Severance</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ind w:right="239"/>
              <w:spacing w:after="0"/>
              <w:rPr>
                <w:sz w:val="20"/>
                <w:szCs w:val="20"/>
                <w:color w:val="auto"/>
              </w:rPr>
            </w:pPr>
            <w:r>
              <w:rPr>
                <w:rFonts w:ascii="Arial" w:cs="Arial" w:eastAsia="Arial" w:hAnsi="Arial"/>
                <w:sz w:val="14"/>
                <w:szCs w:val="14"/>
                <w:b w:val="1"/>
                <w:bCs w:val="1"/>
                <w:color w:val="auto"/>
              </w:rPr>
              <w:t>Other</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40" w:type="dxa"/>
            <w:vAlign w:val="bottom"/>
          </w:tcPr>
          <w:p>
            <w:pPr>
              <w:jc w:val="right"/>
              <w:ind w:right="272"/>
              <w:spacing w:after="0"/>
              <w:rPr>
                <w:sz w:val="20"/>
                <w:szCs w:val="20"/>
                <w:color w:val="auto"/>
              </w:rPr>
            </w:pPr>
            <w:r>
              <w:rPr>
                <w:rFonts w:ascii="Arial" w:cs="Arial" w:eastAsia="Arial" w:hAnsi="Arial"/>
                <w:sz w:val="14"/>
                <w:szCs w:val="14"/>
                <w:b w:val="1"/>
                <w:bCs w:val="1"/>
                <w:color w:val="auto"/>
              </w:rPr>
              <w:t>Asset</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3"/>
              </w:rPr>
              <w:t>Employees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5" w:type="dxa"/>
            <w:vAlign w:val="bottom"/>
          </w:tcPr>
          <w:p>
            <w:pPr>
              <w:spacing w:after="0"/>
              <w:rPr>
                <w:sz w:val="15"/>
                <w:szCs w:val="15"/>
                <w:color w:val="auto"/>
              </w:rPr>
            </w:pPr>
          </w:p>
        </w:tc>
        <w:tc>
          <w:tcPr>
            <w:tcW w:w="835" w:type="dxa"/>
            <w:vAlign w:val="bottom"/>
          </w:tcPr>
          <w:p>
            <w:pPr>
              <w:jc w:val="right"/>
              <w:ind w:right="259"/>
              <w:spacing w:after="0"/>
              <w:rPr>
                <w:sz w:val="20"/>
                <w:szCs w:val="20"/>
                <w:color w:val="auto"/>
              </w:rPr>
            </w:pPr>
            <w:r>
              <w:rPr>
                <w:rFonts w:ascii="Arial" w:cs="Arial" w:eastAsia="Arial" w:hAnsi="Arial"/>
                <w:sz w:val="14"/>
                <w:szCs w:val="14"/>
                <w:b w:val="1"/>
                <w:bCs w:val="1"/>
                <w:color w:val="auto"/>
              </w:rPr>
              <w:t>Costs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ind w:right="119"/>
              <w:spacing w:after="0"/>
              <w:rPr>
                <w:sz w:val="20"/>
                <w:szCs w:val="20"/>
                <w:color w:val="auto"/>
              </w:rPr>
            </w:pPr>
            <w:r>
              <w:rPr>
                <w:rFonts w:ascii="Arial" w:cs="Arial" w:eastAsia="Arial" w:hAnsi="Arial"/>
                <w:sz w:val="14"/>
                <w:szCs w:val="14"/>
                <w:b w:val="1"/>
                <w:bCs w:val="1"/>
                <w:color w:val="auto"/>
                <w:w w:val="87"/>
              </w:rPr>
              <w:t>Exit Costs</w:t>
            </w:r>
          </w:p>
        </w:tc>
        <w:tc>
          <w:tcPr>
            <w:tcW w:w="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8"/>
              </w:rPr>
              <w:t>Write-downs</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7"/>
              </w:rPr>
              <w:t>Terminated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835"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4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5" w:type="dxa"/>
            <w:vAlign w:val="bottom"/>
          </w:tcPr>
          <w:p>
            <w:pPr>
              <w:spacing w:after="0"/>
              <w:rPr>
                <w:sz w:val="8"/>
                <w:szCs w:val="8"/>
                <w:color w:val="auto"/>
              </w:rPr>
            </w:pPr>
          </w:p>
        </w:tc>
        <w:tc>
          <w:tcPr>
            <w:tcW w:w="8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Colmar, France facility closure</w:t>
            </w:r>
          </w:p>
        </w:tc>
        <w:tc>
          <w:tcPr>
            <w:tcW w:w="174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2,513</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 European and Asian programs</w:t>
            </w:r>
          </w:p>
        </w:tc>
        <w:tc>
          <w:tcPr>
            <w:tcW w:w="164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835" w:type="dxa"/>
            <w:vAlign w:val="bottom"/>
          </w:tcPr>
          <w:p>
            <w:pPr>
              <w:jc w:val="right"/>
              <w:spacing w:after="0"/>
              <w:rPr>
                <w:sz w:val="20"/>
                <w:szCs w:val="20"/>
                <w:color w:val="auto"/>
              </w:rPr>
            </w:pPr>
            <w:r>
              <w:rPr>
                <w:rFonts w:ascii="Arial" w:cs="Arial" w:eastAsia="Arial" w:hAnsi="Arial"/>
                <w:sz w:val="18"/>
                <w:szCs w:val="18"/>
                <w:color w:val="auto"/>
              </w:rPr>
              <w:t>17,932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17,119</w:t>
            </w:r>
          </w:p>
        </w:tc>
        <w:tc>
          <w:tcPr>
            <w:tcW w:w="1140" w:type="dxa"/>
            <w:vAlign w:val="bottom"/>
            <w:gridSpan w:val="3"/>
          </w:tcPr>
          <w:p>
            <w:pPr>
              <w:jc w:val="right"/>
              <w:spacing w:after="0"/>
              <w:rPr>
                <w:sz w:val="20"/>
                <w:szCs w:val="20"/>
                <w:color w:val="auto"/>
              </w:rPr>
            </w:pPr>
            <w:r>
              <w:rPr>
                <w:rFonts w:ascii="Arial" w:cs="Arial" w:eastAsia="Arial" w:hAnsi="Arial"/>
                <w:sz w:val="18"/>
                <w:szCs w:val="18"/>
                <w:color w:val="auto"/>
              </w:rPr>
              <w:t>467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U.S. programs</w:t>
            </w:r>
          </w:p>
        </w:tc>
        <w:tc>
          <w:tcPr>
            <w:tcW w:w="1640" w:type="dxa"/>
            <w:vAlign w:val="bottom"/>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8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7,664</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200" w:type="dxa"/>
            <w:vAlign w:val="bottom"/>
          </w:tcPr>
          <w:p>
            <w:pPr>
              <w:spacing w:after="0"/>
              <w:rPr>
                <w:sz w:val="9"/>
                <w:szCs w:val="9"/>
                <w:color w:val="auto"/>
              </w:rPr>
            </w:pPr>
          </w:p>
        </w:tc>
        <w:tc>
          <w:tcPr>
            <w:tcW w:w="164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835"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8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05" w:type="dxa"/>
            <w:vAlign w:val="bottom"/>
          </w:tcPr>
          <w:p>
            <w:pPr>
              <w:spacing w:after="0"/>
              <w:rPr>
                <w:sz w:val="8"/>
                <w:szCs w:val="8"/>
                <w:color w:val="auto"/>
              </w:rPr>
            </w:pPr>
          </w:p>
        </w:tc>
        <w:tc>
          <w:tcPr>
            <w:tcW w:w="835" w:type="dxa"/>
            <w:vAlign w:val="bottom"/>
          </w:tcPr>
          <w:p>
            <w:pPr>
              <w:spacing w:after="0"/>
              <w:rPr>
                <w:sz w:val="8"/>
                <w:szCs w:val="8"/>
                <w:color w:val="auto"/>
              </w:rPr>
            </w:pPr>
          </w:p>
        </w:tc>
        <w:tc>
          <w:tcPr>
            <w:tcW w:w="180" w:type="dxa"/>
            <w:vAlign w:val="bottom"/>
          </w:tcPr>
          <w:p>
            <w:pPr>
              <w:spacing w:after="0"/>
              <w:rPr>
                <w:sz w:val="8"/>
                <w:szCs w:val="8"/>
                <w:color w:val="auto"/>
              </w:rPr>
            </w:pPr>
          </w:p>
        </w:tc>
        <w:tc>
          <w:tcPr>
            <w:tcW w:w="1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8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745"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83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43,080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27,296</w:t>
            </w:r>
          </w:p>
        </w:tc>
        <w:tc>
          <w:tcPr>
            <w:tcW w:w="11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864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835"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8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4084955</wp:posOffset>
            </wp:positionH>
            <wp:positionV relativeFrom="paragraph">
              <wp:posOffset>-29210</wp:posOffset>
            </wp:positionV>
            <wp:extent cx="12700"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-29210</wp:posOffset>
            </wp:positionV>
            <wp:extent cx="2696845"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2696845" cy="29845"/>
                    </a:xfrm>
                    <a:prstGeom prst="rect">
                      <a:avLst/>
                    </a:prstGeom>
                    <a:noFill/>
                  </pic:spPr>
                </pic:pic>
              </a:graphicData>
            </a:graphic>
          </wp:anchor>
        </w:drawing>
      </w:r>
    </w:p>
    <w:p>
      <w:pPr>
        <w:spacing w:after="0" w:line="293"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During the year ended December 31, 2004, the Company decided to close its Colmar, France small-signal diode assembly facility and transfer all production to lower-labor-cost regions. The Colmar facility was acquired as part of Vishay’s acquisition of General Semiconductor, Inc. in November 2001. At that time, Vishay planned to transfer certain product manufacturing from Colmar to other Vishay locations. The Company’s plans were expanded such that it has shifted production of all products manufactured at Colmar. The Company reached an agreement with the workers’ council regarding severance in late October 2004. Substantially all equipment from the Colmar facility has been transferred to other Vishay locations, and remaining equipment that was not anticipated to be transferred was written off in 2004. No material gain or loss is anticipated related to the eventual sale of the building or land at Colmar.</w:t>
      </w:r>
    </w:p>
    <w:p>
      <w:pPr>
        <w:spacing w:after="0" w:line="174"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color w:val="auto"/>
        </w:rPr>
        <w:t>The employees terminated under the U.S. and other European and Asian restructuring programs were employed in technical, production, administrative or support functions at locations in the United States, Germany, France, Austria, the United Kingdom, Portugal, the Netherlands, Hungary, the Czech Republic, Israel, Republic of China (Taiwan), and Japan.</w:t>
      </w:r>
    </w:p>
    <w:p>
      <w:pPr>
        <w:spacing w:after="0" w:line="194"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Asset write-downs included amounts to reduce the carrying value of certain buildings which had been vacated as part of restructuring activities, based on expected future selling prices. At December 31, 2004, these buildings had a carrying value of $10,621,000, which had been reclassified to “other assets” as assets held-for-sale. Additionally, these charges included the write-down to salvage value of certain equipment which the Company has determined will not be used at other Vishay locations subsequent to the execution of its restructuring plans.</w:t>
      </w:r>
    </w:p>
    <w:p>
      <w:pPr>
        <w:spacing w:after="0" w:line="197" w:lineRule="exact"/>
        <w:rPr>
          <w:sz w:val="20"/>
          <w:szCs w:val="20"/>
          <w:color w:val="auto"/>
        </w:rPr>
      </w:pPr>
    </w:p>
    <w:p>
      <w:pPr>
        <w:ind w:right="300"/>
        <w:spacing w:after="0" w:line="306" w:lineRule="auto"/>
        <w:rPr>
          <w:sz w:val="20"/>
          <w:szCs w:val="20"/>
          <w:color w:val="auto"/>
        </w:rPr>
      </w:pPr>
      <w:r>
        <w:rPr>
          <w:rFonts w:ascii="Arial" w:cs="Arial" w:eastAsia="Arial" w:hAnsi="Arial"/>
          <w:sz w:val="16"/>
          <w:szCs w:val="16"/>
          <w:color w:val="auto"/>
        </w:rPr>
        <w:t>At December 31, 2004, restructuring costs totaling $24,287,000 were accrued related to these programs. Subsequent to payments made in 2005, restructuring costs totaling $2,668,000 remain accrued at December 31, 2005, principally for structured payments to certain former employees of our Colmar facility. Substantially all of the remaining restructuring liability, currently shown in other accrued expenses, is expected to be paid by December 31, 2006.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Year ended December 31, 2003</w:t>
      </w:r>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The Company recorded restructuring and severance costs of $28,546,000 for the year ended December 31, 2003. Restructuring of European and Asian operations included $23,007,000 of employee termination costs covering 546 technical, production, administrative and support employees located in Germany, France, Hungary, Portugal, the United Kingdom, Austria and the Far East. The remaining $5,539,000 of restructuring and severance costs relates to termination costs for 162 technical, production, administrative and support employees located in the United States. Additionally, the Company recorded $1,014,000 of asset write-downs for buildings no longer in use. At December 31, 2004, approximately $3.6 million of severance costs were accrued, all of which have been paid as of December 31, 2005.</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00"/>
          </w:cols>
          <w:pgMar w:left="240" w:top="584" w:right="259" w:bottom="1440" w:gutter="0" w:footer="0" w:header="0"/>
        </w:sectPr>
      </w:pPr>
    </w:p>
    <w:bookmarkStart w:id="85" w:name="page86"/>
    <w:bookmarkEnd w:id="85"/>
    <w:p>
      <w:pPr>
        <w:spacing w:after="0"/>
        <w:rPr>
          <w:sz w:val="20"/>
          <w:szCs w:val="20"/>
          <w:color w:val="auto"/>
        </w:rPr>
      </w:pPr>
      <w:r>
        <w:rPr>
          <w:rFonts w:ascii="Arial" w:cs="Arial" w:eastAsia="Arial" w:hAnsi="Arial"/>
          <w:sz w:val="18"/>
          <w:szCs w:val="18"/>
          <w:b w:val="1"/>
          <w:bCs w:val="1"/>
          <w:u w:val="single" w:color="auto"/>
          <w:color w:val="auto"/>
        </w:rPr>
        <w:t>Note 5 – Income Taxes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Earnings (loss) before income taxes and minority interest consists of the following components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8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540" w:type="dxa"/>
            <w:vAlign w:val="bottom"/>
            <w:gridSpan w:val="6"/>
          </w:tcPr>
          <w:p>
            <w:pPr>
              <w:jc w:val="center"/>
              <w:ind w:left="937"/>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377"/>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39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(26,505)</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(3,507)</w:t>
            </w: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(20,119)</w:t>
            </w: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Foreign</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104,277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73,524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66,545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77,772</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70,017</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w w:val="93"/>
              </w:rPr>
              <w:t xml:space="preserve">Significant components of income taxes are as follows </w:t>
            </w:r>
            <w:r>
              <w:rPr>
                <w:rFonts w:ascii="Arial" w:cs="Arial" w:eastAsia="Arial" w:hAnsi="Arial"/>
                <w:sz w:val="18"/>
                <w:szCs w:val="18"/>
                <w:i w:val="1"/>
                <w:iCs w:val="1"/>
                <w:color w:val="auto"/>
                <w:w w:val="93"/>
              </w:rPr>
              <w:t>(in thousands)</w:t>
            </w:r>
            <w:r>
              <w:rPr>
                <w:rFonts w:ascii="Arial" w:cs="Arial" w:eastAsia="Arial" w:hAnsi="Arial"/>
                <w:sz w:val="18"/>
                <w:szCs w:val="18"/>
                <w:color w:val="auto"/>
                <w:w w:val="93"/>
              </w:rPr>
              <w:t>:</w:t>
            </w:r>
          </w:p>
        </w:tc>
        <w:tc>
          <w:tcPr>
            <w:tcW w:w="16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5240" w:type="dxa"/>
            <w:vAlign w:val="bottom"/>
            <w:gridSpan w:val="2"/>
            <w:vMerge w:val="continue"/>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40" w:type="dxa"/>
            <w:vAlign w:val="bottom"/>
            <w:gridSpan w:val="6"/>
          </w:tcPr>
          <w:p>
            <w:pPr>
              <w:jc w:val="center"/>
              <w:ind w:left="937"/>
              <w:spacing w:after="0"/>
              <w:rPr>
                <w:sz w:val="20"/>
                <w:szCs w:val="20"/>
                <w:color w:val="auto"/>
              </w:rPr>
            </w:pPr>
            <w:r>
              <w:rPr>
                <w:rFonts w:ascii="Arial" w:cs="Arial" w:eastAsia="Arial" w:hAnsi="Arial"/>
                <w:sz w:val="14"/>
                <w:szCs w:val="14"/>
                <w:b w:val="1"/>
                <w:bCs w:val="1"/>
                <w:color w:val="auto"/>
                <w:w w:val="85"/>
              </w:rPr>
              <w:t>Years ended December 31,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80" w:type="dxa"/>
            <w:vAlign w:val="bottom"/>
          </w:tcPr>
          <w:p>
            <w:pPr>
              <w:spacing w:after="0"/>
              <w:rPr>
                <w:sz w:val="22"/>
                <w:szCs w:val="22"/>
                <w:color w:val="auto"/>
              </w:rPr>
            </w:pPr>
          </w:p>
        </w:tc>
        <w:tc>
          <w:tcPr>
            <w:tcW w:w="4660" w:type="dxa"/>
            <w:vAlign w:val="bottom"/>
          </w:tcPr>
          <w:p>
            <w:pPr>
              <w:spacing w:after="0"/>
              <w:rPr>
                <w:sz w:val="22"/>
                <w:szCs w:val="22"/>
                <w:color w:val="auto"/>
              </w:rPr>
            </w:pPr>
          </w:p>
        </w:tc>
        <w:tc>
          <w:tcPr>
            <w:tcW w:w="1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40" w:type="dxa"/>
            <w:vAlign w:val="bottom"/>
          </w:tcPr>
          <w:p>
            <w:pPr>
              <w:jc w:val="right"/>
              <w:ind w:right="377"/>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center"/>
              <w:ind w:right="75"/>
              <w:spacing w:after="0"/>
              <w:rPr>
                <w:sz w:val="20"/>
                <w:szCs w:val="20"/>
                <w:color w:val="auto"/>
              </w:rPr>
            </w:pPr>
            <w:r>
              <w:rPr>
                <w:rFonts w:ascii="Arial" w:cs="Arial" w:eastAsia="Arial" w:hAnsi="Arial"/>
                <w:sz w:val="14"/>
                <w:szCs w:val="14"/>
                <w:b w:val="1"/>
                <w:bCs w:val="1"/>
                <w:color w:val="auto"/>
                <w:w w:val="89"/>
              </w:rPr>
              <w:t>2004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60" w:type="dxa"/>
            <w:vAlign w:val="bottom"/>
          </w:tcPr>
          <w:p>
            <w:pPr>
              <w:jc w:val="right"/>
              <w:ind w:right="395"/>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5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Current:</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Federal</w:t>
            </w:r>
          </w:p>
        </w:tc>
        <w:tc>
          <w:tcPr>
            <w:tcW w:w="1800" w:type="dxa"/>
            <w:vAlign w:val="bottom"/>
            <w:gridSpan w:val="3"/>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1,089</w:t>
            </w:r>
          </w:p>
        </w:tc>
        <w:tc>
          <w:tcPr>
            <w:tcW w:w="100" w:type="dxa"/>
            <w:vAlign w:val="bottom"/>
          </w:tcPr>
          <w:p>
            <w:pPr>
              <w:spacing w:after="0"/>
              <w:rPr>
                <w:sz w:val="18"/>
                <w:szCs w:val="18"/>
                <w:color w:val="auto"/>
              </w:rPr>
            </w:pP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39</w:t>
            </w:r>
          </w:p>
        </w:tc>
        <w:tc>
          <w:tcPr>
            <w:tcW w:w="160" w:type="dxa"/>
            <w:vAlign w:val="bottom"/>
          </w:tcPr>
          <w:p>
            <w:pPr>
              <w:spacing w:after="0"/>
              <w:rPr>
                <w:sz w:val="18"/>
                <w:szCs w:val="18"/>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(1,389)</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578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Foreign</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12,243</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12,542</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4,977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13,910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13,678</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6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Deferred:</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Federal</w:t>
            </w:r>
          </w:p>
        </w:tc>
        <w:tc>
          <w:tcPr>
            <w:tcW w:w="1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(6,415)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(2,472)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(8,640)</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State and local</w:t>
            </w: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(2,833)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(1,991)</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580" w:type="dxa"/>
            <w:vAlign w:val="bottom"/>
          </w:tcPr>
          <w:p>
            <w:pPr>
              <w:spacing w:after="0"/>
              <w:rPr>
                <w:sz w:val="19"/>
                <w:szCs w:val="19"/>
                <w:color w:val="auto"/>
              </w:rPr>
            </w:pPr>
          </w:p>
        </w:tc>
        <w:tc>
          <w:tcPr>
            <w:tcW w:w="4660" w:type="dxa"/>
            <w:vAlign w:val="bottom"/>
          </w:tcPr>
          <w:p>
            <w:pPr>
              <w:ind w:left="440"/>
              <w:spacing w:after="0"/>
              <w:rPr>
                <w:sz w:val="20"/>
                <w:szCs w:val="20"/>
                <w:color w:val="auto"/>
              </w:rPr>
            </w:pPr>
            <w:r>
              <w:rPr>
                <w:rFonts w:ascii="Arial" w:cs="Arial" w:eastAsia="Arial" w:hAnsi="Arial"/>
                <w:sz w:val="18"/>
                <w:szCs w:val="18"/>
                <w:color w:val="auto"/>
              </w:rPr>
              <w:t>Foreign</w:t>
            </w:r>
          </w:p>
        </w:tc>
        <w:tc>
          <w:tcPr>
            <w:tcW w:w="1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7,075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4,514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12,767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5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gridSpan w:val="2"/>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80" w:type="dxa"/>
            <w:vAlign w:val="bottom"/>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(2,173)</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5,799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80" w:type="dxa"/>
            <w:vAlign w:val="bottom"/>
          </w:tcPr>
          <w:p>
            <w:pPr>
              <w:spacing w:after="0"/>
              <w:rPr>
                <w:sz w:val="9"/>
                <w:szCs w:val="9"/>
                <w:color w:val="auto"/>
              </w:rPr>
            </w:pPr>
          </w:p>
        </w:tc>
        <w:tc>
          <w:tcPr>
            <w:tcW w:w="4660" w:type="dxa"/>
            <w:vAlign w:val="bottom"/>
          </w:tcPr>
          <w:p>
            <w:pPr>
              <w:spacing w:after="0"/>
              <w:rPr>
                <w:sz w:val="9"/>
                <w:szCs w:val="9"/>
                <w:color w:val="auto"/>
              </w:rPr>
            </w:pPr>
          </w:p>
        </w:tc>
        <w:tc>
          <w:tcPr>
            <w:tcW w:w="1800" w:type="dxa"/>
            <w:vAlign w:val="bottom"/>
            <w:gridSpan w:val="3"/>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80" w:type="dxa"/>
            <w:vAlign w:val="bottom"/>
            <w:vMerge w:val="restart"/>
          </w:tcPr>
          <w:p>
            <w:pPr>
              <w:spacing w:after="0"/>
              <w:rPr>
                <w:sz w:val="8"/>
                <w:szCs w:val="8"/>
                <w:color w:val="auto"/>
              </w:rPr>
            </w:pPr>
          </w:p>
        </w:tc>
        <w:tc>
          <w:tcPr>
            <w:tcW w:w="466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top w:val="single" w:sz="8" w:color="auto"/>
            </w:tcBorders>
          </w:tcPr>
          <w:p>
            <w:pPr>
              <w:spacing w:after="0"/>
              <w:rPr>
                <w:sz w:val="8"/>
                <w:szCs w:val="8"/>
                <w:color w:val="auto"/>
              </w:rPr>
            </w:pPr>
          </w:p>
        </w:tc>
        <w:tc>
          <w:tcPr>
            <w:tcW w:w="10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8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8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11,737</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1700" w:type="dxa"/>
            <w:vAlign w:val="bottom"/>
            <w:gridSpan w:val="2"/>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8"/>
        </w:trPr>
        <w:tc>
          <w:tcPr>
            <w:tcW w:w="58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1800" w:type="dxa"/>
            <w:vAlign w:val="bottom"/>
            <w:gridSpan w:val="3"/>
          </w:tcPr>
          <w:p>
            <w:pPr>
              <w:jc w:val="right"/>
              <w:ind w:right="1160"/>
              <w:spacing w:after="0"/>
              <w:rPr>
                <w:sz w:val="20"/>
                <w:szCs w:val="20"/>
                <w:color w:val="auto"/>
              </w:rPr>
            </w:pPr>
            <w:r>
              <w:rPr>
                <w:rFonts w:ascii="Arial" w:cs="Arial" w:eastAsia="Arial" w:hAnsi="Arial"/>
                <w:sz w:val="18"/>
                <w:szCs w:val="18"/>
                <w:color w:val="auto"/>
              </w:rPr>
              <w:t>F-26</w:t>
            </w: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-3515995</wp:posOffset>
            </wp:positionV>
            <wp:extent cx="1270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-3515995</wp:posOffset>
            </wp:positionV>
            <wp:extent cx="12700"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-3515995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-3515995</wp:posOffset>
            </wp:positionV>
            <wp:extent cx="1270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-3515995</wp:posOffset>
            </wp:positionV>
            <wp:extent cx="1539240"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539240" cy="29845"/>
                    </a:xfrm>
                    <a:prstGeom prst="rect">
                      <a:avLst/>
                    </a:prstGeom>
                    <a:noFill/>
                  </pic:spPr>
                </pic:pic>
              </a:graphicData>
            </a:graphic>
          </wp:anchor>
        </w:drawing>
        <w:drawing>
          <wp:anchor simplePos="0" relativeHeight="251657728" behindDoc="1" locked="0" layoutInCell="0" allowOverlap="1">
            <wp:simplePos x="0" y="0"/>
            <wp:positionH relativeFrom="column">
              <wp:posOffset>4393565</wp:posOffset>
            </wp:positionH>
            <wp:positionV relativeFrom="paragraph">
              <wp:posOffset>-368935</wp:posOffset>
            </wp:positionV>
            <wp:extent cx="2447925"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2447925" cy="29845"/>
                    </a:xfrm>
                    <a:prstGeom prst="rect">
                      <a:avLst/>
                    </a:prstGeom>
                    <a:noFill/>
                  </pic:spPr>
                </pic:pic>
              </a:graphicData>
            </a:graphic>
          </wp:anchor>
        </w:drawing>
      </w:r>
    </w:p>
    <w:p>
      <w:pPr>
        <w:sectPr>
          <w:pgSz w:w="11900" w:h="16838" w:orient="portrait"/>
          <w:cols w:equalWidth="0" w:num="1">
            <w:col w:w="10860"/>
          </w:cols>
          <w:pgMar w:left="240" w:top="584" w:right="799" w:bottom="1440" w:gutter="0" w:footer="0" w:header="0"/>
        </w:sectPr>
      </w:pPr>
    </w:p>
    <w:bookmarkStart w:id="86" w:name="page87"/>
    <w:bookmarkEnd w:id="86"/>
    <w:p>
      <w:pPr>
        <w:spacing w:after="0"/>
        <w:rPr>
          <w:sz w:val="20"/>
          <w:szCs w:val="20"/>
          <w:color w:val="auto"/>
        </w:rPr>
      </w:pPr>
      <w:r>
        <w:rPr>
          <w:rFonts w:ascii="Arial" w:cs="Arial" w:eastAsia="Arial" w:hAnsi="Arial"/>
          <w:sz w:val="18"/>
          <w:szCs w:val="18"/>
          <w:b w:val="1"/>
          <w:bCs w:val="1"/>
          <w:u w:val="single" w:color="auto"/>
          <w:color w:val="auto"/>
        </w:rPr>
        <w:t>Note 5 – Income Taxes (continued)</w:t>
      </w:r>
    </w:p>
    <w:p>
      <w:pPr>
        <w:spacing w:after="0" w:line="23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 xml:space="preserve">Deferred income taxes reflect the net tax effects of temporary differences between the carrying amounts of assets and liabilities for financial reporting purposes and the amounts for income tax purposes. Significant components of the Company’s deferred tax assets and liabilities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135"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410" w:type="dxa"/>
            <w:vAlign w:val="bottom"/>
            <w:gridSpan w:val="6"/>
          </w:tcPr>
          <w:p>
            <w:pPr>
              <w:ind w:left="590"/>
              <w:spacing w:after="0"/>
              <w:rPr>
                <w:sz w:val="20"/>
                <w:szCs w:val="20"/>
                <w:color w:val="auto"/>
              </w:rPr>
            </w:pPr>
            <w:r>
              <w:rPr>
                <w:rFonts w:ascii="Arial" w:cs="Arial" w:eastAsia="Arial" w:hAnsi="Arial"/>
                <w:sz w:val="14"/>
                <w:szCs w:val="14"/>
                <w:b w:val="1"/>
                <w:bCs w:val="1"/>
                <w:color w:val="auto"/>
                <w:w w:val="87"/>
              </w:rPr>
              <w:t>December 31,</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920" w:type="dxa"/>
            <w:vAlign w:val="bottom"/>
          </w:tcPr>
          <w:p>
            <w:pPr>
              <w:spacing w:after="0"/>
              <w:rPr>
                <w:sz w:val="22"/>
                <w:szCs w:val="22"/>
                <w:color w:val="auto"/>
              </w:rPr>
            </w:pPr>
          </w:p>
        </w:tc>
        <w:tc>
          <w:tcPr>
            <w:tcW w:w="19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910" w:type="dxa"/>
            <w:vAlign w:val="bottom"/>
          </w:tcPr>
          <w:p>
            <w:pPr>
              <w:jc w:val="right"/>
              <w:ind w:right="29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9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Pension and other retiree obligations</w:t>
            </w:r>
          </w:p>
        </w:tc>
        <w:tc>
          <w:tcPr>
            <w:tcW w:w="2030" w:type="dxa"/>
            <w:vAlign w:val="bottom"/>
            <w:gridSpan w:val="2"/>
          </w:tcPr>
          <w:p>
            <w:pPr>
              <w:jc w:val="right"/>
              <w:ind w:right="30"/>
              <w:spacing w:after="0"/>
              <w:rPr>
                <w:sz w:val="20"/>
                <w:szCs w:val="20"/>
                <w:color w:val="auto"/>
              </w:rPr>
            </w:pPr>
            <w:r>
              <w:rPr>
                <w:rFonts w:ascii="Arial" w:cs="Arial" w:eastAsia="Arial" w:hAnsi="Arial"/>
                <w:sz w:val="18"/>
                <w:szCs w:val="18"/>
                <w:b w:val="1"/>
                <w:bCs w:val="1"/>
                <w:color w:val="auto"/>
              </w:rPr>
              <w:t>$</w:t>
            </w:r>
          </w:p>
        </w:tc>
        <w:tc>
          <w:tcPr>
            <w:tcW w:w="910" w:type="dxa"/>
            <w:vAlign w:val="bottom"/>
          </w:tcPr>
          <w:p>
            <w:pPr>
              <w:jc w:val="right"/>
              <w:spacing w:after="0"/>
              <w:rPr>
                <w:sz w:val="20"/>
                <w:szCs w:val="20"/>
                <w:color w:val="auto"/>
              </w:rPr>
            </w:pPr>
            <w:r>
              <w:rPr>
                <w:rFonts w:ascii="Arial" w:cs="Arial" w:eastAsia="Arial" w:hAnsi="Arial"/>
                <w:sz w:val="18"/>
                <w:szCs w:val="18"/>
                <w:b w:val="1"/>
                <w:bCs w:val="1"/>
                <w:color w:val="auto"/>
              </w:rPr>
              <w:t>55,615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26,294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Inventories</w:t>
            </w:r>
          </w:p>
        </w:tc>
        <w:tc>
          <w:tcPr>
            <w:tcW w:w="1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19,547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Net operating loss carryforwards</w:t>
            </w:r>
          </w:p>
        </w:tc>
        <w:tc>
          <w:tcPr>
            <w:tcW w:w="1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b w:val="1"/>
                <w:bCs w:val="1"/>
                <w:color w:val="auto"/>
              </w:rPr>
              <w:t>181,490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195,645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credit carryforwards</w:t>
            </w:r>
          </w:p>
        </w:tc>
        <w:tc>
          <w:tcPr>
            <w:tcW w:w="1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20,648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19,922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Other accruals and reserves</w:t>
            </w:r>
          </w:p>
        </w:tc>
        <w:tc>
          <w:tcPr>
            <w:tcW w:w="19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b w:val="1"/>
                <w:bCs w:val="1"/>
                <w:color w:val="auto"/>
              </w:rPr>
              <w:t>32,495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45,531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gross deferred tax assets</w:t>
            </w:r>
          </w:p>
        </w:tc>
        <w:tc>
          <w:tcPr>
            <w:tcW w:w="1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309,795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309,075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20" w:type="dxa"/>
            <w:vAlign w:val="bottom"/>
          </w:tcPr>
          <w:p>
            <w:pPr>
              <w:ind w:left="860"/>
              <w:spacing w:after="0"/>
              <w:rPr>
                <w:sz w:val="20"/>
                <w:szCs w:val="20"/>
                <w:color w:val="auto"/>
              </w:rPr>
            </w:pPr>
            <w:r>
              <w:rPr>
                <w:rFonts w:ascii="Arial" w:cs="Arial" w:eastAsia="Arial" w:hAnsi="Arial"/>
                <w:sz w:val="18"/>
                <w:szCs w:val="18"/>
                <w:color w:val="auto"/>
              </w:rPr>
              <w:t>Less valuation allowance</w:t>
            </w:r>
          </w:p>
        </w:tc>
        <w:tc>
          <w:tcPr>
            <w:tcW w:w="19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101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(145,021)</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w w:val="90"/>
              </w:rPr>
              <w:t>(104,906)</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spacing w:after="0"/>
              <w:rPr>
                <w:sz w:val="18"/>
                <w:szCs w:val="18"/>
                <w:color w:val="auto"/>
              </w:rPr>
            </w:pPr>
          </w:p>
        </w:tc>
        <w:tc>
          <w:tcPr>
            <w:tcW w:w="1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164,774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204,169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Tax over book depreciation</w:t>
            </w:r>
          </w:p>
        </w:tc>
        <w:tc>
          <w:tcPr>
            <w:tcW w:w="1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50,368</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69,472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Tax deductible goodwill</w:t>
            </w:r>
          </w:p>
        </w:tc>
        <w:tc>
          <w:tcPr>
            <w:tcW w:w="192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910" w:type="dxa"/>
            <w:vAlign w:val="bottom"/>
          </w:tcPr>
          <w:p>
            <w:pPr>
              <w:jc w:val="right"/>
              <w:spacing w:after="0"/>
              <w:rPr>
                <w:sz w:val="20"/>
                <w:szCs w:val="20"/>
                <w:color w:val="auto"/>
              </w:rPr>
            </w:pPr>
            <w:r>
              <w:rPr>
                <w:rFonts w:ascii="Arial" w:cs="Arial" w:eastAsia="Arial" w:hAnsi="Arial"/>
                <w:sz w:val="18"/>
                <w:szCs w:val="18"/>
                <w:b w:val="1"/>
                <w:bCs w:val="1"/>
                <w:color w:val="auto"/>
              </w:rPr>
              <w:t>23,303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18,788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Intangible assets other than goodwill</w:t>
            </w:r>
          </w:p>
        </w:tc>
        <w:tc>
          <w:tcPr>
            <w:tcW w:w="1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25,202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920" w:type="dxa"/>
            <w:vAlign w:val="bottom"/>
          </w:tcPr>
          <w:p>
            <w:pPr>
              <w:ind w:left="420"/>
              <w:spacing w:after="0"/>
              <w:rPr>
                <w:sz w:val="20"/>
                <w:szCs w:val="20"/>
                <w:color w:val="auto"/>
              </w:rPr>
            </w:pPr>
            <w:r>
              <w:rPr>
                <w:rFonts w:ascii="Arial" w:cs="Arial" w:eastAsia="Arial" w:hAnsi="Arial"/>
                <w:sz w:val="18"/>
                <w:szCs w:val="18"/>
                <w:color w:val="auto"/>
              </w:rPr>
              <w:t>Other - net</w:t>
            </w:r>
          </w:p>
        </w:tc>
        <w:tc>
          <w:tcPr>
            <w:tcW w:w="192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910" w:type="dxa"/>
            <w:vAlign w:val="bottom"/>
          </w:tcPr>
          <w:p>
            <w:pPr>
              <w:jc w:val="right"/>
              <w:spacing w:after="0"/>
              <w:rPr>
                <w:sz w:val="20"/>
                <w:szCs w:val="20"/>
                <w:color w:val="auto"/>
              </w:rPr>
            </w:pPr>
            <w:r>
              <w:rPr>
                <w:rFonts w:ascii="Arial" w:cs="Arial" w:eastAsia="Arial" w:hAnsi="Arial"/>
                <w:sz w:val="18"/>
                <w:szCs w:val="18"/>
                <w:b w:val="1"/>
                <w:bCs w:val="1"/>
                <w:color w:val="auto"/>
              </w:rPr>
              <w:t>14,641</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11,334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91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Total gross deferred tax liabilities</w:t>
            </w:r>
          </w:p>
        </w:tc>
        <w:tc>
          <w:tcPr>
            <w:tcW w:w="192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113,514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132,417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19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91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1920" w:type="dxa"/>
            <w:vAlign w:val="bottom"/>
          </w:tcPr>
          <w:p>
            <w:pPr>
              <w:spacing w:after="0"/>
              <w:rPr>
                <w:sz w:val="8"/>
                <w:szCs w:val="8"/>
                <w:color w:val="auto"/>
              </w:rPr>
            </w:pPr>
          </w:p>
        </w:tc>
        <w:tc>
          <w:tcPr>
            <w:tcW w:w="110" w:type="dxa"/>
            <w:vAlign w:val="bottom"/>
          </w:tcPr>
          <w:p>
            <w:pPr>
              <w:spacing w:after="0"/>
              <w:rPr>
                <w:sz w:val="8"/>
                <w:szCs w:val="8"/>
                <w:color w:val="auto"/>
              </w:rPr>
            </w:pPr>
          </w:p>
        </w:tc>
        <w:tc>
          <w:tcPr>
            <w:tcW w:w="91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9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Net deferred tax assets</w:t>
            </w:r>
          </w:p>
        </w:tc>
        <w:tc>
          <w:tcPr>
            <w:tcW w:w="203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w:t>
            </w:r>
          </w:p>
        </w:tc>
        <w:tc>
          <w:tcPr>
            <w:tcW w:w="91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51,260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71,752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920" w:type="dxa"/>
            <w:vAlign w:val="bottom"/>
          </w:tcPr>
          <w:p>
            <w:pPr>
              <w:spacing w:after="0"/>
              <w:rPr>
                <w:sz w:val="11"/>
                <w:szCs w:val="11"/>
                <w:color w:val="auto"/>
              </w:rPr>
            </w:pPr>
          </w:p>
        </w:tc>
        <w:tc>
          <w:tcPr>
            <w:tcW w:w="192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91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35064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1350645" cy="29845"/>
                    </a:xfrm>
                    <a:prstGeom prst="rect">
                      <a:avLst/>
                    </a:prstGeom>
                    <a:noFill/>
                  </pic:spPr>
                </pic:pic>
              </a:graphicData>
            </a:graphic>
          </wp:anchor>
        </w:drawing>
      </w:r>
    </w:p>
    <w:p>
      <w:pPr>
        <w:spacing w:after="0" w:line="29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makes significant judgments regarding the realizability of its deferred tax assets (principally net operating losses). In accordance with SFAS No. 109, the carrying value of the net deferred tax asset is based on the Company’s assessment that it is more likely than not that the Company will realize these assets after consideration of all available positive and negative evidence.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reconciliation of income tax expense at the U.S. federal statutory income tax rate to actual income tax provision is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58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20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6"/>
          </w:tcPr>
          <w:p>
            <w:pPr>
              <w:jc w:val="right"/>
              <w:spacing w:after="0"/>
              <w:rPr>
                <w:sz w:val="20"/>
                <w:szCs w:val="20"/>
                <w:color w:val="auto"/>
              </w:rPr>
            </w:pPr>
            <w:r>
              <w:rPr>
                <w:rFonts w:ascii="Arial" w:cs="Arial" w:eastAsia="Arial" w:hAnsi="Arial"/>
                <w:sz w:val="14"/>
                <w:szCs w:val="14"/>
                <w:b w:val="1"/>
                <w:bCs w:val="1"/>
                <w:color w:val="auto"/>
              </w:rPr>
              <w:t>Years ended December 31,</w:t>
            </w: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200" w:type="dxa"/>
            <w:vAlign w:val="bottom"/>
          </w:tcPr>
          <w:p>
            <w:pPr>
              <w:spacing w:after="0"/>
              <w:rPr>
                <w:sz w:val="22"/>
                <w:szCs w:val="22"/>
                <w:color w:val="auto"/>
              </w:rPr>
            </w:pPr>
          </w:p>
        </w:tc>
        <w:tc>
          <w:tcPr>
            <w:tcW w:w="2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76"/>
              <w:spacing w:after="0"/>
              <w:rPr>
                <w:sz w:val="20"/>
                <w:szCs w:val="20"/>
                <w:color w:val="auto"/>
              </w:rPr>
            </w:pPr>
            <w:r>
              <w:rPr>
                <w:rFonts w:ascii="Arial" w:cs="Arial" w:eastAsia="Arial" w:hAnsi="Arial"/>
                <w:sz w:val="14"/>
                <w:szCs w:val="14"/>
                <w:b w:val="1"/>
                <w:bCs w:val="1"/>
                <w:color w:val="auto"/>
              </w:rPr>
              <w:t>2005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2003</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rate</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27,220</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24,506</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16,249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State income taxes, net of U.S. federal tax benefit</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(1,466)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(598)</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3,319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operations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(17,309)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(1,446)</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Settlement of tax audits</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(39,211)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(10,550)</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Dividend repatriation</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37,338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Purchased research and development</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3,393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525</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Effect of statutory rate change on deferred taxes</w:t>
            </w:r>
          </w:p>
        </w:tc>
        <w:tc>
          <w:tcPr>
            <w:tcW w:w="2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Other</w:t>
            </w:r>
          </w:p>
        </w:tc>
        <w:tc>
          <w:tcPr>
            <w:tcW w:w="2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b w:val="1"/>
                <w:bCs w:val="1"/>
                <w:color w:val="auto"/>
              </w:rPr>
              <w:t>1,772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(1,163)</w:t>
            </w: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2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0" w:type="dxa"/>
            <w:vAlign w:val="bottom"/>
          </w:tcPr>
          <w:p>
            <w:pPr>
              <w:spacing w:after="0"/>
              <w:rPr>
                <w:sz w:val="8"/>
                <w:szCs w:val="8"/>
                <w:color w:val="auto"/>
              </w:rPr>
            </w:pPr>
          </w:p>
        </w:tc>
        <w:tc>
          <w:tcPr>
            <w:tcW w:w="2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2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11,737</w:t>
            </w:r>
          </w:p>
        </w:tc>
        <w:tc>
          <w:tcPr>
            <w:tcW w:w="10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13,729</w:t>
            </w:r>
          </w:p>
        </w:tc>
        <w:tc>
          <w:tcPr>
            <w:tcW w:w="16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11,528</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200" w:type="dxa"/>
            <w:vAlign w:val="bottom"/>
          </w:tcPr>
          <w:p>
            <w:pPr>
              <w:spacing w:after="0"/>
              <w:rPr>
                <w:sz w:val="11"/>
                <w:szCs w:val="11"/>
                <w:color w:val="auto"/>
              </w:rPr>
            </w:pPr>
          </w:p>
        </w:tc>
        <w:tc>
          <w:tcPr>
            <w:tcW w:w="21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2380" w:type="dxa"/>
            <w:vAlign w:val="bottom"/>
            <w:gridSpan w:val="2"/>
          </w:tcPr>
          <w:p>
            <w:pPr>
              <w:jc w:val="right"/>
              <w:ind w:right="1300"/>
              <w:spacing w:after="0"/>
              <w:rPr>
                <w:sz w:val="20"/>
                <w:szCs w:val="20"/>
                <w:color w:val="auto"/>
              </w:rPr>
            </w:pPr>
            <w:r>
              <w:rPr>
                <w:rFonts w:ascii="Arial" w:cs="Arial" w:eastAsia="Arial" w:hAnsi="Arial"/>
                <w:sz w:val="18"/>
                <w:szCs w:val="18"/>
                <w:color w:val="auto"/>
              </w:rPr>
              <w:t>F-27</w:t>
            </w: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4393565</wp:posOffset>
            </wp:positionH>
            <wp:positionV relativeFrom="paragraph">
              <wp:posOffset>-368935</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5122545</wp:posOffset>
            </wp:positionH>
            <wp:positionV relativeFrom="paragraph">
              <wp:posOffset>-368935</wp:posOffset>
            </wp:positionV>
            <wp:extent cx="1270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4453890</wp:posOffset>
            </wp:positionH>
            <wp:positionV relativeFrom="paragraph">
              <wp:posOffset>-368935</wp:posOffset>
            </wp:positionV>
            <wp:extent cx="12700"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5242560</wp:posOffset>
            </wp:positionH>
            <wp:positionV relativeFrom="paragraph">
              <wp:posOffset>-368935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5971540</wp:posOffset>
            </wp:positionH>
            <wp:positionV relativeFrom="paragraph">
              <wp:posOffset>-368935</wp:posOffset>
            </wp:positionV>
            <wp:extent cx="1270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-368935</wp:posOffset>
            </wp:positionV>
            <wp:extent cx="12700"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6092190</wp:posOffset>
            </wp:positionH>
            <wp:positionV relativeFrom="paragraph">
              <wp:posOffset>-368935</wp:posOffset>
            </wp:positionV>
            <wp:extent cx="12700"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-368935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-368935</wp:posOffset>
            </wp:positionV>
            <wp:extent cx="1270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87" w:name="page88"/>
    <w:bookmarkEnd w:id="87"/>
    <w:p>
      <w:pPr>
        <w:spacing w:after="0"/>
        <w:rPr>
          <w:sz w:val="20"/>
          <w:szCs w:val="20"/>
          <w:color w:val="auto"/>
        </w:rPr>
      </w:pPr>
      <w:r>
        <w:rPr>
          <w:rFonts w:ascii="Arial" w:cs="Arial" w:eastAsia="Arial" w:hAnsi="Arial"/>
          <w:sz w:val="18"/>
          <w:szCs w:val="18"/>
          <w:b w:val="1"/>
          <w:bCs w:val="1"/>
          <w:u w:val="single" w:color="auto"/>
          <w:color w:val="auto"/>
        </w:rPr>
        <w:t>Note 5 – 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December 31, 2005, the Company had the following significant net operating loss carryforwards for tax purposes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6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540" w:type="dxa"/>
            <w:vAlign w:val="bottom"/>
            <w:gridSpan w:val="2"/>
          </w:tcPr>
          <w:p>
            <w:pPr>
              <w:ind w:left="500"/>
              <w:spacing w:after="0"/>
              <w:rPr>
                <w:sz w:val="20"/>
                <w:szCs w:val="20"/>
                <w:color w:val="auto"/>
              </w:rPr>
            </w:pPr>
            <w:r>
              <w:rPr>
                <w:rFonts w:ascii="Arial" w:cs="Arial" w:eastAsia="Arial" w:hAnsi="Arial"/>
                <w:sz w:val="14"/>
                <w:szCs w:val="14"/>
                <w:b w:val="1"/>
                <w:bCs w:val="1"/>
                <w:color w:val="auto"/>
              </w:rPr>
              <w:t>Expires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6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660" w:type="dxa"/>
            <w:vAlign w:val="bottom"/>
          </w:tcPr>
          <w:p>
            <w:pPr>
              <w:spacing w:after="0"/>
              <w:rPr>
                <w:sz w:val="8"/>
                <w:szCs w:val="8"/>
                <w:color w:val="auto"/>
              </w:rPr>
            </w:pPr>
          </w:p>
        </w:tc>
        <w:tc>
          <w:tcPr>
            <w:tcW w:w="2980" w:type="dxa"/>
            <w:vAlign w:val="bottom"/>
          </w:tcPr>
          <w:p>
            <w:pPr>
              <w:spacing w:after="0"/>
              <w:rPr>
                <w:sz w:val="8"/>
                <w:szCs w:val="8"/>
                <w:color w:val="auto"/>
              </w:rPr>
            </w:pPr>
          </w:p>
        </w:tc>
        <w:tc>
          <w:tcPr>
            <w:tcW w:w="94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Austria</w:t>
            </w:r>
          </w:p>
        </w:tc>
        <w:tc>
          <w:tcPr>
            <w:tcW w:w="29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11,685</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 expiration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Belgium</w:t>
            </w:r>
          </w:p>
        </w:tc>
        <w:tc>
          <w:tcPr>
            <w:tcW w:w="298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136,874</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No expiration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c>
          <w:tcPr>
            <w:tcW w:w="29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39,329</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 expiration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Germany</w:t>
            </w:r>
          </w:p>
        </w:tc>
        <w:tc>
          <w:tcPr>
            <w:tcW w:w="298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52,129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No expiration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29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148,348</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 expiration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tcPr>
          <w:p>
            <w:pPr>
              <w:spacing w:after="0"/>
              <w:rPr>
                <w:sz w:val="20"/>
                <w:szCs w:val="20"/>
                <w:color w:val="auto"/>
              </w:rPr>
            </w:pPr>
            <w:r>
              <w:rPr>
                <w:rFonts w:ascii="Arial" w:cs="Arial" w:eastAsia="Arial" w:hAnsi="Arial"/>
                <w:sz w:val="18"/>
                <w:szCs w:val="18"/>
                <w:color w:val="auto"/>
              </w:rPr>
              <w:t>Netherlands</w:t>
            </w:r>
          </w:p>
        </w:tc>
        <w:tc>
          <w:tcPr>
            <w:tcW w:w="2980" w:type="dxa"/>
            <w:vAlign w:val="bottom"/>
          </w:tcPr>
          <w:p>
            <w:pPr>
              <w:spacing w:after="0"/>
              <w:rPr>
                <w:sz w:val="18"/>
                <w:szCs w:val="18"/>
                <w:color w:val="auto"/>
              </w:rPr>
            </w:pPr>
          </w:p>
        </w:tc>
        <w:tc>
          <w:tcPr>
            <w:tcW w:w="940" w:type="dxa"/>
            <w:vAlign w:val="bottom"/>
          </w:tcPr>
          <w:p>
            <w:pPr>
              <w:jc w:val="right"/>
              <w:ind w:right="92"/>
              <w:spacing w:after="0"/>
              <w:rPr>
                <w:sz w:val="20"/>
                <w:szCs w:val="20"/>
                <w:color w:val="auto"/>
              </w:rPr>
            </w:pPr>
            <w:r>
              <w:rPr>
                <w:rFonts w:ascii="Arial" w:cs="Arial" w:eastAsia="Arial" w:hAnsi="Arial"/>
                <w:sz w:val="18"/>
                <w:szCs w:val="18"/>
                <w:color w:val="auto"/>
              </w:rPr>
              <w:t>83,309</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No expiration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29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128,011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2023 – 2024</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Approximately $144,585,000 of the carryforwards in Austria, Belgium, and the Netherlands resulted from the Company’s acquisition of BCcomponents in 2002. Valuation allowances of $45,238,000 and $57,175,000, as of December 31, 2005 and 2004, respectively, have been recorded through goodwill, for these acquired net operating losses. If tax benefits are recognized in the future for utilization of these acquired net operating losses, the benefits of such loss utilization will be recorded as a reduction to goodwill. In 2005 and 2004, tax benefits recognized through reductions of the valuation allowance recorded through goodwill were $1,746,000 and $5,071,000,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At December 31, 2005, the Company had the following significant tax credit carryforwards available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32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540" w:type="dxa"/>
            <w:vAlign w:val="bottom"/>
            <w:gridSpan w:val="2"/>
          </w:tcPr>
          <w:p>
            <w:pPr>
              <w:ind w:left="500"/>
              <w:spacing w:after="0"/>
              <w:rPr>
                <w:sz w:val="20"/>
                <w:szCs w:val="20"/>
                <w:color w:val="auto"/>
              </w:rPr>
            </w:pPr>
            <w:r>
              <w:rPr>
                <w:rFonts w:ascii="Arial" w:cs="Arial" w:eastAsia="Arial" w:hAnsi="Arial"/>
                <w:sz w:val="14"/>
                <w:szCs w:val="14"/>
                <w:b w:val="1"/>
                <w:bCs w:val="1"/>
                <w:color w:val="auto"/>
              </w:rPr>
              <w:t>Expires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0" w:type="dxa"/>
            <w:vAlign w:val="bottom"/>
          </w:tcPr>
          <w:p>
            <w:pPr>
              <w:spacing w:after="0"/>
              <w:rPr>
                <w:sz w:val="8"/>
                <w:szCs w:val="8"/>
                <w:color w:val="auto"/>
              </w:rPr>
            </w:pPr>
          </w:p>
        </w:tc>
        <w:tc>
          <w:tcPr>
            <w:tcW w:w="32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Federal Alternative Minimum Tax</w:t>
            </w:r>
          </w:p>
        </w:tc>
        <w:tc>
          <w:tcPr>
            <w:tcW w:w="328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13,621</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 expiration</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tcPr>
          <w:p>
            <w:pPr>
              <w:spacing w:after="0"/>
              <w:rPr>
                <w:sz w:val="20"/>
                <w:szCs w:val="20"/>
                <w:color w:val="auto"/>
              </w:rPr>
            </w:pPr>
            <w:r>
              <w:rPr>
                <w:rFonts w:ascii="Arial" w:cs="Arial" w:eastAsia="Arial" w:hAnsi="Arial"/>
                <w:sz w:val="18"/>
                <w:szCs w:val="18"/>
                <w:color w:val="auto"/>
              </w:rPr>
              <w:t>California Investment Credit</w:t>
            </w:r>
          </w:p>
        </w:tc>
        <w:tc>
          <w:tcPr>
            <w:tcW w:w="3280" w:type="dxa"/>
            <w:vAlign w:val="bottom"/>
          </w:tcPr>
          <w:p>
            <w:pPr>
              <w:spacing w:after="0"/>
              <w:rPr>
                <w:sz w:val="18"/>
                <w:szCs w:val="18"/>
                <w:color w:val="auto"/>
              </w:rPr>
            </w:pPr>
          </w:p>
        </w:tc>
        <w:tc>
          <w:tcPr>
            <w:tcW w:w="900" w:type="dxa"/>
            <w:vAlign w:val="bottom"/>
          </w:tcPr>
          <w:p>
            <w:pPr>
              <w:jc w:val="right"/>
              <w:ind w:right="92"/>
              <w:spacing w:after="0"/>
              <w:rPr>
                <w:sz w:val="20"/>
                <w:szCs w:val="20"/>
                <w:color w:val="auto"/>
              </w:rPr>
            </w:pPr>
            <w:r>
              <w:rPr>
                <w:rFonts w:ascii="Arial" w:cs="Arial" w:eastAsia="Arial" w:hAnsi="Arial"/>
                <w:sz w:val="18"/>
                <w:szCs w:val="18"/>
                <w:color w:val="auto"/>
              </w:rPr>
              <w:t>2,965</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2006 – 2010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0" w:type="dxa"/>
            <w:vAlign w:val="bottom"/>
            <w:shd w:val="clear" w:color="auto" w:fill="CCEEFF"/>
          </w:tcPr>
          <w:p>
            <w:pPr>
              <w:spacing w:after="0"/>
              <w:rPr>
                <w:sz w:val="20"/>
                <w:szCs w:val="20"/>
                <w:color w:val="auto"/>
              </w:rPr>
            </w:pPr>
            <w:r>
              <w:rPr>
                <w:rFonts w:ascii="Arial" w:cs="Arial" w:eastAsia="Arial" w:hAnsi="Arial"/>
                <w:sz w:val="18"/>
                <w:szCs w:val="18"/>
                <w:color w:val="auto"/>
              </w:rPr>
              <w:t>California Research Credit</w:t>
            </w:r>
          </w:p>
        </w:tc>
        <w:tc>
          <w:tcPr>
            <w:tcW w:w="328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rPr>
              <w:t>4,210</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No expiration</w:t>
            </w: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400" w:type="dxa"/>
            <w:vAlign w:val="bottom"/>
          </w:tcPr>
          <w:p>
            <w:pPr>
              <w:spacing w:after="0"/>
              <w:rPr>
                <w:sz w:val="24"/>
                <w:szCs w:val="24"/>
                <w:color w:val="auto"/>
              </w:rPr>
            </w:pPr>
          </w:p>
        </w:tc>
        <w:tc>
          <w:tcPr>
            <w:tcW w:w="3280" w:type="dxa"/>
            <w:vAlign w:val="bottom"/>
          </w:tcPr>
          <w:p>
            <w:pPr>
              <w:jc w:val="right"/>
              <w:ind w:right="1872"/>
              <w:spacing w:after="0"/>
              <w:rPr>
                <w:sz w:val="20"/>
                <w:szCs w:val="20"/>
                <w:color w:val="auto"/>
              </w:rPr>
            </w:pPr>
            <w:r>
              <w:rPr>
                <w:rFonts w:ascii="Arial" w:cs="Arial" w:eastAsia="Arial" w:hAnsi="Arial"/>
                <w:sz w:val="18"/>
                <w:szCs w:val="18"/>
                <w:color w:val="auto"/>
              </w:rPr>
              <w:t>F-28</w:t>
            </w:r>
          </w:p>
        </w:tc>
        <w:tc>
          <w:tcPr>
            <w:tcW w:w="9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60"/>
          </w:cols>
          <w:pgMar w:left="240" w:top="584" w:right="299" w:bottom="1440" w:gutter="0" w:footer="0" w:header="0"/>
        </w:sectPr>
      </w:pPr>
    </w:p>
    <w:bookmarkStart w:id="88" w:name="page89"/>
    <w:bookmarkEnd w:id="88"/>
    <w:p>
      <w:pPr>
        <w:spacing w:after="0"/>
        <w:rPr>
          <w:sz w:val="20"/>
          <w:szCs w:val="20"/>
          <w:color w:val="auto"/>
        </w:rPr>
      </w:pPr>
      <w:r>
        <w:rPr>
          <w:rFonts w:ascii="Arial" w:cs="Arial" w:eastAsia="Arial" w:hAnsi="Arial"/>
          <w:sz w:val="18"/>
          <w:szCs w:val="18"/>
          <w:b w:val="1"/>
          <w:bCs w:val="1"/>
          <w:u w:val="single" w:color="auto"/>
          <w:color w:val="auto"/>
        </w:rPr>
        <w:t>Note 5 – Income Taxes (continued)</w:t>
      </w:r>
    </w:p>
    <w:p>
      <w:pPr>
        <w:spacing w:after="0" w:line="23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In October 2004, the American Jobs Creation Act of 2004 (“AJCA”) created a temporary incentive for U.S. multinational corporations to repatriate accumulated income abroad by providing an 85% dividends received deduction for certain dividends from controlled foreign corporations. Due to the availability of net operating loss carryforwards in the U.S., the Company did not take advantage of the provisions of the AJCA for any repatriation of accumulated income. While it has been the Company’s historical practice to permanently reinvest all foreign earnings outside the United States, in 2005 the Company repatriated approximately $130 million from our foreign subsidiaries. Repatriation of these earnings resulted in an increase in deferred tax expense but did not result in the payment of any taxes. At December 31, 2005, no provision has been made for U.S. federal and state income taxes on approximately $993,675,000 of foreign earnings, which the Company continues to expect to be reinvested outside of the United States indefinitely. Upon distribution of those earnings in the form of dividends or otherwise, the Company would be subject to U.S. income taxes (subject to an adjustment for foreign tax credits), state income taxes, incremental foreign income taxes, and withholding taxes payable to the various foreign countries. Determination of the amount of unrecognized deferred U.S. income tax liability is not practicable because of the complexities associated with its hypothetical calculation.</w:t>
      </w:r>
    </w:p>
    <w:p>
      <w:pPr>
        <w:spacing w:after="0" w:line="177"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Income taxes paid, net of amounts refunded, were net payments of $13,646,000 and $3,780,000 for the years ended December 31, 2005 and 2004, respectively, and a net refund of $31,626,000 for the year ended December 31, 2003.</w:t>
      </w:r>
    </w:p>
    <w:p>
      <w:pPr>
        <w:spacing w:after="0" w:line="186" w:lineRule="exact"/>
        <w:rPr>
          <w:sz w:val="20"/>
          <w:szCs w:val="20"/>
          <w:color w:val="auto"/>
        </w:rPr>
      </w:pPr>
    </w:p>
    <w:p>
      <w:pPr>
        <w:spacing w:after="0" w:line="310" w:lineRule="auto"/>
        <w:rPr>
          <w:sz w:val="20"/>
          <w:szCs w:val="20"/>
          <w:color w:val="auto"/>
        </w:rPr>
      </w:pPr>
      <w:r>
        <w:rPr>
          <w:rFonts w:ascii="Arial" w:cs="Arial" w:eastAsia="Arial" w:hAnsi="Arial"/>
          <w:sz w:val="15"/>
          <w:szCs w:val="15"/>
          <w:color w:val="auto"/>
        </w:rPr>
        <w:t>Significant judgment is required in evaluating the Company’s tax positions. The Company establishes accruals for certain tax contingencies when, despite the belief that the Company’s tax return positions are fully supported, the Company believes that certain positions will be challenged and that those positions may not be fully sustained. The tax contingency accruals are adjusted in light of changing facts and circumstances, such as the progress of tax audits, case law, and emerging legislation. These accruals are based on management’s best estimate of potential tax exposures. When particular matters arise, a number of years may elapse before such matters are audited and finally resolved. Favorable resolution of such matters could be recognized as a reduction to our effective tax rate in the year of resolution. Unfavorable resolution of any particular issue could increase the effective tax rate and may require the use of cash in the year of resolution. During 2004 and 2005, several matters were favorably resolved as a result of the completion of examinations and the retroactive approval of the Company’s application for tax incentives in certain jurisdictions. As of December 31, 2005, the Company’s tax returns in several jurisdictions are under examination.</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420"/>
          </w:cols>
          <w:pgMar w:left="240" w:top="584" w:right="239" w:bottom="1440" w:gutter="0" w:footer="0" w:header="0"/>
        </w:sectPr>
      </w:pPr>
    </w:p>
    <w:bookmarkStart w:id="89" w:name="page90"/>
    <w:bookmarkEnd w:id="89"/>
    <w:p>
      <w:pPr>
        <w:spacing w:after="0"/>
        <w:rPr>
          <w:sz w:val="20"/>
          <w:szCs w:val="20"/>
          <w:color w:val="auto"/>
        </w:rPr>
      </w:pPr>
      <w:r>
        <w:rPr>
          <w:rFonts w:ascii="Arial" w:cs="Arial" w:eastAsia="Arial" w:hAnsi="Arial"/>
          <w:sz w:val="18"/>
          <w:szCs w:val="18"/>
          <w:b w:val="1"/>
          <w:bCs w:val="1"/>
          <w:u w:val="single" w:color="auto"/>
          <w:color w:val="auto"/>
        </w:rPr>
        <w:t>Note 6 – Long-Term Debt</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Long-term debt consists of the following </w:t>
      </w: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88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00" w:type="dxa"/>
            <w:vAlign w:val="bottom"/>
            <w:gridSpan w:val="5"/>
          </w:tcPr>
          <w:p>
            <w:pPr>
              <w:ind w:left="480"/>
              <w:spacing w:after="0"/>
              <w:rPr>
                <w:sz w:val="20"/>
                <w:szCs w:val="20"/>
                <w:color w:val="auto"/>
              </w:rPr>
            </w:pPr>
            <w:r>
              <w:rPr>
                <w:rFonts w:ascii="Arial" w:cs="Arial" w:eastAsia="Arial" w:hAnsi="Arial"/>
                <w:sz w:val="14"/>
                <w:szCs w:val="14"/>
                <w:b w:val="1"/>
                <w:bCs w:val="1"/>
                <w:color w:val="auto"/>
                <w:w w:val="87"/>
              </w:rPr>
              <w:t>December 31,</w:t>
            </w:r>
          </w:p>
        </w:tc>
        <w:tc>
          <w:tcPr>
            <w:tcW w:w="7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4880" w:type="dxa"/>
            <w:vAlign w:val="bottom"/>
          </w:tcPr>
          <w:p>
            <w:pPr>
              <w:spacing w:after="0"/>
              <w:rPr>
                <w:sz w:val="22"/>
                <w:szCs w:val="22"/>
                <w:color w:val="auto"/>
              </w:rPr>
            </w:pPr>
          </w:p>
        </w:tc>
        <w:tc>
          <w:tcPr>
            <w:tcW w:w="1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ind w:right="29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ind w:right="314"/>
              <w:spacing w:after="0"/>
              <w:rPr>
                <w:sz w:val="20"/>
                <w:szCs w:val="20"/>
                <w:color w:val="auto"/>
              </w:rPr>
            </w:pPr>
            <w:r>
              <w:rPr>
                <w:rFonts w:ascii="Arial" w:cs="Arial" w:eastAsia="Arial" w:hAnsi="Arial"/>
                <w:sz w:val="14"/>
                <w:szCs w:val="14"/>
                <w:b w:val="1"/>
                <w:bCs w:val="1"/>
                <w:color w:val="auto"/>
                <w:w w:val="89"/>
              </w:rPr>
              <w:t>2004</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8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Convertible subordinated notes, due 2023</w:t>
            </w: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880" w:type="dxa"/>
            <w:vAlign w:val="bottom"/>
          </w:tcPr>
          <w:p>
            <w:pPr>
              <w:spacing w:after="0" w:line="256" w:lineRule="exact"/>
              <w:rPr>
                <w:sz w:val="20"/>
                <w:szCs w:val="20"/>
                <w:color w:val="auto"/>
              </w:rPr>
            </w:pPr>
            <w:r>
              <w:rPr>
                <w:rFonts w:ascii="Arial" w:cs="Arial" w:eastAsia="Arial" w:hAnsi="Arial"/>
                <w:sz w:val="18"/>
                <w:szCs w:val="18"/>
                <w:color w:val="auto"/>
              </w:rPr>
              <w:t>Liquid Yield Option</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Notes, due 2021</w:t>
            </w:r>
          </w:p>
        </w:tc>
        <w:tc>
          <w:tcPr>
            <w:tcW w:w="19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136,210</w:t>
            </w: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w w:val="98"/>
              </w:rPr>
              <w:t>132,213</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Exchangeable unsecured notes, due 2102</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105,000</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105,000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Revolving credit facility</w:t>
            </w:r>
          </w:p>
        </w:tc>
        <w:tc>
          <w:tcPr>
            <w:tcW w:w="19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ind w:right="36"/>
              <w:spacing w:after="0"/>
              <w:rPr>
                <w:sz w:val="20"/>
                <w:szCs w:val="20"/>
                <w:color w:val="auto"/>
              </w:rPr>
            </w:pPr>
            <w:r>
              <w:rPr>
                <w:rFonts w:ascii="Arial" w:cs="Arial" w:eastAsia="Arial" w:hAnsi="Arial"/>
                <w:sz w:val="18"/>
                <w:szCs w:val="18"/>
                <w:b w:val="1"/>
                <w:bCs w:val="1"/>
                <w:color w:val="auto"/>
              </w:rPr>
              <w:t>—</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11,000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20"/>
                <w:szCs w:val="20"/>
                <w:color w:val="auto"/>
              </w:rPr>
            </w:pPr>
            <w:r>
              <w:rPr>
                <w:rFonts w:ascii="Arial" w:cs="Arial" w:eastAsia="Arial" w:hAnsi="Arial"/>
                <w:sz w:val="18"/>
                <w:szCs w:val="18"/>
                <w:color w:val="auto"/>
              </w:rPr>
              <w:t>Other debt</w:t>
            </w: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11,876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880" w:type="dxa"/>
            <w:vAlign w:val="bottom"/>
          </w:tcPr>
          <w:p>
            <w:pPr>
              <w:spacing w:after="0"/>
              <w:rPr>
                <w:sz w:val="9"/>
                <w:szCs w:val="9"/>
                <w:color w:val="auto"/>
              </w:rPr>
            </w:pPr>
          </w:p>
        </w:tc>
        <w:tc>
          <w:tcPr>
            <w:tcW w:w="196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753,086</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752,196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Less current portion</w:t>
            </w:r>
          </w:p>
        </w:tc>
        <w:tc>
          <w:tcPr>
            <w:tcW w:w="19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1,533</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880" w:type="dxa"/>
            <w:vAlign w:val="bottom"/>
          </w:tcPr>
          <w:p>
            <w:pPr>
              <w:spacing w:after="0"/>
              <w:rPr>
                <w:sz w:val="8"/>
                <w:szCs w:val="8"/>
                <w:color w:val="auto"/>
              </w:rPr>
            </w:pPr>
          </w:p>
        </w:tc>
        <w:tc>
          <w:tcPr>
            <w:tcW w:w="196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80" w:type="dxa"/>
            <w:vAlign w:val="bottom"/>
            <w:shd w:val="clear" w:color="auto" w:fill="CCEEFF"/>
          </w:tcPr>
          <w:p>
            <w:pPr>
              <w:spacing w:after="0"/>
              <w:rPr>
                <w:sz w:val="18"/>
                <w:szCs w:val="18"/>
                <w:color w:val="auto"/>
              </w:rPr>
            </w:pPr>
          </w:p>
        </w:tc>
        <w:tc>
          <w:tcPr>
            <w:tcW w:w="2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751,553</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752,145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880" w:type="dxa"/>
            <w:vAlign w:val="bottom"/>
          </w:tcPr>
          <w:p>
            <w:pPr>
              <w:spacing w:after="0"/>
              <w:rPr>
                <w:sz w:val="11"/>
                <w:szCs w:val="11"/>
                <w:color w:val="auto"/>
              </w:rPr>
            </w:pPr>
          </w:p>
        </w:tc>
        <w:tc>
          <w:tcPr>
            <w:tcW w:w="196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5080000</wp:posOffset>
            </wp:positionH>
            <wp:positionV relativeFrom="paragraph">
              <wp:posOffset>-29210</wp:posOffset>
            </wp:positionV>
            <wp:extent cx="12700"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5139690</wp:posOffset>
            </wp:positionH>
            <wp:positionV relativeFrom="paragraph">
              <wp:posOffset>-29210</wp:posOffset>
            </wp:positionV>
            <wp:extent cx="1350645"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350645"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Convertible subordinated notes, due 2023</w:t>
      </w:r>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On August 6, 2003, the Company sold $450 million aggregate principal amount of 3-5/8% convertible subordinated notes due 2023 and granted the initial purchasers an option to purchase, within 30 days of the date of the offering memorandum relating to the notes, an additional $50 million of the notes. This option was exercised, and the additional $50 million of notes was issued on September 3, 2003. The notes pay interest semiannually.</w:t>
      </w:r>
    </w:p>
    <w:p>
      <w:pPr>
        <w:spacing w:after="0" w:line="161" w:lineRule="exact"/>
        <w:rPr>
          <w:sz w:val="20"/>
          <w:szCs w:val="20"/>
          <w:color w:val="auto"/>
        </w:rPr>
      </w:pPr>
    </w:p>
    <w:p>
      <w:pPr>
        <w:ind w:right="80"/>
        <w:spacing w:after="0" w:line="294" w:lineRule="auto"/>
        <w:rPr>
          <w:sz w:val="20"/>
          <w:szCs w:val="20"/>
          <w:color w:val="auto"/>
        </w:rPr>
      </w:pPr>
      <w:r>
        <w:rPr>
          <w:rFonts w:ascii="Arial" w:cs="Arial" w:eastAsia="Arial" w:hAnsi="Arial"/>
          <w:sz w:val="16"/>
          <w:szCs w:val="16"/>
          <w:color w:val="auto"/>
        </w:rPr>
        <w:t>Holders may convert the notes into Vishay common stock prior to the close of business on August 1, 2023 if (1) the sale price of Vishay common stock reaches 130% of the conversion price for a specified period; (2) the trading price of the notes falls below 98% of the average last reported sales price of Vishay common stock multiplied by the conversion rate for a specified period; (3) the notes have been called for redemption; (4) the credit ratings assigned to the notes are lowered by two or more levels from their initial ratings; or (5) specified corporate transactions occur. None of these conditions had occurred as of December 31, 2005. The conversion price of $21.28 is equivalent to a conversion rate of 46.9925 shares per $1,000 principal amount of notes.</w:t>
      </w:r>
    </w:p>
    <w:p>
      <w:pPr>
        <w:spacing w:after="0" w:line="170"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notes are subordinated in right of payment to all of the Company’s existing and future senior indebtedness and are effectively subordinated to all existing and future liabilities of its subsidiaries. The notes may be redeemed at the Company’s option beginning August 1, 2010 at a redemption price equal to 100% of the principal amount plus accrued and unpaid interest, if any. Holders of the notes have the right to require the Company to repurchase all or some of their notes at a purchase price equal to 100% of their principal amount of the notes, plus accrued and unpaid interest, if any, on August 1, 2008, August 1, 2010, August 1, 2013, and August 1, 2018. In addition, holders of the notes will have the right to require the Company to repurchase all or some of their notes upon the occurrence of certain events constituting a fundamental change. On any required repurchase, the Company may choose to pay the purchase price in cash or shares of Vishay common stock or any combination of cash and Vishay common stock.</w:t>
      </w:r>
    </w:p>
    <w:p>
      <w:pPr>
        <w:spacing w:after="0" w:line="172"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A significant portion of the proceeds of this debt issuance was used to repurchase other debt. The early extinguishment of a portion of the Liquid Yield Option™ Notes (“LYONs”) and the General Semiconductor convertible subordinated notes resulted in a pretax loss of $9,910,000 in 2003, which included a premium on redemption of approximately $7.3 million and the write-off of deferred financing costs of approximately $2.6 million.</w:t>
      </w:r>
    </w:p>
    <w:p>
      <w:pPr>
        <w:spacing w:after="0" w:line="16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380"/>
          </w:cols>
          <w:pgMar w:left="240" w:top="584" w:right="27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u w:val="single" w:color="auto"/>
          <w:color w:val="auto"/>
        </w:rPr>
        <w:t>Note 6 – Long-Term Debt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 Yield Option™ Notes, due 2021</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On June 4, 2001, the Company completed a private placement of $550 million face amount of LYONs due 2021. In connection with the sale of the LYONs, the Company received net proceeds of $294,096,000 and used the proceeds to pay down existing bank debt. Each LYON has a $1,000 face amount and was offered at a price of $551.26 (55.126% of the principal amount at maturity). The Company will not pay interest on the LYONs prior to maturity unless contingent interest becomes payable.</w:t>
      </w:r>
    </w:p>
    <w:p>
      <w:pPr>
        <w:spacing w:after="0" w:line="197"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The issue price of each LYON represents a yield to maturity of 3.00%, excluding any contingent interest. The LYONs are subordinated in right of payment to all of the Company’s existing and future senior indebtedness.</w:t>
      </w:r>
    </w:p>
    <w:p>
      <w:pPr>
        <w:spacing w:after="0" w:line="186" w:lineRule="exact"/>
        <w:rPr>
          <w:sz w:val="20"/>
          <w:szCs w:val="20"/>
          <w:color w:val="auto"/>
        </w:rPr>
      </w:pPr>
    </w:p>
    <w:p>
      <w:pPr>
        <w:ind w:right="360"/>
        <w:spacing w:after="0" w:line="370" w:lineRule="auto"/>
        <w:rPr>
          <w:sz w:val="20"/>
          <w:szCs w:val="20"/>
          <w:color w:val="auto"/>
        </w:rPr>
      </w:pPr>
      <w:r>
        <w:rPr>
          <w:rFonts w:ascii="Arial" w:cs="Arial" w:eastAsia="Arial" w:hAnsi="Arial"/>
          <w:sz w:val="15"/>
          <w:szCs w:val="15"/>
          <w:color w:val="auto"/>
        </w:rPr>
        <w:t>At any time on or before the maturity date, the LYONs are convertible into Vishay common stock at a rate of 17.6686 shares of common stock per $1,000 principal amount at maturity. The conversion rate may be adjusted under certain circumstances, but it will not be adjusted for accrued original issue discount.</w:t>
      </w:r>
    </w:p>
    <w:p>
      <w:pPr>
        <w:spacing w:after="0" w:line="11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Company is required to pay contingent interest to the holders of the LYONs during the six-month period commencing June 4, 2006 and during any six-month period thereafter if the average market price of a LYON for a certain measurement period immediately preceding the applicable six-month period equals 120% or more of the sum of the issue price and accrued original issue discount for such LYON. The amount of contingent interest payable during any six-month period will be the sum of any contingent interest payable in the first and second three-month periods during such six-month period. During any three-month period in which contingent interest becomes payable, the contingent interest payable per LYON for such period will be equal to the greater of (1) 0.0625% of the average market price of a LYON for the measurement period referred to above or (2) the sum of all regular cash dividends paid by the Company per share on its common stock during such three-month period multiplied by the number of shares of common stock issuable upon conversion of a LYON at the then-applicable conversion rate.</w:t>
      </w:r>
    </w:p>
    <w:p>
      <w:pPr>
        <w:spacing w:after="0" w:line="389"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Company used approximately $97.4 million of the proceeds of the 2003 offering of the convertible subordinated notes to fund the purchase of approximately $97.0 million accreted principal amount ($165.0 million face amount) of its LYONs.</w:t>
      </w:r>
    </w:p>
    <w:p>
      <w:pPr>
        <w:spacing w:after="0" w:line="186"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The holders of the LYONs had the option to require the Company to purchase all or a portion of their LYONs on June 4, 2004 at their accreted value of $602.77 per $1,000 principal amount at maturity. Pursuant to the terms of the notes, the Company could choose to pay the purchase price in cash, Vishay common stock, or a combination of both. On May 5, 2004, the Company notified holders of the notes that it had elected to pay the purchase price for the notes on the June 4, 2004 purchase date in shares of common stock. Each holder of LYONs that exercised the option received 32.6669 shares per $1,000 principal amount at maturity, determined by dividing the total amount of cash the holder would have been entitled to receive had the purchase price been paid in cash by the average market price of a share of common stock for the five day trading period ending on the third business day prior to the purchase date, which was the period from May 25, 2004 to and including June 1, 2004. This average market price was $18.452.</w:t>
      </w:r>
    </w:p>
    <w:p>
      <w:pPr>
        <w:spacing w:after="0" w:line="17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Holders of $169,435,000 principal amount at maturity ($102,130,000 accreted principal amount) exercised their option. The Company issued 5,534,905 shares of common stock. The transaction resulted in a non-cash charge to equity of $2,540,000 for the write-off of a portion of unamortized debt issuance costs associated with the 2001 issuance of the LYONs.</w:t>
      </w:r>
    </w:p>
    <w:p>
      <w:pPr>
        <w:spacing w:after="0" w:line="194" w:lineRule="exact"/>
        <w:rPr>
          <w:sz w:val="20"/>
          <w:szCs w:val="20"/>
          <w:color w:val="auto"/>
        </w:rPr>
      </w:pPr>
    </w:p>
    <w:p>
      <w:pPr>
        <w:ind w:right="160"/>
        <w:spacing w:after="0" w:line="306" w:lineRule="auto"/>
        <w:rPr>
          <w:sz w:val="20"/>
          <w:szCs w:val="20"/>
          <w:color w:val="auto"/>
        </w:rPr>
      </w:pPr>
      <w:r>
        <w:rPr>
          <w:rFonts w:ascii="Arial" w:cs="Arial" w:eastAsia="Arial" w:hAnsi="Arial"/>
          <w:sz w:val="16"/>
          <w:szCs w:val="16"/>
          <w:color w:val="auto"/>
        </w:rPr>
        <w:t>The remaining LYONs holders also have the right to require Vishay to repurchase the notes on June 4, 2006, June 4, 2011, and June 4, 2016 at their accreted value on these dates, as set forth in the notes. The Company may choose to pay the purchase price in cash, Vishay common stock, or a combination of both. The Company may redeem for cash all or a portion of the LYONs at any time on or after June 4, 2006 at the prices set forth in the notes.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420"/>
          </w:cols>
          <w:pgMar w:left="240" w:top="584" w:right="239" w:bottom="1440" w:gutter="0" w:footer="0" w:header="0"/>
        </w:sectPr>
      </w:pPr>
    </w:p>
    <w:bookmarkStart w:id="91" w:name="page92"/>
    <w:bookmarkEnd w:id="91"/>
    <w:p>
      <w:pPr>
        <w:spacing w:after="0"/>
        <w:rPr>
          <w:sz w:val="20"/>
          <w:szCs w:val="20"/>
          <w:color w:val="auto"/>
        </w:rPr>
      </w:pPr>
      <w:r>
        <w:rPr>
          <w:rFonts w:ascii="Arial" w:cs="Arial" w:eastAsia="Arial" w:hAnsi="Arial"/>
          <w:sz w:val="18"/>
          <w:szCs w:val="18"/>
          <w:b w:val="1"/>
          <w:bCs w:val="1"/>
          <w:u w:val="single" w:color="auto"/>
          <w:color w:val="auto"/>
        </w:rPr>
        <w:t>Note 6 – Long-Term Debt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Exchangeable unsecured notes, due 2102</w:t>
      </w:r>
    </w:p>
    <w:p>
      <w:pPr>
        <w:spacing w:after="0" w:line="225"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On December 13, 2002, the Company completed the acquisition of BCcomponents Holdings B.V. In connection with this acquisition, $105,000,000 in principal amount of BCcomponents’ mezzanine indebtedness and certain other securities of BCcomponents were exchanged for $105,000,000 principal amount of floating rate unsecured loan notes of the Company, due 2102. The notes bear interest at LIBOR plus 1.5% through December 31, 2006 and at LIBOR thereafter. The interest rate could be further reduced to 50% of LIBOR after December 31, 2010 if the price of the Company’s common stock trades above a specified target price, as provided in the notes. The notes are subject to a put and call agreement under which the holders may at any time put the notes to the Company in exchange for 6,176,471 shares of the Company’s common stock in the aggregate, and the Company may call the notes in exchange for cash or for shares of its common stock after 15 years from the date of issuance.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Revolving credit facility</w:t>
      </w:r>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In July 2003, Vishay agreed with the lenders under its secured revolving credit facility to an amendment and restatement of the agreement governing the facility. The maximum availability under the facility, in light of the Company’s anticipated liquidity needs, was changed from $500 million to $400 million, and the final maturity of the facility was extended from June 2005 to May 2007. The restatement decreases the Company’s minimum tangible net worth requirement to $850 million plus 50% of net income (without offset for losses) and 75% of net proceeds of equity offerings from July 1, 2003, eliminates the covenant on minimum earnings before interest and tax, permits securitization of up to $200 million of non-U.S. accounts receivable, allows for the release of all collateral (other than subsidiary stock and pledges by the Company and its subsidiaries of intercompany notes) under certain circumstances and creates an event of default upon the occurrence of a fundamental change as defined under the Company’s convertible subordinated notes due 2023. The Company used approximately $130 million of the proceeds of the offering of the convertible subordinated notes to repay amounts outstanding under the revolving credit facility.</w:t>
      </w:r>
    </w:p>
    <w:p>
      <w:pPr>
        <w:spacing w:after="0" w:line="172"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On May 24, 2004, the Company entered into a Consent and First Amendment to the revolving credit facility, effective as of May 14, 2004. The amendment provides for lender consent to the corporate restructuring of certain subsidiaries of Vishay, permits subsidiary guarantees of certain equipment leases and revises and clarifies the conditions under which Vishay and its subsidiaries may extend loans to one another. In addition, in connection with the execution of the amendment, certain additional Vishay subsidiaries, which have become “significant subsidiaries” as that term is defined under the credit agreement, have become parties to various security and guaranty documents. Effective August 6, 2004, the Company entered into a second amendment, which made certain additional technical changes to the collateral arrangements under the revolving credit agreement.</w:t>
      </w:r>
    </w:p>
    <w:p>
      <w:pPr>
        <w:spacing w:after="0" w:line="174"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Interest on the revolving credit facility is payable at prime or other variable interest rate options. The Company is required to pay facility fees. No amounts were outstanding under the revolving credit facility at December 31, 2005. As of December 31, 2004, $11,000,000 was outstanding under the revolving credit facility. Letters of credit totaling $7,302,000 and $7,314,000 were issued under the revolving credit facility at December 31, 2005 and 2004, respectively. At December 31, 2005, $392,698,000 was available under the credit facility.</w:t>
      </w:r>
    </w:p>
    <w:p>
      <w:pPr>
        <w:spacing w:after="0" w:line="19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Borrowings under the revolving credit facility are secured by pledges of stock in certain significant subsidiaries and certain guarantees by significant subsidiaries. The subsidiaries would be required to perform under the guarantees in the event that the Company failed to make principal or interest payments under the revolving credit facility. Certain of the Company’s subsidiaries, including Siliconix subsequent to the 2005 acquisition of the minority interest, are permitted to borrow under the revolving credit facility. Any borrowings by these subsidiaries under the revolving credit facility are guaranteed by Vishay.</w:t>
      </w:r>
    </w:p>
    <w:p>
      <w:pPr>
        <w:spacing w:after="0" w:line="167" w:lineRule="exact"/>
        <w:rPr>
          <w:sz w:val="20"/>
          <w:szCs w:val="20"/>
          <w:color w:val="auto"/>
        </w:rPr>
      </w:pPr>
    </w:p>
    <w:p>
      <w:pPr>
        <w:ind w:right="660"/>
        <w:spacing w:after="0" w:line="332" w:lineRule="auto"/>
        <w:rPr>
          <w:sz w:val="20"/>
          <w:szCs w:val="20"/>
          <w:color w:val="auto"/>
        </w:rPr>
      </w:pPr>
      <w:r>
        <w:rPr>
          <w:rFonts w:ascii="Arial" w:cs="Arial" w:eastAsia="Arial" w:hAnsi="Arial"/>
          <w:sz w:val="16"/>
          <w:szCs w:val="16"/>
          <w:color w:val="auto"/>
        </w:rPr>
        <w:t>The revolving credit facility restricts the Company from paying cash dividends and requires the Company to comply with other covenants, including the maintenance of specific financial ratios. The Company was in compliance with all covenants at December 31, 2005.</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380"/>
          </w:cols>
          <w:pgMar w:left="240" w:top="584" w:right="279" w:bottom="1440" w:gutter="0" w:footer="0" w:header="0"/>
        </w:sectPr>
      </w:pPr>
    </w:p>
    <w:bookmarkStart w:id="92" w:name="page93"/>
    <w:bookmarkEnd w:id="92"/>
    <w:p>
      <w:pPr>
        <w:spacing w:after="0"/>
        <w:rPr>
          <w:sz w:val="20"/>
          <w:szCs w:val="20"/>
          <w:color w:val="auto"/>
        </w:rPr>
      </w:pPr>
      <w:r>
        <w:rPr>
          <w:rFonts w:ascii="Arial" w:cs="Arial" w:eastAsia="Arial" w:hAnsi="Arial"/>
          <w:sz w:val="18"/>
          <w:szCs w:val="18"/>
          <w:b w:val="1"/>
          <w:bCs w:val="1"/>
          <w:u w:val="single" w:color="auto"/>
          <w:color w:val="auto"/>
        </w:rPr>
        <w:t>Note 6 – Long-Term Debt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Borrowings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Aggregate annual maturities of long-term debt, based on the terms stated in the respective agreements,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7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2007</w:t>
            </w:r>
          </w:p>
        </w:tc>
        <w:tc>
          <w:tcPr>
            <w:tcW w:w="2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3,360</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1,213</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2009</w:t>
            </w:r>
          </w:p>
        </w:tc>
        <w:tc>
          <w:tcPr>
            <w:tcW w:w="27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649</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7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Thereafter</w:t>
            </w:r>
          </w:p>
        </w:tc>
        <w:tc>
          <w:tcPr>
            <w:tcW w:w="27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746,081</w:t>
            </w:r>
          </w:p>
        </w:tc>
      </w:tr>
    </w:tbl>
    <w:p>
      <w:pPr>
        <w:spacing w:after="0" w:line="201"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As described above, LYONs with an aggregate accreted principal amount of $136 million, due by their terms in 2021, may be put to the Company in 2006 at an aggregate price of approximately $138 million. If the holders exercise their option to require the Company to repurchase the LYONs at their accreted value on June 4, 2006, the Company expects to be able to use the revolving credit facility (or Vishay common stock) to finance the repurchase. Also, as described above, the convertible subordinated notes, due by their terms in 2023, may be put to the Company in 2008 at an aggregate price of $500 million.</w:t>
      </w:r>
    </w:p>
    <w:p>
      <w:pPr>
        <w:spacing w:after="0" w:line="167"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At December 31, 2005, the Company had committed and uncommitted short-term credit lines with various U.S. and foreign banks aggregating approximately $70.8 million, of which approximately $66.2 million was unused. The weighted average interest rate on short-term borrowings outstanding as of December 31, 2005 and 2004 was 5.1% and 4.9%,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Interest paid was $31,950,000, $26,902,000, and $30,760,000 for the years ended December 31, 2005, 2004, and 2003, respectively.</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80"/>
          </w:cols>
          <w:pgMar w:left="240" w:top="584" w:right="379" w:bottom="1440" w:gutter="0" w:footer="0" w:header="0"/>
        </w:sectPr>
      </w:pPr>
    </w:p>
    <w:bookmarkStart w:id="93" w:name="page94"/>
    <w:bookmarkEnd w:id="93"/>
    <w:p>
      <w:pPr>
        <w:spacing w:after="0"/>
        <w:rPr>
          <w:sz w:val="20"/>
          <w:szCs w:val="20"/>
          <w:color w:val="auto"/>
        </w:rPr>
      </w:pPr>
      <w:r>
        <w:rPr>
          <w:rFonts w:ascii="Arial" w:cs="Arial" w:eastAsia="Arial" w:hAnsi="Arial"/>
          <w:sz w:val="18"/>
          <w:szCs w:val="18"/>
          <w:b w:val="1"/>
          <w:bCs w:val="1"/>
          <w:u w:val="single" w:color="auto"/>
          <w:color w:val="auto"/>
        </w:rPr>
        <w:t>Note 7 – Stockholders’ Equity</w:t>
      </w:r>
    </w:p>
    <w:p>
      <w:pPr>
        <w:spacing w:after="0" w:line="231" w:lineRule="exact"/>
        <w:rPr>
          <w:sz w:val="20"/>
          <w:szCs w:val="20"/>
          <w:color w:val="auto"/>
        </w:rPr>
      </w:pPr>
    </w:p>
    <w:p>
      <w:pPr>
        <w:ind w:right="240"/>
        <w:spacing w:after="0" w:line="335" w:lineRule="auto"/>
        <w:rPr>
          <w:sz w:val="20"/>
          <w:szCs w:val="20"/>
          <w:color w:val="auto"/>
        </w:rPr>
      </w:pPr>
      <w:r>
        <w:rPr>
          <w:rFonts w:ascii="Arial" w:cs="Arial" w:eastAsia="Arial" w:hAnsi="Arial"/>
          <w:sz w:val="15"/>
          <w:szCs w:val="15"/>
          <w:color w:val="auto"/>
        </w:rPr>
        <w:t>The Company’s Class B common stock carries ten votes per share while the common stock carries one vote per share. Class B shares are transferable only to certain permitted transferees while the common stock is freely transferable. Class B shares are convertible on a one-for-one basis at any time into shares of common stock. Transfers of Class B shares other than to permitted transferees results in the automatic conversion of the Class B shares into common stock.</w:t>
      </w:r>
    </w:p>
    <w:p>
      <w:pPr>
        <w:spacing w:after="0" w:line="142"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On August 10, 2000, the Board of Directors of the Company authorized the repurchase of up to 5,000,000 shares of its common stock from time to time in the open market. As of December 31, 2005, the Company had repurchased 248,500 shares. No shares have been repurchased since 2001.</w:t>
      </w:r>
    </w:p>
    <w:p>
      <w:pPr>
        <w:spacing w:after="0" w:line="13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issued 8,823,529 warrants to acquire shares of Vishay common stock as part of the purchase price for the 2002 acquisition of BCcomponents. Of these warrants, 7,000,000 have an exercise price of $20.00 per share, and 1,823,529 have an exercise price of $30.30 per share. These warrants expire in December 2012.</w:t>
      </w:r>
    </w:p>
    <w:p>
      <w:pPr>
        <w:spacing w:after="0" w:line="194" w:lineRule="exact"/>
        <w:rPr>
          <w:sz w:val="20"/>
          <w:szCs w:val="20"/>
          <w:color w:val="auto"/>
        </w:rPr>
      </w:pPr>
    </w:p>
    <w:p>
      <w:pPr>
        <w:ind w:right="460"/>
        <w:spacing w:after="0" w:line="268" w:lineRule="auto"/>
        <w:rPr>
          <w:sz w:val="20"/>
          <w:szCs w:val="20"/>
          <w:color w:val="auto"/>
        </w:rPr>
      </w:pPr>
      <w:r>
        <w:rPr>
          <w:rFonts w:ascii="Arial" w:cs="Arial" w:eastAsia="Arial" w:hAnsi="Arial"/>
          <w:sz w:val="18"/>
          <w:szCs w:val="18"/>
          <w:color w:val="auto"/>
        </w:rPr>
        <w:t>Unearned compensation relating to common stock issued under employee stock plans is being amortized over periods ranging from three to five years. At December 31, 2005, 305,126 shares were available for issuance under stock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2005, the Company had reserved shares of common stock for future issuance as follows:</w:t>
      </w:r>
    </w:p>
    <w:p>
      <w:pPr>
        <w:spacing w:after="0" w:line="234"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Employee stock plans</w:t>
            </w:r>
          </w:p>
        </w:tc>
        <w:tc>
          <w:tcPr>
            <w:tcW w:w="4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305,126</w:t>
            </w:r>
          </w:p>
        </w:tc>
        <w:tc>
          <w:tcPr>
            <w:tcW w:w="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Common stock options outstanding</w:t>
            </w:r>
          </w:p>
        </w:tc>
        <w:tc>
          <w:tcPr>
            <w:tcW w:w="4960" w:type="dxa"/>
            <w:vAlign w:val="bottom"/>
            <w:gridSpan w:val="2"/>
          </w:tcPr>
          <w:p>
            <w:pPr>
              <w:jc w:val="right"/>
              <w:ind w:right="20"/>
              <w:spacing w:after="0"/>
              <w:rPr>
                <w:sz w:val="20"/>
                <w:szCs w:val="20"/>
                <w:color w:val="auto"/>
              </w:rPr>
            </w:pPr>
            <w:r>
              <w:rPr>
                <w:rFonts w:ascii="Arial" w:cs="Arial" w:eastAsia="Arial" w:hAnsi="Arial"/>
                <w:sz w:val="18"/>
                <w:szCs w:val="18"/>
                <w:color w:val="auto"/>
              </w:rPr>
              <w:t>7,928,000</w:t>
            </w: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Common stock options available to grant</w:t>
            </w:r>
          </w:p>
        </w:tc>
        <w:tc>
          <w:tcPr>
            <w:tcW w:w="4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1,164,000</w:t>
            </w:r>
          </w:p>
        </w:tc>
        <w:tc>
          <w:tcPr>
            <w:tcW w:w="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Common stock warrants</w:t>
            </w:r>
          </w:p>
        </w:tc>
        <w:tc>
          <w:tcPr>
            <w:tcW w:w="4960" w:type="dxa"/>
            <w:vAlign w:val="bottom"/>
            <w:gridSpan w:val="2"/>
          </w:tcPr>
          <w:p>
            <w:pPr>
              <w:jc w:val="right"/>
              <w:ind w:right="20"/>
              <w:spacing w:after="0"/>
              <w:rPr>
                <w:sz w:val="20"/>
                <w:szCs w:val="20"/>
                <w:color w:val="auto"/>
              </w:rPr>
            </w:pPr>
            <w:r>
              <w:rPr>
                <w:rFonts w:ascii="Arial" w:cs="Arial" w:eastAsia="Arial" w:hAnsi="Arial"/>
                <w:sz w:val="18"/>
                <w:szCs w:val="18"/>
                <w:color w:val="auto"/>
              </w:rPr>
              <w:t>8,823,529</w:t>
            </w: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Exchangeable unsecured notes, due 2102</w:t>
            </w:r>
          </w:p>
        </w:tc>
        <w:tc>
          <w:tcPr>
            <w:tcW w:w="4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6,176,471</w:t>
            </w:r>
          </w:p>
        </w:tc>
        <w:tc>
          <w:tcPr>
            <w:tcW w:w="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Convertible subordinated notes, LYONs</w:t>
            </w:r>
          </w:p>
        </w:tc>
        <w:tc>
          <w:tcPr>
            <w:tcW w:w="4960" w:type="dxa"/>
            <w:vAlign w:val="bottom"/>
            <w:gridSpan w:val="2"/>
          </w:tcPr>
          <w:p>
            <w:pPr>
              <w:jc w:val="right"/>
              <w:ind w:right="20"/>
              <w:spacing w:after="0"/>
              <w:rPr>
                <w:sz w:val="20"/>
                <w:szCs w:val="20"/>
                <w:color w:val="auto"/>
              </w:rPr>
            </w:pPr>
            <w:r>
              <w:rPr>
                <w:rFonts w:ascii="Arial" w:cs="Arial" w:eastAsia="Arial" w:hAnsi="Arial"/>
                <w:sz w:val="18"/>
                <w:szCs w:val="18"/>
                <w:color w:val="auto"/>
              </w:rPr>
              <w:t>3,808,732</w:t>
            </w: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Convertible subordinated notes, due 2023</w:t>
            </w:r>
          </w:p>
        </w:tc>
        <w:tc>
          <w:tcPr>
            <w:tcW w:w="4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23,496,250</w:t>
            </w:r>
          </w:p>
        </w:tc>
        <w:tc>
          <w:tcPr>
            <w:tcW w:w="60" w:type="dxa"/>
            <w:vAlign w:val="bottom"/>
            <w:shd w:val="clear" w:color="auto" w:fill="CCEEFF"/>
          </w:tcPr>
          <w:p>
            <w:pPr>
              <w:spacing w:after="0"/>
              <w:rPr>
                <w:sz w:val="18"/>
                <w:szCs w:val="18"/>
                <w:color w:val="auto"/>
              </w:rPr>
            </w:pPr>
          </w:p>
        </w:tc>
      </w:tr>
      <w:tr>
        <w:trPr>
          <w:trHeight w:val="216"/>
        </w:trPr>
        <w:tc>
          <w:tcPr>
            <w:tcW w:w="3520" w:type="dxa"/>
            <w:vAlign w:val="bottom"/>
          </w:tcPr>
          <w:p>
            <w:pPr>
              <w:spacing w:after="0"/>
              <w:rPr>
                <w:sz w:val="20"/>
                <w:szCs w:val="20"/>
                <w:color w:val="auto"/>
              </w:rPr>
            </w:pPr>
            <w:r>
              <w:rPr>
                <w:rFonts w:ascii="Arial" w:cs="Arial" w:eastAsia="Arial" w:hAnsi="Arial"/>
                <w:sz w:val="18"/>
                <w:szCs w:val="18"/>
                <w:color w:val="auto"/>
              </w:rPr>
              <w:t>Phantom stock outstanding</w:t>
            </w:r>
          </w:p>
        </w:tc>
        <w:tc>
          <w:tcPr>
            <w:tcW w:w="4960" w:type="dxa"/>
            <w:vAlign w:val="bottom"/>
            <w:gridSpan w:val="2"/>
          </w:tcPr>
          <w:p>
            <w:pPr>
              <w:jc w:val="right"/>
              <w:ind w:right="20"/>
              <w:spacing w:after="0"/>
              <w:rPr>
                <w:sz w:val="20"/>
                <w:szCs w:val="20"/>
                <w:color w:val="auto"/>
              </w:rPr>
            </w:pPr>
            <w:r>
              <w:rPr>
                <w:rFonts w:ascii="Arial" w:cs="Arial" w:eastAsia="Arial" w:hAnsi="Arial"/>
                <w:sz w:val="18"/>
                <w:szCs w:val="18"/>
                <w:color w:val="auto"/>
              </w:rPr>
              <w:t>60,000</w:t>
            </w:r>
          </w:p>
        </w:tc>
        <w:tc>
          <w:tcPr>
            <w:tcW w:w="60" w:type="dxa"/>
            <w:vAlign w:val="bottom"/>
          </w:tcPr>
          <w:p>
            <w:pPr>
              <w:spacing w:after="0"/>
              <w:rPr>
                <w:sz w:val="18"/>
                <w:szCs w:val="18"/>
                <w:color w:val="auto"/>
              </w:rPr>
            </w:pPr>
          </w:p>
        </w:tc>
      </w:tr>
      <w:tr>
        <w:trPr>
          <w:trHeight w:val="216"/>
        </w:trPr>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Phantom stock available to grant</w:t>
            </w:r>
          </w:p>
        </w:tc>
        <w:tc>
          <w:tcPr>
            <w:tcW w:w="4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240,000</w:t>
            </w:r>
          </w:p>
        </w:tc>
        <w:tc>
          <w:tcPr>
            <w:tcW w:w="60" w:type="dxa"/>
            <w:vAlign w:val="bottom"/>
            <w:shd w:val="clear" w:color="auto" w:fill="CCEEFF"/>
          </w:tcPr>
          <w:p>
            <w:pPr>
              <w:spacing w:after="0"/>
              <w:rPr>
                <w:sz w:val="18"/>
                <w:szCs w:val="18"/>
                <w:color w:val="auto"/>
              </w:rPr>
            </w:pPr>
          </w:p>
        </w:tc>
      </w:tr>
      <w:tr>
        <w:trPr>
          <w:trHeight w:val="222"/>
        </w:trPr>
        <w:tc>
          <w:tcPr>
            <w:tcW w:w="3520" w:type="dxa"/>
            <w:vAlign w:val="bottom"/>
          </w:tcPr>
          <w:p>
            <w:pPr>
              <w:spacing w:after="0"/>
              <w:rPr>
                <w:sz w:val="20"/>
                <w:szCs w:val="20"/>
                <w:color w:val="auto"/>
              </w:rPr>
            </w:pPr>
            <w:r>
              <w:rPr>
                <w:rFonts w:ascii="Arial" w:cs="Arial" w:eastAsia="Arial" w:hAnsi="Arial"/>
                <w:sz w:val="18"/>
                <w:szCs w:val="18"/>
                <w:color w:val="auto"/>
              </w:rPr>
              <w:t>Conversion of Class B common stock</w:t>
            </w:r>
          </w:p>
        </w:tc>
        <w:tc>
          <w:tcPr>
            <w:tcW w:w="4960" w:type="dxa"/>
            <w:vAlign w:val="bottom"/>
            <w:gridSpan w:val="2"/>
          </w:tcPr>
          <w:p>
            <w:pPr>
              <w:jc w:val="right"/>
              <w:ind w:right="20"/>
              <w:spacing w:after="0"/>
              <w:rPr>
                <w:sz w:val="20"/>
                <w:szCs w:val="20"/>
                <w:color w:val="auto"/>
              </w:rPr>
            </w:pPr>
            <w:r>
              <w:rPr>
                <w:rFonts w:ascii="Arial" w:cs="Arial" w:eastAsia="Arial" w:hAnsi="Arial"/>
                <w:sz w:val="18"/>
                <w:szCs w:val="18"/>
                <w:color w:val="auto"/>
              </w:rPr>
              <w:t>14,679,440</w:t>
            </w:r>
          </w:p>
        </w:tc>
        <w:tc>
          <w:tcPr>
            <w:tcW w:w="60" w:type="dxa"/>
            <w:vAlign w:val="bottom"/>
          </w:tcPr>
          <w:p>
            <w:pPr>
              <w:spacing w:after="0"/>
              <w:rPr>
                <w:sz w:val="19"/>
                <w:szCs w:val="19"/>
                <w:color w:val="auto"/>
              </w:rPr>
            </w:pPr>
          </w:p>
        </w:tc>
      </w:tr>
      <w:tr>
        <w:trPr>
          <w:trHeight w:val="102"/>
        </w:trPr>
        <w:tc>
          <w:tcPr>
            <w:tcW w:w="35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1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3520" w:type="dxa"/>
            <w:vAlign w:val="bottom"/>
          </w:tcPr>
          <w:p>
            <w:pPr>
              <w:spacing w:after="0"/>
              <w:rPr>
                <w:sz w:val="8"/>
                <w:szCs w:val="8"/>
                <w:color w:val="auto"/>
              </w:rPr>
            </w:pPr>
          </w:p>
        </w:tc>
        <w:tc>
          <w:tcPr>
            <w:tcW w:w="3840" w:type="dxa"/>
            <w:vAlign w:val="bottom"/>
          </w:tcPr>
          <w:p>
            <w:pPr>
              <w:spacing w:after="0"/>
              <w:rPr>
                <w:sz w:val="8"/>
                <w:szCs w:val="8"/>
                <w:color w:val="auto"/>
              </w:rPr>
            </w:pPr>
          </w:p>
        </w:tc>
        <w:tc>
          <w:tcPr>
            <w:tcW w:w="112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3520" w:type="dxa"/>
            <w:vAlign w:val="bottom"/>
            <w:shd w:val="clear" w:color="auto" w:fill="CCEEFF"/>
          </w:tcPr>
          <w:p>
            <w:pPr>
              <w:spacing w:after="0"/>
              <w:rPr>
                <w:sz w:val="18"/>
                <w:szCs w:val="18"/>
                <w:color w:val="auto"/>
              </w:rPr>
            </w:pPr>
          </w:p>
        </w:tc>
        <w:tc>
          <w:tcPr>
            <w:tcW w:w="4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66,681,548</w:t>
            </w:r>
          </w:p>
        </w:tc>
        <w:tc>
          <w:tcPr>
            <w:tcW w:w="60" w:type="dxa"/>
            <w:vAlign w:val="bottom"/>
            <w:shd w:val="clear" w:color="auto" w:fill="CCEEFF"/>
          </w:tcPr>
          <w:p>
            <w:pPr>
              <w:spacing w:after="0"/>
              <w:rPr>
                <w:sz w:val="18"/>
                <w:szCs w:val="18"/>
                <w:color w:val="auto"/>
              </w:rPr>
            </w:pPr>
          </w:p>
        </w:tc>
      </w:tr>
      <w:tr>
        <w:trPr>
          <w:trHeight w:val="132"/>
        </w:trPr>
        <w:tc>
          <w:tcPr>
            <w:tcW w:w="3520" w:type="dxa"/>
            <w:vAlign w:val="bottom"/>
          </w:tcPr>
          <w:p>
            <w:pPr>
              <w:spacing w:after="0"/>
              <w:rPr>
                <w:sz w:val="11"/>
                <w:szCs w:val="11"/>
                <w:color w:val="auto"/>
              </w:rPr>
            </w:pPr>
          </w:p>
        </w:tc>
        <w:tc>
          <w:tcPr>
            <w:tcW w:w="3840" w:type="dxa"/>
            <w:vAlign w:val="bottom"/>
          </w:tcPr>
          <w:p>
            <w:pPr>
              <w:spacing w:after="0"/>
              <w:rPr>
                <w:sz w:val="11"/>
                <w:szCs w:val="11"/>
                <w:color w:val="auto"/>
              </w:rPr>
            </w:pPr>
          </w:p>
        </w:tc>
        <w:tc>
          <w:tcPr>
            <w:tcW w:w="11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535"/>
        </w:trPr>
        <w:tc>
          <w:tcPr>
            <w:tcW w:w="3520" w:type="dxa"/>
            <w:vAlign w:val="bottom"/>
          </w:tcPr>
          <w:p>
            <w:pPr>
              <w:spacing w:after="0"/>
              <w:rPr>
                <w:sz w:val="24"/>
                <w:szCs w:val="24"/>
                <w:color w:val="auto"/>
              </w:rPr>
            </w:pPr>
          </w:p>
        </w:tc>
        <w:tc>
          <w:tcPr>
            <w:tcW w:w="5020" w:type="dxa"/>
            <w:vAlign w:val="bottom"/>
            <w:gridSpan w:val="3"/>
          </w:tcPr>
          <w:p>
            <w:pPr>
              <w:ind w:left="580"/>
              <w:spacing w:after="0"/>
              <w:rPr>
                <w:sz w:val="20"/>
                <w:szCs w:val="20"/>
                <w:color w:val="auto"/>
              </w:rPr>
            </w:pPr>
            <w:r>
              <w:rPr>
                <w:rFonts w:ascii="Arial" w:cs="Arial" w:eastAsia="Arial" w:hAnsi="Arial"/>
                <w:sz w:val="18"/>
                <w:szCs w:val="18"/>
                <w:color w:val="auto"/>
              </w:rPr>
              <w:t>F-34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5586095</wp:posOffset>
            </wp:positionH>
            <wp:positionV relativeFrom="paragraph">
              <wp:posOffset>-368935</wp:posOffset>
            </wp:positionV>
            <wp:extent cx="1270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-368935</wp:posOffset>
            </wp:positionV>
            <wp:extent cx="12700"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-368935</wp:posOffset>
            </wp:positionV>
            <wp:extent cx="12700"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94" w:name="page95"/>
    <w:bookmarkEnd w:id="94"/>
    <w:p>
      <w:pPr>
        <w:spacing w:after="0"/>
        <w:rPr>
          <w:sz w:val="20"/>
          <w:szCs w:val="20"/>
          <w:color w:val="auto"/>
        </w:rPr>
      </w:pPr>
      <w:r>
        <w:rPr>
          <w:rFonts w:ascii="Arial" w:cs="Arial" w:eastAsia="Arial" w:hAnsi="Arial"/>
          <w:sz w:val="18"/>
          <w:szCs w:val="18"/>
          <w:b w:val="1"/>
          <w:bCs w:val="1"/>
          <w:u w:val="single" w:color="auto"/>
          <w:color w:val="auto"/>
        </w:rPr>
        <w:t>Note 8 – Other Income (Expense)</w:t>
      </w:r>
    </w:p>
    <w:p>
      <w:pPr>
        <w:spacing w:after="0" w:line="231"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On February 13, 2002, a fire occurred at the Company’s Electro-Films, Inc. facility located in Warwick, Rhode Island causing a production stoppage. The Company received insurance proceeds based on its costs to replace the assets, which were in excess of the book value of the assets at the time of the fire. This insurance claim has been resolved, and the Company recognized a gain of $33,906,000 in 2003.</w:t>
      </w:r>
    </w:p>
    <w:p>
      <w:pPr>
        <w:spacing w:after="0" w:line="194"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As described in Note 6, on August 6, 2003, the Company issued 3-5/8% convertible subordinated notes due 2023. The proceeds of the offering were utilized to redeem a portion of the outstanding LYONs and all of the General Semiconductor notes, which resulted in a pretax loss of $9,910,000 in 2003.</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caption “Other” on the consolidated statements of operations consists of the following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5" w:type="dxa"/>
            <w:vAlign w:val="bottom"/>
          </w:tcPr>
          <w:p>
            <w:pPr>
              <w:spacing w:after="0"/>
              <w:rPr>
                <w:sz w:val="15"/>
                <w:szCs w:val="15"/>
                <w:color w:val="auto"/>
              </w:rPr>
            </w:pPr>
          </w:p>
        </w:tc>
        <w:tc>
          <w:tcPr>
            <w:tcW w:w="2515" w:type="dxa"/>
            <w:vAlign w:val="bottom"/>
            <w:gridSpan w:val="11"/>
          </w:tcPr>
          <w:p>
            <w:pPr>
              <w:jc w:val="right"/>
              <w:ind w:right="51"/>
              <w:spacing w:after="0"/>
              <w:rPr>
                <w:sz w:val="20"/>
                <w:szCs w:val="20"/>
                <w:color w:val="auto"/>
              </w:rPr>
            </w:pPr>
            <w:r>
              <w:rPr>
                <w:rFonts w:ascii="Arial" w:cs="Arial" w:eastAsia="Arial" w:hAnsi="Arial"/>
                <w:sz w:val="14"/>
                <w:szCs w:val="14"/>
                <w:b w:val="1"/>
                <w:bCs w:val="1"/>
                <w:color w:val="auto"/>
              </w:rPr>
              <w:t>Years ended December 31,</w:t>
            </w: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5" w:type="dxa"/>
            <w:vAlign w:val="bottom"/>
          </w:tcPr>
          <w:p>
            <w:pPr>
              <w:spacing w:after="0"/>
              <w:rPr>
                <w:sz w:val="22"/>
                <w:szCs w:val="22"/>
                <w:color w:val="auto"/>
              </w:rPr>
            </w:pPr>
          </w:p>
        </w:tc>
        <w:tc>
          <w:tcPr>
            <w:tcW w:w="935" w:type="dxa"/>
            <w:vAlign w:val="bottom"/>
          </w:tcPr>
          <w:p>
            <w:pPr>
              <w:jc w:val="right"/>
              <w:ind w:right="33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315"/>
              <w:spacing w:after="0"/>
              <w:rPr>
                <w:sz w:val="20"/>
                <w:szCs w:val="20"/>
                <w:color w:val="auto"/>
              </w:rPr>
            </w:pPr>
            <w:r>
              <w:rPr>
                <w:rFonts w:ascii="Arial" w:cs="Arial" w:eastAsia="Arial" w:hAnsi="Arial"/>
                <w:sz w:val="14"/>
                <w:szCs w:val="14"/>
                <w:b w:val="1"/>
                <w:bCs w:val="1"/>
                <w:color w:val="auto"/>
                <w:w w:val="96"/>
              </w:rPr>
              <w:t>2004</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jc w:val="right"/>
              <w:ind w:right="31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exchange gain (loss)</w:t>
            </w:r>
          </w:p>
        </w:tc>
        <w:tc>
          <w:tcPr>
            <w:tcW w:w="1145"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(2,310)</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Gain on interest rate swap</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1035"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rPr>
              <w:t>—</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3"/>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3,783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13,880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8,702</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Dividend income</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342</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490</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Loss on disposal of property and equipment</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035"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(202)</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(1,697)</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Incentive from Chinese government</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703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2,377</w:t>
            </w: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7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Favorable settlement of note receivable</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1035"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3,100</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20" w:type="dxa"/>
            <w:vAlign w:val="bottom"/>
            <w:gridSpan w:val="3"/>
          </w:tcPr>
          <w:p>
            <w:pPr>
              <w:spacing w:after="0"/>
              <w:rPr>
                <w:sz w:val="20"/>
                <w:szCs w:val="20"/>
                <w:color w:val="auto"/>
              </w:rPr>
            </w:pPr>
            <w:r>
              <w:rPr>
                <w:rFonts w:ascii="Arial" w:cs="Arial" w:eastAsia="Arial" w:hAnsi="Arial"/>
                <w:sz w:val="18"/>
                <w:szCs w:val="18"/>
                <w:color w:val="auto"/>
              </w:rPr>
              <w:t>Other</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5" w:type="dxa"/>
            <w:vAlign w:val="bottom"/>
          </w:tcPr>
          <w:p>
            <w:pPr>
              <w:spacing w:after="0"/>
              <w:rPr>
                <w:sz w:val="19"/>
                <w:szCs w:val="19"/>
                <w:color w:val="auto"/>
              </w:rPr>
            </w:pPr>
          </w:p>
        </w:tc>
        <w:tc>
          <w:tcPr>
            <w:tcW w:w="1035"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(53)</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38</w:t>
            </w: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(1,062)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145" w:type="dxa"/>
            <w:vAlign w:val="bottom"/>
            <w:gridSpan w:val="3"/>
            <w:shd w:val="clear" w:color="auto" w:fill="CCEEFF"/>
          </w:tcPr>
          <w:p>
            <w:pPr>
              <w:jc w:val="right"/>
              <w:ind w:right="45"/>
              <w:spacing w:after="0"/>
              <w:rPr>
                <w:sz w:val="20"/>
                <w:szCs w:val="20"/>
                <w:color w:val="auto"/>
              </w:rPr>
            </w:pPr>
            <w:r>
              <w:rPr>
                <w:rFonts w:ascii="Arial" w:cs="Arial" w:eastAsia="Arial" w:hAnsi="Arial"/>
                <w:sz w:val="18"/>
                <w:szCs w:val="18"/>
                <w:b w:val="1"/>
                <w:bCs w:val="1"/>
                <w:color w:val="auto"/>
              </w:rPr>
              <w:t>$</w:t>
            </w: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15,401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10,700</w:t>
            </w:r>
          </w:p>
        </w:tc>
        <w:tc>
          <w:tcPr>
            <w:tcW w:w="160" w:type="dxa"/>
            <w:vAlign w:val="bottom"/>
            <w:shd w:val="clear" w:color="auto" w:fill="CCEEFF"/>
          </w:tcPr>
          <w:p>
            <w:pPr>
              <w:spacing w:after="0"/>
              <w:rPr>
                <w:sz w:val="18"/>
                <w:szCs w:val="18"/>
                <w:color w:val="auto"/>
              </w:rPr>
            </w:pP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ind w:right="11"/>
              <w:spacing w:after="0"/>
              <w:rPr>
                <w:sz w:val="20"/>
                <w:szCs w:val="20"/>
                <w:color w:val="auto"/>
              </w:rPr>
            </w:pPr>
            <w:r>
              <w:rPr>
                <w:rFonts w:ascii="Arial" w:cs="Arial" w:eastAsia="Arial" w:hAnsi="Arial"/>
                <w:sz w:val="10"/>
                <w:szCs w:val="10"/>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740" w:type="dxa"/>
            <w:vAlign w:val="bottom"/>
            <w:gridSpan w:val="4"/>
            <w:vMerge w:val="restart"/>
          </w:tcPr>
          <w:p>
            <w:pPr>
              <w:spacing w:after="0"/>
              <w:rPr>
                <w:sz w:val="20"/>
                <w:szCs w:val="20"/>
                <w:color w:val="auto"/>
              </w:rPr>
            </w:pPr>
            <w:r>
              <w:rPr>
                <w:rFonts w:ascii="Arial" w:cs="Arial" w:eastAsia="Arial" w:hAnsi="Arial"/>
                <w:sz w:val="18"/>
                <w:szCs w:val="18"/>
                <w:color w:val="auto"/>
              </w:rPr>
              <w:t>See Note 14 for a description of the Company’s interest rate swap agreements.</w:t>
            </w:r>
          </w:p>
        </w:tc>
        <w:tc>
          <w:tcPr>
            <w:tcW w:w="8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6740" w:type="dxa"/>
            <w:vAlign w:val="bottom"/>
            <w:gridSpan w:val="4"/>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4"/>
        </w:trPr>
        <w:tc>
          <w:tcPr>
            <w:tcW w:w="6740" w:type="dxa"/>
            <w:vAlign w:val="bottom"/>
            <w:gridSpan w:val="4"/>
          </w:tcPr>
          <w:p>
            <w:pPr>
              <w:spacing w:after="0"/>
              <w:rPr>
                <w:sz w:val="20"/>
                <w:szCs w:val="20"/>
                <w:color w:val="auto"/>
              </w:rPr>
            </w:pPr>
            <w:r>
              <w:rPr>
                <w:rFonts w:ascii="Arial" w:cs="Arial" w:eastAsia="Arial" w:hAnsi="Arial"/>
                <w:sz w:val="18"/>
                <w:szCs w:val="18"/>
                <w:b w:val="1"/>
                <w:bCs w:val="1"/>
                <w:color w:val="auto"/>
              </w:rPr>
              <w:t>Note 9 – Other Accrued Expenses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520" w:type="dxa"/>
            <w:vAlign w:val="bottom"/>
            <w:gridSpan w:val="3"/>
            <w:shd w:val="clear" w:color="auto" w:fill="000000"/>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5" w:type="dxa"/>
            <w:vAlign w:val="bottom"/>
          </w:tcPr>
          <w:p>
            <w:pPr>
              <w:spacing w:after="0" w:line="20" w:lineRule="exact"/>
              <w:rPr>
                <w:sz w:val="1"/>
                <w:szCs w:val="1"/>
                <w:color w:val="auto"/>
              </w:rPr>
            </w:pPr>
          </w:p>
        </w:tc>
        <w:tc>
          <w:tcPr>
            <w:tcW w:w="935"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6740" w:type="dxa"/>
            <w:vAlign w:val="bottom"/>
            <w:gridSpan w:val="4"/>
          </w:tcPr>
          <w:p>
            <w:pPr>
              <w:spacing w:after="0"/>
              <w:rPr>
                <w:sz w:val="20"/>
                <w:szCs w:val="20"/>
                <w:color w:val="auto"/>
              </w:rPr>
            </w:pPr>
            <w:r>
              <w:rPr>
                <w:rFonts w:ascii="Arial" w:cs="Arial" w:eastAsia="Arial" w:hAnsi="Arial"/>
                <w:sz w:val="18"/>
                <w:szCs w:val="18"/>
                <w:color w:val="auto"/>
              </w:rPr>
              <w:t xml:space="preserve">Other accrued expenses consist of the following </w:t>
            </w:r>
            <w:r>
              <w:rPr>
                <w:rFonts w:ascii="Arial" w:cs="Arial" w:eastAsia="Arial" w:hAnsi="Arial"/>
                <w:sz w:val="18"/>
                <w:szCs w:val="18"/>
                <w:i w:val="1"/>
                <w:iCs w:val="1"/>
                <w:color w:val="auto"/>
              </w:rPr>
              <w:t>(in thousands):</w:t>
            </w: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1455" w:type="dxa"/>
            <w:vAlign w:val="bottom"/>
            <w:gridSpan w:val="7"/>
          </w:tcPr>
          <w:p>
            <w:pPr>
              <w:ind w:left="615"/>
              <w:spacing w:after="0"/>
              <w:rPr>
                <w:sz w:val="20"/>
                <w:szCs w:val="20"/>
                <w:color w:val="auto"/>
              </w:rPr>
            </w:pPr>
            <w:r>
              <w:rPr>
                <w:rFonts w:ascii="Arial" w:cs="Arial" w:eastAsia="Arial" w:hAnsi="Arial"/>
                <w:sz w:val="14"/>
                <w:szCs w:val="14"/>
                <w:b w:val="1"/>
                <w:bCs w:val="1"/>
                <w:color w:val="auto"/>
                <w:w w:val="90"/>
              </w:rPr>
              <w:t>December 31,</w:t>
            </w: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42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25" w:type="dxa"/>
            <w:vAlign w:val="bottom"/>
          </w:tcPr>
          <w:p>
            <w:pPr>
              <w:spacing w:after="0"/>
              <w:rPr>
                <w:sz w:val="22"/>
                <w:szCs w:val="22"/>
                <w:color w:val="auto"/>
              </w:rPr>
            </w:pPr>
          </w:p>
        </w:tc>
        <w:tc>
          <w:tcPr>
            <w:tcW w:w="935" w:type="dxa"/>
            <w:vAlign w:val="bottom"/>
          </w:tcPr>
          <w:p>
            <w:pPr>
              <w:jc w:val="right"/>
              <w:ind w:right="396"/>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720" w:type="dxa"/>
            <w:vAlign w:val="bottom"/>
          </w:tcPr>
          <w:p>
            <w:pPr>
              <w:jc w:val="right"/>
              <w:ind w:right="255"/>
              <w:spacing w:after="0"/>
              <w:rPr>
                <w:sz w:val="20"/>
                <w:szCs w:val="20"/>
                <w:color w:val="auto"/>
              </w:rPr>
            </w:pPr>
            <w:r>
              <w:rPr>
                <w:rFonts w:ascii="Arial" w:cs="Arial" w:eastAsia="Arial" w:hAnsi="Arial"/>
                <w:sz w:val="14"/>
                <w:szCs w:val="14"/>
                <w:b w:val="1"/>
                <w:bCs w:val="1"/>
                <w:color w:val="auto"/>
              </w:rPr>
              <w:t>2004</w:t>
            </w: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5" w:type="dxa"/>
            <w:vAlign w:val="bottom"/>
            <w:tcBorders>
              <w:bottom w:val="single" w:sz="8" w:color="auto"/>
            </w:tcBorders>
          </w:tcPr>
          <w:p>
            <w:pPr>
              <w:spacing w:after="0"/>
              <w:rPr>
                <w:sz w:val="8"/>
                <w:szCs w:val="8"/>
                <w:color w:val="auto"/>
              </w:rPr>
            </w:pPr>
          </w:p>
        </w:tc>
        <w:tc>
          <w:tcPr>
            <w:tcW w:w="935"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16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880" w:type="dxa"/>
            <w:vAlign w:val="bottom"/>
            <w:tcBorders>
              <w:bottom w:val="single" w:sz="8" w:color="auto"/>
            </w:tcBorders>
            <w:gridSpan w:val="2"/>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vMerge w:val="restart"/>
          </w:tcPr>
          <w:p>
            <w:pPr>
              <w:spacing w:after="0"/>
              <w:rPr>
                <w:sz w:val="8"/>
                <w:szCs w:val="8"/>
                <w:color w:val="auto"/>
              </w:rPr>
            </w:pPr>
          </w:p>
        </w:tc>
        <w:tc>
          <w:tcPr>
            <w:tcW w:w="1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vMerge w:val="continue"/>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13,545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30,518</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Sales returns and allowances</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40,161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43,254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loss on tantalum purchase commitment - current portion</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19,741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33,810</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80" w:type="dxa"/>
            <w:vAlign w:val="bottom"/>
            <w:gridSpan w:val="2"/>
          </w:tcPr>
          <w:p>
            <w:pPr>
              <w:spacing w:after="0"/>
              <w:rPr>
                <w:sz w:val="20"/>
                <w:szCs w:val="20"/>
                <w:color w:val="auto"/>
              </w:rPr>
            </w:pPr>
            <w:r>
              <w:rPr>
                <w:rFonts w:ascii="Arial" w:cs="Arial" w:eastAsia="Arial" w:hAnsi="Arial"/>
                <w:sz w:val="18"/>
                <w:szCs w:val="18"/>
                <w:color w:val="auto"/>
              </w:rPr>
              <w:t>Goods received, not yet invoiced</w:t>
            </w: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5" w:type="dxa"/>
            <w:vAlign w:val="bottom"/>
          </w:tcPr>
          <w:p>
            <w:pPr>
              <w:spacing w:after="0"/>
              <w:rPr>
                <w:sz w:val="18"/>
                <w:szCs w:val="18"/>
                <w:color w:val="auto"/>
              </w:rPr>
            </w:pPr>
          </w:p>
        </w:tc>
        <w:tc>
          <w:tcPr>
            <w:tcW w:w="935" w:type="dxa"/>
            <w:vAlign w:val="bottom"/>
          </w:tcPr>
          <w:p>
            <w:pPr>
              <w:jc w:val="right"/>
              <w:spacing w:after="0"/>
              <w:rPr>
                <w:sz w:val="20"/>
                <w:szCs w:val="20"/>
                <w:color w:val="auto"/>
              </w:rPr>
            </w:pPr>
            <w:r>
              <w:rPr>
                <w:rFonts w:ascii="Arial" w:cs="Arial" w:eastAsia="Arial" w:hAnsi="Arial"/>
                <w:sz w:val="18"/>
                <w:szCs w:val="18"/>
                <w:b w:val="1"/>
                <w:bCs w:val="1"/>
                <w:color w:val="auto"/>
              </w:rPr>
              <w:t>29,065</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gridSpan w:val="2"/>
          </w:tcPr>
          <w:p>
            <w:pPr>
              <w:jc w:val="right"/>
              <w:ind w:right="40"/>
              <w:spacing w:after="0"/>
              <w:rPr>
                <w:sz w:val="20"/>
                <w:szCs w:val="20"/>
                <w:color w:val="auto"/>
              </w:rPr>
            </w:pPr>
            <w:r>
              <w:rPr>
                <w:rFonts w:ascii="Arial" w:cs="Arial" w:eastAsia="Arial" w:hAnsi="Arial"/>
                <w:sz w:val="18"/>
                <w:szCs w:val="18"/>
                <w:color w:val="auto"/>
              </w:rPr>
              <w:t>33,094</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55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71,470</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77,581</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360" w:type="dxa"/>
            <w:vAlign w:val="bottom"/>
          </w:tcPr>
          <w:p>
            <w:pPr>
              <w:spacing w:after="0"/>
              <w:rPr>
                <w:sz w:val="9"/>
                <w:szCs w:val="9"/>
                <w:color w:val="auto"/>
              </w:rPr>
            </w:pPr>
          </w:p>
        </w:tc>
        <w:tc>
          <w:tcPr>
            <w:tcW w:w="42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5" w:type="dxa"/>
            <w:vAlign w:val="bottom"/>
            <w:tcBorders>
              <w:bottom w:val="single" w:sz="8" w:color="auto"/>
            </w:tcBorders>
          </w:tcPr>
          <w:p>
            <w:pPr>
              <w:spacing w:after="0"/>
              <w:rPr>
                <w:sz w:val="9"/>
                <w:szCs w:val="9"/>
                <w:color w:val="auto"/>
              </w:rPr>
            </w:pPr>
          </w:p>
        </w:tc>
        <w:tc>
          <w:tcPr>
            <w:tcW w:w="935"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gridSpan w:val="2"/>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880" w:type="dxa"/>
            <w:vAlign w:val="bottom"/>
            <w:tcBorders>
              <w:bottom w:val="single" w:sz="8" w:color="auto"/>
            </w:tcBorders>
            <w:gridSpan w:val="2"/>
          </w:tcPr>
          <w:p>
            <w:pPr>
              <w:spacing w:after="0"/>
              <w:rPr>
                <w:sz w:val="9"/>
                <w:szCs w:val="9"/>
                <w:color w:val="auto"/>
              </w:rPr>
            </w:pPr>
          </w:p>
        </w:tc>
        <w:tc>
          <w:tcPr>
            <w:tcW w:w="60" w:type="dxa"/>
            <w:vAlign w:val="bottom"/>
          </w:tcPr>
          <w:p>
            <w:pPr>
              <w:spacing w:after="0"/>
              <w:rPr>
                <w:sz w:val="9"/>
                <w:szCs w:val="9"/>
                <w:color w:val="auto"/>
              </w:rPr>
            </w:pPr>
          </w:p>
        </w:tc>
        <w:tc>
          <w:tcPr>
            <w:tcW w:w="120" w:type="dxa"/>
            <w:vAlign w:val="bottom"/>
          </w:tcPr>
          <w:p>
            <w:pPr>
              <w:spacing w:after="0"/>
              <w:rPr>
                <w:sz w:val="9"/>
                <w:szCs w:val="9"/>
                <w:color w:val="auto"/>
              </w:rPr>
            </w:pPr>
          </w:p>
        </w:tc>
        <w:tc>
          <w:tcPr>
            <w:tcW w:w="9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360" w:type="dxa"/>
            <w:vAlign w:val="bottom"/>
          </w:tcPr>
          <w:p>
            <w:pPr>
              <w:spacing w:after="0"/>
              <w:rPr>
                <w:sz w:val="8"/>
                <w:szCs w:val="8"/>
                <w:color w:val="auto"/>
              </w:rPr>
            </w:pPr>
          </w:p>
        </w:tc>
        <w:tc>
          <w:tcPr>
            <w:tcW w:w="42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5" w:type="dxa"/>
            <w:vAlign w:val="bottom"/>
          </w:tcPr>
          <w:p>
            <w:pPr>
              <w:spacing w:after="0"/>
              <w:rPr>
                <w:sz w:val="8"/>
                <w:szCs w:val="8"/>
                <w:color w:val="auto"/>
              </w:rPr>
            </w:pPr>
          </w:p>
        </w:tc>
        <w:tc>
          <w:tcPr>
            <w:tcW w:w="935"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 w:type="dxa"/>
            <w:vAlign w:val="bottom"/>
          </w:tcPr>
          <w:p>
            <w:pPr>
              <w:spacing w:after="0"/>
              <w:rPr>
                <w:sz w:val="8"/>
                <w:szCs w:val="8"/>
                <w:color w:val="auto"/>
              </w:rPr>
            </w:pPr>
          </w:p>
        </w:tc>
        <w:tc>
          <w:tcPr>
            <w:tcW w:w="120" w:type="dxa"/>
            <w:vAlign w:val="bottom"/>
          </w:tcPr>
          <w:p>
            <w:pPr>
              <w:spacing w:after="0"/>
              <w:rPr>
                <w:sz w:val="8"/>
                <w:szCs w:val="8"/>
                <w:color w:val="auto"/>
              </w:rPr>
            </w:pPr>
          </w:p>
        </w:tc>
        <w:tc>
          <w:tcPr>
            <w:tcW w:w="9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42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5" w:type="dxa"/>
            <w:vAlign w:val="bottom"/>
            <w:shd w:val="clear" w:color="auto" w:fill="CCEEFF"/>
          </w:tcPr>
          <w:p>
            <w:pPr>
              <w:spacing w:after="0"/>
              <w:rPr>
                <w:sz w:val="18"/>
                <w:szCs w:val="18"/>
                <w:color w:val="auto"/>
              </w:rPr>
            </w:pPr>
          </w:p>
        </w:tc>
        <w:tc>
          <w:tcPr>
            <w:tcW w:w="935"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173,982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218,257</w:t>
            </w:r>
          </w:p>
        </w:tc>
        <w:tc>
          <w:tcPr>
            <w:tcW w:w="60" w:type="dxa"/>
            <w:vAlign w:val="bottom"/>
            <w:tcBorders>
              <w:right w:val="single" w:sz="8" w:color="CCEEFF"/>
            </w:tcBorders>
            <w:shd w:val="clear" w:color="auto" w:fill="CCEEFF"/>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4220" w:type="dxa"/>
            <w:vAlign w:val="bottom"/>
            <w:vMerge w:val="restart"/>
          </w:tcPr>
          <w:p>
            <w:pPr>
              <w:ind w:left="3020"/>
              <w:spacing w:after="0"/>
              <w:rPr>
                <w:sz w:val="20"/>
                <w:szCs w:val="20"/>
                <w:color w:val="auto"/>
              </w:rPr>
            </w:pPr>
            <w:r>
              <w:rPr>
                <w:rFonts w:ascii="Arial" w:cs="Arial" w:eastAsia="Arial" w:hAnsi="Arial"/>
                <w:sz w:val="18"/>
                <w:szCs w:val="18"/>
                <w:color w:val="auto"/>
              </w:rPr>
              <w:t>F-35</w:t>
            </w:r>
          </w:p>
        </w:tc>
        <w:tc>
          <w:tcPr>
            <w:tcW w:w="8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5" w:type="dxa"/>
            <w:vAlign w:val="bottom"/>
            <w:tcBorders>
              <w:bottom w:val="single" w:sz="8" w:color="auto"/>
            </w:tcBorders>
          </w:tcPr>
          <w:p>
            <w:pPr>
              <w:spacing w:after="0"/>
              <w:rPr>
                <w:sz w:val="11"/>
                <w:szCs w:val="11"/>
                <w:color w:val="auto"/>
              </w:rPr>
            </w:pPr>
          </w:p>
        </w:tc>
        <w:tc>
          <w:tcPr>
            <w:tcW w:w="935"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22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5" w:type="dxa"/>
            <w:vAlign w:val="bottom"/>
          </w:tcPr>
          <w:p>
            <w:pPr>
              <w:spacing w:after="0"/>
              <w:rPr>
                <w:sz w:val="24"/>
                <w:szCs w:val="24"/>
                <w:color w:val="auto"/>
              </w:rPr>
            </w:pPr>
          </w:p>
        </w:tc>
        <w:tc>
          <w:tcPr>
            <w:tcW w:w="935"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4925695</wp:posOffset>
            </wp:positionH>
            <wp:positionV relativeFrom="paragraph">
              <wp:posOffset>-2941955</wp:posOffset>
            </wp:positionV>
            <wp:extent cx="12700" cy="298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-2941955</wp:posOffset>
            </wp:positionV>
            <wp:extent cx="2199640" cy="298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219964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-368935</wp:posOffset>
            </wp:positionV>
            <wp:extent cx="12700" cy="298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-368935</wp:posOffset>
            </wp:positionV>
            <wp:extent cx="12700" cy="298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4899660</wp:posOffset>
            </wp:positionH>
            <wp:positionV relativeFrom="paragraph">
              <wp:posOffset>-368935</wp:posOffset>
            </wp:positionV>
            <wp:extent cx="12700" cy="298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-368935</wp:posOffset>
            </wp:positionV>
            <wp:extent cx="12700" cy="298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6477635</wp:posOffset>
            </wp:positionH>
            <wp:positionV relativeFrom="paragraph">
              <wp:posOffset>-368935</wp:posOffset>
            </wp:positionV>
            <wp:extent cx="12700" cy="298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5765800</wp:posOffset>
            </wp:positionH>
            <wp:positionV relativeFrom="paragraph">
              <wp:posOffset>-368935</wp:posOffset>
            </wp:positionV>
            <wp:extent cx="12700" cy="298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5" w:name="page96"/>
    <w:bookmarkEnd w:id="95"/>
    <w:p>
      <w:pPr>
        <w:spacing w:after="0"/>
        <w:rPr>
          <w:sz w:val="20"/>
          <w:szCs w:val="20"/>
          <w:color w:val="auto"/>
        </w:rPr>
      </w:pPr>
      <w:r>
        <w:rPr>
          <w:rFonts w:ascii="Arial" w:cs="Arial" w:eastAsia="Arial" w:hAnsi="Arial"/>
          <w:sz w:val="18"/>
          <w:szCs w:val="18"/>
          <w:b w:val="1"/>
          <w:bCs w:val="1"/>
          <w:u w:val="single" w:color="auto"/>
          <w:color w:val="auto"/>
        </w:rPr>
        <w:t>Note 10 – Other Comprehensive Income (Loss)</w:t>
      </w:r>
    </w:p>
    <w:p>
      <w:pPr>
        <w:spacing w:after="0" w:line="231" w:lineRule="exact"/>
        <w:rPr>
          <w:sz w:val="20"/>
          <w:szCs w:val="20"/>
          <w:color w:val="auto"/>
        </w:rPr>
      </w:pPr>
    </w:p>
    <w:p>
      <w:pPr>
        <w:ind w:right="480"/>
        <w:spacing w:after="0" w:line="268" w:lineRule="auto"/>
        <w:rPr>
          <w:sz w:val="20"/>
          <w:szCs w:val="20"/>
          <w:color w:val="auto"/>
        </w:rPr>
      </w:pPr>
      <w:r>
        <w:rPr>
          <w:rFonts w:ascii="Arial" w:cs="Arial" w:eastAsia="Arial" w:hAnsi="Arial"/>
          <w:sz w:val="18"/>
          <w:szCs w:val="18"/>
          <w:color w:val="auto"/>
        </w:rPr>
        <w:t xml:space="preserve">The cumulative balance of each component of other comprehensive income (loss) and the income tax effects allocated to each component are as follows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Beginning</w:t>
            </w:r>
          </w:p>
        </w:tc>
        <w:tc>
          <w:tcPr>
            <w:tcW w:w="180" w:type="dxa"/>
            <w:vAlign w:val="bottom"/>
          </w:tcPr>
          <w:p>
            <w:pPr>
              <w:spacing w:after="0"/>
              <w:rPr>
                <w:sz w:val="14"/>
                <w:szCs w:val="14"/>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5"/>
              </w:rPr>
              <w:t>Before-Tax</w:t>
            </w:r>
          </w:p>
        </w:tc>
        <w:tc>
          <w:tcPr>
            <w:tcW w:w="260" w:type="dxa"/>
            <w:vAlign w:val="bottom"/>
          </w:tcPr>
          <w:p>
            <w:pPr>
              <w:spacing w:after="0"/>
              <w:rPr>
                <w:sz w:val="14"/>
                <w:szCs w:val="14"/>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Tax</w:t>
            </w:r>
          </w:p>
        </w:tc>
        <w:tc>
          <w:tcPr>
            <w:tcW w:w="140" w:type="dxa"/>
            <w:vAlign w:val="bottom"/>
          </w:tcPr>
          <w:p>
            <w:pPr>
              <w:spacing w:after="0"/>
              <w:rPr>
                <w:sz w:val="14"/>
                <w:szCs w:val="14"/>
                <w:color w:val="auto"/>
              </w:rPr>
            </w:pPr>
          </w:p>
        </w:tc>
        <w:tc>
          <w:tcPr>
            <w:tcW w:w="12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Net-of-Tax</w:t>
            </w:r>
          </w:p>
        </w:tc>
        <w:tc>
          <w:tcPr>
            <w:tcW w:w="140" w:type="dxa"/>
            <w:vAlign w:val="bottom"/>
          </w:tcPr>
          <w:p>
            <w:pPr>
              <w:spacing w:after="0"/>
              <w:rPr>
                <w:sz w:val="14"/>
                <w:szCs w:val="14"/>
                <w:color w:val="auto"/>
              </w:rPr>
            </w:pPr>
          </w:p>
        </w:tc>
        <w:tc>
          <w:tcPr>
            <w:tcW w:w="116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Ending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Balance</w:t>
            </w:r>
          </w:p>
        </w:tc>
        <w:tc>
          <w:tcPr>
            <w:tcW w:w="180" w:type="dxa"/>
            <w:vAlign w:val="bottom"/>
          </w:tcPr>
          <w:p>
            <w:pPr>
              <w:spacing w:after="0"/>
              <w:rPr>
                <w:sz w:val="15"/>
                <w:szCs w:val="15"/>
                <w:color w:val="auto"/>
              </w:rPr>
            </w:pPr>
          </w:p>
        </w:tc>
        <w:tc>
          <w:tcPr>
            <w:tcW w:w="118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Amount</w:t>
            </w:r>
          </w:p>
        </w:tc>
        <w:tc>
          <w:tcPr>
            <w:tcW w:w="26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Effect</w:t>
            </w:r>
          </w:p>
        </w:tc>
        <w:tc>
          <w:tcPr>
            <w:tcW w:w="140" w:type="dxa"/>
            <w:vAlign w:val="bottom"/>
          </w:tcPr>
          <w:p>
            <w:pPr>
              <w:spacing w:after="0"/>
              <w:rPr>
                <w:sz w:val="15"/>
                <w:szCs w:val="15"/>
                <w:color w:val="auto"/>
              </w:rPr>
            </w:pPr>
          </w:p>
        </w:tc>
        <w:tc>
          <w:tcPr>
            <w:tcW w:w="12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Balance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2003</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(36,924)</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416</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4,600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5,016</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(31,908)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(51,729)</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Unrealized gain on available-for-sale securities</w:t>
            </w:r>
          </w:p>
        </w:tc>
        <w:tc>
          <w:tcPr>
            <w:tcW w:w="1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2,495</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(873)</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1,622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Derivative financial instruments: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ind w:left="420"/>
              <w:spacing w:after="0"/>
              <w:rPr>
                <w:sz w:val="20"/>
                <w:szCs w:val="20"/>
                <w:color w:val="auto"/>
              </w:rPr>
            </w:pPr>
            <w:r>
              <w:rPr>
                <w:rFonts w:ascii="Arial" w:cs="Arial" w:eastAsia="Arial" w:hAnsi="Arial"/>
                <w:sz w:val="18"/>
                <w:szCs w:val="18"/>
                <w:color w:val="auto"/>
              </w:rPr>
              <w:t>Loss</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(2,462)</w:t>
            </w:r>
          </w:p>
        </w:tc>
        <w:tc>
          <w:tcPr>
            <w:tcW w:w="18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(1,321)</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(1,321)</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 amounts realized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(91,115)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116,742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3,727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120,469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2004</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(31,908)</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33,139</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(12,989)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20,150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(11,758)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59,640</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85,549</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85,549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145,189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Unrealized gain on available-for-sale securities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1,622</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574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Reclassification adjustment for amounts realized</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(2,606)</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6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29,354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116,656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(12,278)</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133,732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6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December 31, 2005</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(11,758)</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(84,006)</w:t>
            </w:r>
          </w:p>
        </w:tc>
        <w:tc>
          <w:tcPr>
            <w:tcW w:w="260" w:type="dxa"/>
            <w:vAlign w:val="bottom"/>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8,687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(75,319)</w:t>
            </w:r>
          </w:p>
        </w:tc>
        <w:tc>
          <w:tcPr>
            <w:tcW w:w="14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(87,077)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Currency translation adjustment</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145,189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(104,262)</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(104,262)</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40,927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620" w:type="dxa"/>
            <w:vAlign w:val="bottom"/>
          </w:tcPr>
          <w:p>
            <w:pPr>
              <w:spacing w:after="0"/>
              <w:rPr>
                <w:sz w:val="20"/>
                <w:szCs w:val="20"/>
                <w:color w:val="auto"/>
              </w:rPr>
            </w:pPr>
            <w:r>
              <w:rPr>
                <w:rFonts w:ascii="Arial" w:cs="Arial" w:eastAsia="Arial" w:hAnsi="Arial"/>
                <w:sz w:val="18"/>
                <w:szCs w:val="18"/>
                <w:color w:val="auto"/>
              </w:rPr>
              <w:t>Unrealized gain on available-for-sale securities</w:t>
            </w: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301</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384</w:t>
            </w: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(134)</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250</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551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133,732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(187,884)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b w:val="1"/>
                <w:bCs w:val="1"/>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8,553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(179,331)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(45,599)</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6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-2155825</wp:posOffset>
            </wp:positionV>
            <wp:extent cx="4249420" cy="298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24942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-1024255</wp:posOffset>
            </wp:positionV>
            <wp:extent cx="12700" cy="298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-1024255</wp:posOffset>
            </wp:positionV>
            <wp:extent cx="12700" cy="298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-1024255</wp:posOffset>
            </wp:positionV>
            <wp:extent cx="12700" cy="298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-1024255</wp:posOffset>
            </wp:positionV>
            <wp:extent cx="12700" cy="298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-1024255</wp:posOffset>
            </wp:positionV>
            <wp:extent cx="12700" cy="298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-1024255</wp:posOffset>
            </wp:positionV>
            <wp:extent cx="12700" cy="298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-1024255</wp:posOffset>
            </wp:positionV>
            <wp:extent cx="12700" cy="298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-1024255</wp:posOffset>
            </wp:positionV>
            <wp:extent cx="12700"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-1024255</wp:posOffset>
            </wp:positionV>
            <wp:extent cx="12700" cy="298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-1024255</wp:posOffset>
            </wp:positionV>
            <wp:extent cx="12700" cy="298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-1024255</wp:posOffset>
            </wp:positionV>
            <wp:extent cx="12700" cy="298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-1024255</wp:posOffset>
            </wp:positionV>
            <wp:extent cx="12700"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-1024255</wp:posOffset>
            </wp:positionV>
            <wp:extent cx="12700" cy="298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-1024255</wp:posOffset>
            </wp:positionV>
            <wp:extent cx="12700" cy="298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-1024255</wp:posOffset>
            </wp:positionV>
            <wp:extent cx="12700" cy="298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2944495</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-29210</wp:posOffset>
            </wp:positionV>
            <wp:extent cx="1270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3810635</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-29210</wp:posOffset>
            </wp:positionV>
            <wp:extent cx="1270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-29210</wp:posOffset>
            </wp:positionV>
            <wp:extent cx="12700" cy="298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1270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-29210</wp:posOffset>
            </wp:positionV>
            <wp:extent cx="12700"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57353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73530" cy="29845"/>
                    </a:xfrm>
                    <a:prstGeom prst="rect">
                      <a:avLst/>
                    </a:prstGeom>
                    <a:noFill/>
                  </pic:spPr>
                </pic:pic>
              </a:graphicData>
            </a:graphic>
          </wp:anchor>
        </w:drawing>
      </w:r>
    </w:p>
    <w:p>
      <w:pPr>
        <w:spacing w:after="0" w:line="293"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Other comprehensive income (loss) includes Vishay’s proportionate share of other comprehensive income (loss) of nonconsolidated subsidiaries accounted for under the equity method.</w:t>
      </w:r>
    </w:p>
    <w:p>
      <w:pPr>
        <w:spacing w:after="0" w:line="186"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During the year ended December 31, 2005, the Company recorded a valuation allowance of $22,829,000 against the deferred tax effect of the minimum pension liability adjustment associated with its U.S. pension plans.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20"/>
          </w:cols>
          <w:pgMar w:left="240" w:top="584" w:right="239" w:bottom="1440" w:gutter="0" w:footer="0" w:header="0"/>
        </w:sectPr>
      </w:pPr>
    </w:p>
    <w:bookmarkStart w:id="96" w:name="page97"/>
    <w:bookmarkEnd w:id="96"/>
    <w:p>
      <w:pPr>
        <w:spacing w:after="0"/>
        <w:rPr>
          <w:sz w:val="20"/>
          <w:szCs w:val="20"/>
          <w:color w:val="auto"/>
        </w:rPr>
      </w:pPr>
      <w:r>
        <w:rPr>
          <w:rFonts w:ascii="Arial" w:cs="Arial" w:eastAsia="Arial" w:hAnsi="Arial"/>
          <w:sz w:val="18"/>
          <w:szCs w:val="18"/>
          <w:b w:val="1"/>
          <w:bCs w:val="1"/>
          <w:u w:val="single" w:color="auto"/>
          <w:color w:val="auto"/>
        </w:rPr>
        <w:t>Note 11 – Pensions and Other Postretirement Benefits</w:t>
      </w:r>
    </w:p>
    <w:p>
      <w:pPr>
        <w:spacing w:after="0" w:line="231"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color w:val="auto"/>
        </w:rPr>
        <w:t xml:space="preserve">The Company maintains various retirement benefit plans. The following table summarizes amounts recorded on the consolidated balance sheets associated with these plans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8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1610" w:type="dxa"/>
            <w:vAlign w:val="bottom"/>
            <w:gridSpan w:val="4"/>
          </w:tcPr>
          <w:p>
            <w:pPr>
              <w:jc w:val="right"/>
              <w:ind w:right="3"/>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8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10" w:type="dxa"/>
            <w:vAlign w:val="bottom"/>
          </w:tcPr>
          <w:p>
            <w:pPr>
              <w:spacing w:after="0"/>
              <w:rPr>
                <w:sz w:val="22"/>
                <w:szCs w:val="22"/>
                <w:color w:val="auto"/>
              </w:rPr>
            </w:pPr>
          </w:p>
        </w:tc>
        <w:tc>
          <w:tcPr>
            <w:tcW w:w="1050" w:type="dxa"/>
            <w:vAlign w:val="bottom"/>
          </w:tcPr>
          <w:p>
            <w:pPr>
              <w:jc w:val="right"/>
              <w:ind w:right="374"/>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20" w:type="dxa"/>
            <w:vAlign w:val="bottom"/>
          </w:tcPr>
          <w:p>
            <w:pPr>
              <w:jc w:val="right"/>
              <w:ind w:right="373"/>
              <w:spacing w:after="0"/>
              <w:rPr>
                <w:sz w:val="20"/>
                <w:szCs w:val="20"/>
                <w:color w:val="auto"/>
              </w:rPr>
            </w:pPr>
            <w:r>
              <w:rPr>
                <w:rFonts w:ascii="Arial" w:cs="Arial" w:eastAsia="Arial" w:hAnsi="Arial"/>
                <w:sz w:val="14"/>
                <w:szCs w:val="14"/>
                <w:b w:val="1"/>
                <w:bCs w:val="1"/>
                <w:color w:val="auto"/>
              </w:rPr>
              <w:t>2004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Prepaid pension costs (included in “Other Assets”):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U.S. pension plans</w:t>
            </w:r>
          </w:p>
        </w:tc>
        <w:tc>
          <w:tcPr>
            <w:tcW w:w="11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50" w:type="dxa"/>
            <w:vAlign w:val="bottom"/>
          </w:tcPr>
          <w:p>
            <w:pPr>
              <w:jc w:val="right"/>
              <w:spacing w:after="0"/>
              <w:rPr>
                <w:sz w:val="20"/>
                <w:szCs w:val="20"/>
                <w:color w:val="auto"/>
              </w:rPr>
            </w:pPr>
            <w:r>
              <w:rPr>
                <w:rFonts w:ascii="Arial" w:cs="Arial" w:eastAsia="Arial" w:hAnsi="Arial"/>
                <w:sz w:val="18"/>
                <w:szCs w:val="18"/>
                <w:b w:val="1"/>
                <w:bCs w:val="1"/>
                <w:color w:val="auto"/>
              </w:rPr>
              <w:t>2,712</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47,249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pension plans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prepaid pension costs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2,889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47,249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Intangible pension assets (included in “Other Assets”):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U.S. pension plans</w:t>
            </w:r>
          </w:p>
        </w:tc>
        <w:tc>
          <w:tcPr>
            <w:tcW w:w="11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50" w:type="dxa"/>
            <w:vAlign w:val="bottom"/>
          </w:tcPr>
          <w:p>
            <w:pPr>
              <w:jc w:val="right"/>
              <w:spacing w:after="0"/>
              <w:rPr>
                <w:sz w:val="20"/>
                <w:szCs w:val="20"/>
                <w:color w:val="auto"/>
              </w:rPr>
            </w:pPr>
            <w:r>
              <w:rPr>
                <w:rFonts w:ascii="Arial" w:cs="Arial" w:eastAsia="Arial" w:hAnsi="Arial"/>
                <w:sz w:val="18"/>
                <w:szCs w:val="18"/>
                <w:b w:val="1"/>
                <w:bCs w:val="1"/>
                <w:color w:val="auto"/>
              </w:rPr>
              <w:t>1,963</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Foreign pension plans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intangible pension assets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2,049</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Accrued pension and other postretirement costs: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U.S. pension plans</w:t>
            </w:r>
          </w:p>
        </w:tc>
        <w:tc>
          <w:tcPr>
            <w:tcW w:w="11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25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(40,329)</w:t>
            </w: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(17,136)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pension plans</w:t>
            </w:r>
          </w:p>
        </w:tc>
        <w:tc>
          <w:tcPr>
            <w:tcW w:w="110" w:type="dxa"/>
            <w:vAlign w:val="bottom"/>
            <w:shd w:val="clear" w:color="auto" w:fill="CCEEFF"/>
          </w:tcPr>
          <w:p>
            <w:pPr>
              <w:spacing w:after="0"/>
              <w:rPr>
                <w:sz w:val="18"/>
                <w:szCs w:val="18"/>
                <w:color w:val="auto"/>
              </w:rPr>
            </w:pPr>
          </w:p>
        </w:tc>
        <w:tc>
          <w:tcPr>
            <w:tcW w:w="125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(176,069)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U.S. other postretirement plans</w:t>
            </w:r>
          </w:p>
        </w:tc>
        <w:tc>
          <w:tcPr>
            <w:tcW w:w="110" w:type="dxa"/>
            <w:vAlign w:val="bottom"/>
          </w:tcPr>
          <w:p>
            <w:pPr>
              <w:spacing w:after="0"/>
              <w:rPr>
                <w:sz w:val="18"/>
                <w:szCs w:val="18"/>
                <w:color w:val="auto"/>
              </w:rPr>
            </w:pPr>
          </w:p>
        </w:tc>
        <w:tc>
          <w:tcPr>
            <w:tcW w:w="125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(19,910)</w:t>
            </w:r>
          </w:p>
        </w:tc>
        <w:tc>
          <w:tcPr>
            <w:tcW w:w="3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(19,704)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other postretirement plans</w:t>
            </w:r>
          </w:p>
        </w:tc>
        <w:tc>
          <w:tcPr>
            <w:tcW w:w="110" w:type="dxa"/>
            <w:vAlign w:val="bottom"/>
            <w:shd w:val="clear" w:color="auto" w:fill="CCEEFF"/>
          </w:tcPr>
          <w:p>
            <w:pPr>
              <w:spacing w:after="0"/>
              <w:rPr>
                <w:sz w:val="18"/>
                <w:szCs w:val="18"/>
                <w:color w:val="auto"/>
              </w:rPr>
            </w:pPr>
          </w:p>
        </w:tc>
        <w:tc>
          <w:tcPr>
            <w:tcW w:w="125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(8,009)</w:t>
            </w:r>
          </w:p>
        </w:tc>
        <w:tc>
          <w:tcPr>
            <w:tcW w:w="3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Other retirement obligations</w:t>
            </w:r>
          </w:p>
        </w:tc>
        <w:tc>
          <w:tcPr>
            <w:tcW w:w="110" w:type="dxa"/>
            <w:vAlign w:val="bottom"/>
          </w:tcPr>
          <w:p>
            <w:pPr>
              <w:spacing w:after="0"/>
              <w:rPr>
                <w:sz w:val="19"/>
                <w:szCs w:val="19"/>
                <w:color w:val="auto"/>
              </w:rPr>
            </w:pPr>
          </w:p>
        </w:tc>
        <w:tc>
          <w:tcPr>
            <w:tcW w:w="125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(12,669)</w:t>
            </w:r>
          </w:p>
        </w:tc>
        <w:tc>
          <w:tcPr>
            <w:tcW w:w="360" w:type="dxa"/>
            <w:vAlign w:val="bottom"/>
          </w:tcPr>
          <w:p>
            <w:pPr>
              <w:spacing w:after="0"/>
              <w:rPr>
                <w:sz w:val="19"/>
                <w:szCs w:val="19"/>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(11,134)</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105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accrued pension and other postretirement costs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5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(256,986)</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(232,142)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8740" w:type="dxa"/>
            <w:vAlign w:val="bottom"/>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Accumulated other comprehensive loss: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tcPr>
          <w:p>
            <w:pPr>
              <w:spacing w:after="0"/>
              <w:rPr>
                <w:sz w:val="20"/>
                <w:szCs w:val="20"/>
                <w:color w:val="auto"/>
              </w:rPr>
            </w:pPr>
            <w:r>
              <w:rPr>
                <w:rFonts w:ascii="Arial" w:cs="Arial" w:eastAsia="Arial" w:hAnsi="Arial"/>
                <w:sz w:val="18"/>
                <w:szCs w:val="18"/>
                <w:color w:val="auto"/>
              </w:rPr>
              <w:t>U.S. pension plans</w:t>
            </w:r>
          </w:p>
        </w:tc>
        <w:tc>
          <w:tcPr>
            <w:tcW w:w="11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50" w:type="dxa"/>
            <w:vAlign w:val="bottom"/>
          </w:tcPr>
          <w:p>
            <w:pPr>
              <w:jc w:val="right"/>
              <w:spacing w:after="0"/>
              <w:rPr>
                <w:sz w:val="20"/>
                <w:szCs w:val="20"/>
                <w:color w:val="auto"/>
              </w:rPr>
            </w:pPr>
            <w:r>
              <w:rPr>
                <w:rFonts w:ascii="Arial" w:cs="Arial" w:eastAsia="Arial" w:hAnsi="Arial"/>
                <w:sz w:val="18"/>
                <w:szCs w:val="18"/>
                <w:b w:val="1"/>
                <w:bCs w:val="1"/>
                <w:color w:val="auto"/>
              </w:rPr>
              <w:t>71,546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Non-U.S. pension plans</w:t>
            </w:r>
          </w:p>
        </w:tc>
        <w:tc>
          <w:tcPr>
            <w:tcW w:w="110" w:type="dxa"/>
            <w:vAlign w:val="bottom"/>
            <w:shd w:val="clear" w:color="auto" w:fill="CCEEFF"/>
          </w:tcPr>
          <w:p>
            <w:pPr>
              <w:spacing w:after="0"/>
              <w:rPr>
                <w:sz w:val="18"/>
                <w:szCs w:val="18"/>
                <w:color w:val="auto"/>
              </w:rPr>
            </w:pP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8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0" w:type="dxa"/>
            <w:vAlign w:val="bottom"/>
            <w:tcBorders>
              <w:bottom w:val="single" w:sz="8" w:color="auto"/>
            </w:tcBorders>
          </w:tcPr>
          <w:p>
            <w:pPr>
              <w:spacing w:after="0"/>
              <w:rPr>
                <w:sz w:val="10"/>
                <w:szCs w:val="10"/>
                <w:color w:val="auto"/>
              </w:rPr>
            </w:pPr>
          </w:p>
        </w:tc>
        <w:tc>
          <w:tcPr>
            <w:tcW w:w="1050" w:type="dxa"/>
            <w:vAlign w:val="bottom"/>
            <w:tcBorders>
              <w:bottom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820" w:type="dxa"/>
            <w:vAlign w:val="bottom"/>
            <w:tcBorders>
              <w:bottom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5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accumulated other comprehensive loss*</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5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103,717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76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105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8740" w:type="dxa"/>
            <w:vAlign w:val="bottom"/>
          </w:tcPr>
          <w:p>
            <w:pPr>
              <w:spacing w:after="0"/>
              <w:rPr>
                <w:sz w:val="8"/>
                <w:szCs w:val="8"/>
                <w:color w:val="auto"/>
              </w:rPr>
            </w:pPr>
          </w:p>
        </w:tc>
        <w:tc>
          <w:tcPr>
            <w:tcW w:w="20" w:type="dxa"/>
            <w:vAlign w:val="bottom"/>
          </w:tcPr>
          <w:p>
            <w:pPr>
              <w:spacing w:after="0"/>
              <w:rPr>
                <w:sz w:val="8"/>
                <w:szCs w:val="8"/>
                <w:color w:val="auto"/>
              </w:rPr>
            </w:pPr>
          </w:p>
        </w:tc>
        <w:tc>
          <w:tcPr>
            <w:tcW w:w="110" w:type="dxa"/>
            <w:vAlign w:val="bottom"/>
          </w:tcPr>
          <w:p>
            <w:pPr>
              <w:spacing w:after="0"/>
              <w:rPr>
                <w:sz w:val="8"/>
                <w:szCs w:val="8"/>
                <w:color w:val="auto"/>
              </w:rPr>
            </w:pPr>
          </w:p>
        </w:tc>
        <w:tc>
          <w:tcPr>
            <w:tcW w:w="107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3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amounts recognized</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5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(148,331)</w:t>
            </w:r>
          </w:p>
        </w:tc>
        <w:tc>
          <w:tcPr>
            <w:tcW w:w="360" w:type="dxa"/>
            <w:vAlign w:val="bottom"/>
            <w:shd w:val="clear" w:color="auto" w:fill="CCEEFF"/>
          </w:tcPr>
          <w:p>
            <w:pPr>
              <w:jc w:val="right"/>
              <w:ind w:right="203"/>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(161,190)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87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105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-29210</wp:posOffset>
            </wp:positionV>
            <wp:extent cx="12700"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-29210</wp:posOffset>
            </wp:positionV>
            <wp:extent cx="12700" cy="298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-29210</wp:posOffset>
            </wp:positionV>
            <wp:extent cx="12700" cy="298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-29210</wp:posOffset>
            </wp:positionV>
            <wp:extent cx="1270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289560</wp:posOffset>
            </wp:positionV>
            <wp:extent cx="1826895"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 - Amounts included in accumulated other comprehensive loss are presented in this table pretax.</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Defined Benefit Pension Plans</w:t>
      </w:r>
    </w:p>
    <w:p>
      <w:pPr>
        <w:spacing w:after="0" w:line="225"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maintains several defined benefit pension plans which cover substantially all full-time U.S. employees. The Company provides pension and similar benefits to employees of certain non-U.S. subsidiaries consistent with local practices. Pension benefits earned are generally based on years of service and compensation during active employment. Certain non-U.S. subsidiaries of the Company have defined benefit pension plans.</w:t>
      </w:r>
    </w:p>
    <w:p>
      <w:pPr>
        <w:spacing w:after="0" w:line="161"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The Company also maintains pension plans which provide supplemental defined benefits primarily to U.S. employees whose benefits under the qualified pension plan are limited by the Employee Retirement Security Act of 1974 and the Internal Revenue Code. These non-qualified plans include both contributory and non-contributory plans, and are considered to be unfunded. The Company maintains a non-qualified trust, referred to as a “rabbi” trust, to fund benefit payments under one of these plans. Rabbi trust assets are subject to creditor claims under certain conditions and are not the property of employees. Therefore, they are accounted for as other noncurrent assets. Assets held in trust related to the non-qualified pension plan at December 31, 2005 and 2004 were approximately $11 million and $8 million, respectively.</w:t>
      </w:r>
    </w:p>
    <w:p>
      <w:pPr>
        <w:spacing w:after="0" w:line="198"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In 2004, the Company entered into an employment agreement with Dr. Felix Zandman, its Chairman and then-Chief Executive Officer. Pursuant to this agreement, the Company will provide an annual retirement benefit equal to 50% of his average base pay and bonus for the five years preceding his retirement (but not to exceed $1 million annually). These pension benefits are unfunded and fully vested. The obligations represent prior service costs which will be amortized over the remaining expected service period.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20"/>
          </w:cols>
          <w:pgMar w:left="240" w:top="584" w:right="239" w:bottom="1440" w:gutter="0" w:footer="0" w:header="0"/>
        </w:sectPr>
      </w:pPr>
    </w:p>
    <w:bookmarkStart w:id="97" w:name="page98"/>
    <w:bookmarkEnd w:id="97"/>
    <w:p>
      <w:pPr>
        <w:spacing w:after="0"/>
        <w:rPr>
          <w:sz w:val="20"/>
          <w:szCs w:val="20"/>
          <w:color w:val="auto"/>
        </w:rPr>
      </w:pPr>
      <w:r>
        <w:rPr>
          <w:rFonts w:ascii="Arial" w:cs="Arial" w:eastAsia="Arial" w:hAnsi="Arial"/>
          <w:sz w:val="18"/>
          <w:szCs w:val="18"/>
          <w:b w:val="1"/>
          <w:bCs w:val="1"/>
          <w:u w:val="single" w:color="auto"/>
          <w:color w:val="auto"/>
        </w:rPr>
        <w:t>Note 11 – Pensions and Other Postretirement Benefits (continued)</w:t>
      </w:r>
    </w:p>
    <w:p>
      <w:pPr>
        <w:spacing w:after="0" w:line="231"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 xml:space="preserve">The following table sets forth a reconciliation of the benefit obligation, plan assets, and accrued benefit cost related to U.S. and non-U.S. pension plans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December 31, 2005</w:t>
            </w:r>
          </w:p>
        </w:tc>
        <w:tc>
          <w:tcPr>
            <w:tcW w:w="260" w:type="dxa"/>
            <w:vAlign w:val="bottom"/>
          </w:tcPr>
          <w:p>
            <w:pPr>
              <w:spacing w:after="0"/>
              <w:rPr>
                <w:sz w:val="15"/>
                <w:szCs w:val="15"/>
                <w:color w:val="auto"/>
              </w:rPr>
            </w:pPr>
          </w:p>
        </w:tc>
        <w:tc>
          <w:tcPr>
            <w:tcW w:w="242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7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20"/>
                <w:szCs w:val="20"/>
                <w:color w:val="auto"/>
              </w:rPr>
            </w:pPr>
          </w:p>
        </w:tc>
        <w:tc>
          <w:tcPr>
            <w:tcW w:w="12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Non-U.S.</w:t>
            </w:r>
          </w:p>
        </w:tc>
        <w:tc>
          <w:tcPr>
            <w:tcW w:w="260" w:type="dxa"/>
            <w:vAlign w:val="bottom"/>
          </w:tcPr>
          <w:p>
            <w:pPr>
              <w:spacing w:after="0"/>
              <w:rPr>
                <w:sz w:val="20"/>
                <w:szCs w:val="20"/>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7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Plans</w:t>
            </w:r>
          </w:p>
        </w:tc>
        <w:tc>
          <w:tcPr>
            <w:tcW w:w="140" w:type="dxa"/>
            <w:vAlign w:val="bottom"/>
          </w:tcPr>
          <w:p>
            <w:pPr>
              <w:spacing w:after="0"/>
              <w:rPr>
                <w:sz w:val="15"/>
                <w:szCs w:val="15"/>
                <w:color w:val="auto"/>
              </w:rPr>
            </w:pPr>
          </w:p>
        </w:tc>
        <w:tc>
          <w:tcPr>
            <w:tcW w:w="12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Plans</w:t>
            </w:r>
          </w:p>
        </w:tc>
        <w:tc>
          <w:tcPr>
            <w:tcW w:w="26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Plans</w:t>
            </w:r>
          </w:p>
        </w:tc>
        <w:tc>
          <w:tcPr>
            <w:tcW w:w="14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251,814</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237,562</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227,850</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212,857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Service cost (adjusted for actual employee contributions)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5,078</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Interest cost</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15,041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10,104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14,544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9,908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 and initiations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(2,075)</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Contributions by participants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1,723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1,849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Actuarial losses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31,891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19,923</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14,545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Curtailments and settlements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(10,678)</w:t>
            </w:r>
          </w:p>
        </w:tc>
        <w:tc>
          <w:tcPr>
            <w:tcW w:w="260" w:type="dxa"/>
            <w:vAlign w:val="bottom"/>
          </w:tcPr>
          <w:p>
            <w:pPr>
              <w:spacing w:after="0"/>
              <w:rPr>
                <w:sz w:val="18"/>
                <w:szCs w:val="18"/>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(15,000)</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(9,621)</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(15,139)</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(12,592)</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Currency translation</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(21,436)</w:t>
            </w:r>
          </w:p>
        </w:tc>
        <w:tc>
          <w:tcPr>
            <w:tcW w:w="26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13,840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287,656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231,045</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251,814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plan assets: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Fair value of plan assets at beginning of year</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231,067</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39,244</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191,918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35,884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Actual return on plan assets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13,978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1,084</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Company contributions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979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13,554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30,290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12,932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Plan participants’ contributions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1,723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Benefits paid</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(15,000)</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(9,621)</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(15,139)</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(12,592)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Settlements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(4,640)</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Currency translation</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(2,779)</w:t>
            </w:r>
          </w:p>
        </w:tc>
        <w:tc>
          <w:tcPr>
            <w:tcW w:w="26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2,383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 at end of year</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232,747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36,842</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231,067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status</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(54,909)</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(194,203)</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(20,747)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(198,318)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Unrecognized net actuarial loss</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90,533</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50,568</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56,866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37,362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Unamortized prior service cost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268</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amount recognized</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(143,635)</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(160,956)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net amount recognized:</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Prepaid pension asset</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2,712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177</w:t>
            </w:r>
          </w:p>
        </w:tc>
        <w:tc>
          <w:tcPr>
            <w:tcW w:w="180" w:type="dxa"/>
            <w:vAlign w:val="bottom"/>
          </w:tcPr>
          <w:p>
            <w:pPr>
              <w:spacing w:after="0"/>
              <w:rPr>
                <w:sz w:val="18"/>
                <w:szCs w:val="18"/>
                <w:color w:val="auto"/>
              </w:rPr>
            </w:pP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47,249</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Intangible pension asset</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1,963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(40,329)</w:t>
            </w:r>
          </w:p>
        </w:tc>
        <w:tc>
          <w:tcPr>
            <w:tcW w:w="14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(176,069)</w:t>
            </w:r>
          </w:p>
        </w:tc>
        <w:tc>
          <w:tcPr>
            <w:tcW w:w="2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(17,136)</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(175,006)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1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71,546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32,171</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6,217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4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760" w:type="dxa"/>
            <w:vAlign w:val="bottom"/>
          </w:tcPr>
          <w:p>
            <w:pPr>
              <w:spacing w:after="0"/>
              <w:rPr>
                <w:sz w:val="8"/>
                <w:szCs w:val="8"/>
                <w:color w:val="auto"/>
              </w:rPr>
            </w:pPr>
          </w:p>
        </w:tc>
        <w:tc>
          <w:tcPr>
            <w:tcW w:w="1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amount recognized</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35,892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(143,635)</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39,766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(160,956)</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7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Pr>
          <w:p>
            <w:pPr>
              <w:spacing w:after="0"/>
              <w:rPr>
                <w:sz w:val="9"/>
                <w:szCs w:val="9"/>
                <w:color w:val="auto"/>
              </w:rPr>
            </w:pPr>
          </w:p>
        </w:tc>
        <w:tc>
          <w:tcPr>
            <w:tcW w:w="9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760" w:type="dxa"/>
            <w:vAlign w:val="bottom"/>
            <w:shd w:val="clear" w:color="auto" w:fill="CCEEFF"/>
          </w:tcPr>
          <w:p>
            <w:pPr>
              <w:spacing w:after="0"/>
              <w:rPr>
                <w:sz w:val="20"/>
                <w:szCs w:val="20"/>
                <w:color w:val="auto"/>
              </w:rPr>
            </w:pPr>
            <w:r>
              <w:rPr>
                <w:rFonts w:ascii="Arial" w:cs="Arial" w:eastAsia="Arial" w:hAnsi="Arial"/>
                <w:sz w:val="18"/>
                <w:szCs w:val="18"/>
                <w:color w:val="auto"/>
              </w:rPr>
              <w:t>Accumulated benefit obligation</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272,975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209,106</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238,407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209,169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76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760" w:type="dxa"/>
            <w:vAlign w:val="bottom"/>
          </w:tcPr>
          <w:p>
            <w:pPr>
              <w:spacing w:after="0"/>
              <w:rPr>
                <w:sz w:val="24"/>
                <w:szCs w:val="24"/>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F-38</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-4202430</wp:posOffset>
            </wp:positionV>
            <wp:extent cx="337439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3743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-2658745</wp:posOffset>
            </wp:positionV>
            <wp:extent cx="33743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743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-1800860</wp:posOffset>
            </wp:positionV>
            <wp:extent cx="12700"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-1800860</wp:posOffset>
            </wp:positionV>
            <wp:extent cx="3305810" cy="298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0581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-669290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-669290</wp:posOffset>
            </wp:positionV>
            <wp:extent cx="12700"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-669290</wp:posOffset>
            </wp:positionV>
            <wp:extent cx="12700" cy="298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-669290</wp:posOffset>
            </wp:positionV>
            <wp:extent cx="12700"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-669290</wp:posOffset>
            </wp:positionV>
            <wp:extent cx="12700" cy="298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-669290</wp:posOffset>
            </wp:positionV>
            <wp:extent cx="12700" cy="298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-669290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-669290</wp:posOffset>
            </wp:positionV>
            <wp:extent cx="1270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-669290</wp:posOffset>
            </wp:positionV>
            <wp:extent cx="12700"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-669290</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-669290</wp:posOffset>
            </wp:positionV>
            <wp:extent cx="1270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-669290</wp:posOffset>
            </wp:positionV>
            <wp:extent cx="12700"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-368935</wp:posOffset>
            </wp:positionV>
            <wp:extent cx="12700" cy="298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-368935</wp:posOffset>
            </wp:positionV>
            <wp:extent cx="12700" cy="298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-368935</wp:posOffset>
            </wp:positionV>
            <wp:extent cx="12700" cy="298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-368935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-368935</wp:posOffset>
            </wp:positionV>
            <wp:extent cx="1270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-368935</wp:posOffset>
            </wp:positionV>
            <wp:extent cx="12700"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-368935</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-368935</wp:posOffset>
            </wp:positionV>
            <wp:extent cx="1270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-368935</wp:posOffset>
            </wp:positionV>
            <wp:extent cx="12700"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-368935</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-368935</wp:posOffset>
            </wp:positionV>
            <wp:extent cx="1270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-368935</wp:posOffset>
            </wp:positionV>
            <wp:extent cx="12700"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8" w:name="page99"/>
    <w:bookmarkEnd w:id="98"/>
    <w:p>
      <w:pPr>
        <w:spacing w:after="0"/>
        <w:rPr>
          <w:sz w:val="20"/>
          <w:szCs w:val="20"/>
          <w:color w:val="auto"/>
        </w:rPr>
      </w:pPr>
      <w:r>
        <w:rPr>
          <w:rFonts w:ascii="Arial" w:cs="Arial" w:eastAsia="Arial" w:hAnsi="Arial"/>
          <w:sz w:val="18"/>
          <w:szCs w:val="18"/>
          <w:b w:val="1"/>
          <w:bCs w:val="1"/>
          <w:u w:val="single" w:color="auto"/>
          <w:color w:val="auto"/>
        </w:rPr>
        <w:t>Note 11 – Pensions and Other Postretirement Benefits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sets forth additional information regarding plans for which the accumulated benefit obligation exceeds plan assets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0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December 31, 2005</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20" w:type="dxa"/>
            <w:vAlign w:val="bottom"/>
            <w:gridSpan w:val="5"/>
          </w:tcPr>
          <w:p>
            <w:pPr>
              <w:ind w:left="48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ind w:right="402"/>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260"/>
              <w:spacing w:after="0"/>
              <w:rPr>
                <w:sz w:val="20"/>
                <w:szCs w:val="20"/>
                <w:color w:val="auto"/>
              </w:rPr>
            </w:pPr>
            <w:r>
              <w:rPr>
                <w:rFonts w:ascii="Arial" w:cs="Arial" w:eastAsia="Arial" w:hAnsi="Arial"/>
                <w:sz w:val="14"/>
                <w:szCs w:val="14"/>
                <w:b w:val="1"/>
                <w:bCs w:val="1"/>
                <w:color w:val="auto"/>
              </w:rPr>
              <w:t>Non-U.S.</w:t>
            </w: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422"/>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10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right"/>
              <w:ind w:right="360"/>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jc w:val="right"/>
              <w:ind w:right="382"/>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0"/>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1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Projected benefit obligation</w:t>
            </w:r>
          </w:p>
        </w:tc>
        <w:tc>
          <w:tcPr>
            <w:tcW w:w="2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281,378</w:t>
            </w:r>
          </w:p>
        </w:tc>
        <w:tc>
          <w:tcPr>
            <w:tcW w:w="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225,945</w:t>
            </w:r>
          </w:p>
        </w:tc>
        <w:tc>
          <w:tcPr>
            <w:tcW w:w="4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95,361</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237,562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Accumulated benefit obligation</w:t>
            </w:r>
          </w:p>
        </w:tc>
        <w:tc>
          <w:tcPr>
            <w:tcW w:w="1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266,697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207,484</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92,148</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209,169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of plan assets</w:t>
            </w:r>
          </w:p>
        </w:tc>
        <w:tc>
          <w:tcPr>
            <w:tcW w:w="19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226,369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31,877</w:t>
            </w:r>
          </w:p>
        </w:tc>
        <w:tc>
          <w:tcPr>
            <w:tcW w:w="1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75,394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the components of net periodic pension cost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80" w:type="dxa"/>
            <w:vAlign w:val="bottom"/>
            <w:gridSpan w:val="5"/>
          </w:tcPr>
          <w:p>
            <w:pPr>
              <w:jc w:val="right"/>
              <w:ind w:right="700"/>
              <w:spacing w:after="0"/>
              <w:rPr>
                <w:sz w:val="20"/>
                <w:szCs w:val="20"/>
                <w:color w:val="auto"/>
              </w:rPr>
            </w:pPr>
            <w:r>
              <w:rPr>
                <w:rFonts w:ascii="Arial" w:cs="Arial" w:eastAsia="Arial" w:hAnsi="Arial"/>
                <w:sz w:val="14"/>
                <w:szCs w:val="14"/>
                <w:b w:val="1"/>
                <w:bCs w:val="1"/>
                <w:color w:val="auto"/>
                <w:w w:val="98"/>
              </w:rPr>
              <w:t>Years ended December 31,</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gridSpan w:val="2"/>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20" w:type="dxa"/>
            <w:vAlign w:val="bottom"/>
            <w:gridSpan w:val="3"/>
          </w:tcPr>
          <w:p>
            <w:pPr>
              <w:jc w:val="right"/>
              <w:ind w:right="103"/>
              <w:spacing w:after="0"/>
              <w:rPr>
                <w:sz w:val="20"/>
                <w:szCs w:val="20"/>
                <w:color w:val="auto"/>
              </w:rPr>
            </w:pPr>
            <w:r>
              <w:rPr>
                <w:rFonts w:ascii="Arial" w:cs="Arial" w:eastAsia="Arial" w:hAnsi="Arial"/>
                <w:sz w:val="14"/>
                <w:szCs w:val="14"/>
                <w:b w:val="1"/>
                <w:bCs w:val="1"/>
                <w:color w:val="auto"/>
              </w:rPr>
              <w:t>2004</w:t>
            </w:r>
          </w:p>
        </w:tc>
        <w:tc>
          <w:tcPr>
            <w:tcW w:w="9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3"/>
          </w:tcPr>
          <w:p>
            <w:pPr>
              <w:jc w:val="right"/>
              <w:spacing w:after="0"/>
              <w:rPr>
                <w:sz w:val="20"/>
                <w:szCs w:val="20"/>
                <w:color w:val="auto"/>
              </w:rPr>
            </w:pPr>
            <w:r>
              <w:rPr>
                <w:rFonts w:ascii="Arial" w:cs="Arial" w:eastAsia="Arial" w:hAnsi="Arial"/>
                <w:sz w:val="14"/>
                <w:szCs w:val="14"/>
                <w:b w:val="1"/>
                <w:bCs w:val="1"/>
                <w:color w:val="auto"/>
              </w:rPr>
              <w:t>2003</w:t>
            </w: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Non-U.S.</w:t>
            </w:r>
          </w:p>
        </w:tc>
        <w:tc>
          <w:tcPr>
            <w:tcW w:w="260" w:type="dxa"/>
            <w:vAlign w:val="bottom"/>
          </w:tcPr>
          <w:p>
            <w:pPr>
              <w:spacing w:after="0"/>
              <w:rPr>
                <w:sz w:val="20"/>
                <w:szCs w:val="20"/>
                <w:color w:val="auto"/>
              </w:rPr>
            </w:pPr>
          </w:p>
        </w:tc>
        <w:tc>
          <w:tcPr>
            <w:tcW w:w="112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Non-U.S.</w:t>
            </w: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20"/>
                <w:szCs w:val="20"/>
                <w:color w:val="auto"/>
              </w:rPr>
            </w:pPr>
          </w:p>
        </w:tc>
        <w:tc>
          <w:tcPr>
            <w:tcW w:w="11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Plans</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Plans</w:t>
            </w:r>
          </w:p>
        </w:tc>
        <w:tc>
          <w:tcPr>
            <w:tcW w:w="260" w:type="dxa"/>
            <w:vAlign w:val="bottom"/>
          </w:tcPr>
          <w:p>
            <w:pPr>
              <w:spacing w:after="0"/>
              <w:rPr>
                <w:sz w:val="15"/>
                <w:szCs w:val="15"/>
                <w:color w:val="auto"/>
              </w:rPr>
            </w:pPr>
          </w:p>
        </w:tc>
        <w:tc>
          <w:tcPr>
            <w:tcW w:w="11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Plans</w:t>
            </w:r>
          </w:p>
        </w:tc>
        <w:tc>
          <w:tcPr>
            <w:tcW w:w="20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Plans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2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Plans</w:t>
            </w:r>
          </w:p>
        </w:tc>
        <w:tc>
          <w:tcPr>
            <w:tcW w:w="140" w:type="dxa"/>
            <w:vAlign w:val="bottom"/>
          </w:tcPr>
          <w:p>
            <w:pPr>
              <w:spacing w:after="0"/>
              <w:rPr>
                <w:sz w:val="15"/>
                <w:szCs w:val="15"/>
                <w:color w:val="auto"/>
              </w:rPr>
            </w:pPr>
          </w:p>
        </w:tc>
        <w:tc>
          <w:tcPr>
            <w:tcW w:w="118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Annual service cost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6,069</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Less employee contributions</w:t>
            </w: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1,807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1,849</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1,641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service cost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4,262</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5,078</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4,259</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3,394</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Interest cost</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15,041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10,104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14,544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9,908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14,057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(19,086)</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(1,438)</w:t>
            </w: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(16,181)</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(1,075)</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(12,521)</w:t>
            </w:r>
          </w:p>
        </w:tc>
        <w:tc>
          <w:tcPr>
            <w:tcW w:w="1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Amortization of actuarial losses</w:t>
            </w: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3,365</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1,417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3,102</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1,384</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4,284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847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prior service cost</w:t>
            </w: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1,305</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w w:val="96"/>
              </w:rPr>
              <w:t>Curtailment and settlement losses (gains)</w:t>
            </w:r>
          </w:p>
        </w:tc>
        <w:tc>
          <w:tcPr>
            <w:tcW w:w="24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3,783</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40" w:type="dxa"/>
            <w:vAlign w:val="bottom"/>
            <w:shd w:val="clear" w:color="auto" w:fill="CCEEFF"/>
          </w:tcPr>
          <w:p>
            <w:pPr>
              <w:jc w:val="right"/>
              <w:ind w:right="83"/>
              <w:spacing w:after="0"/>
              <w:rPr>
                <w:sz w:val="20"/>
                <w:szCs w:val="20"/>
                <w:color w:val="auto"/>
              </w:rPr>
            </w:pPr>
            <w:r>
              <w:rPr>
                <w:rFonts w:ascii="Arial" w:cs="Arial" w:eastAsia="Arial" w:hAnsi="Arial"/>
                <w:sz w:val="15"/>
                <w:szCs w:val="15"/>
                <w:b w:val="1"/>
                <w:bCs w:val="1"/>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4,887</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18,944</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6,227</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14,476</w:t>
            </w: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9,246</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40" w:type="dxa"/>
            <w:vAlign w:val="bottom"/>
            <w:tcBorders>
              <w:bottom w:val="single" w:sz="8" w:color="auto"/>
            </w:tcBorders>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-29210</wp:posOffset>
            </wp:positionV>
            <wp:extent cx="12700" cy="298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-29210</wp:posOffset>
            </wp:positionV>
            <wp:extent cx="5072380" cy="298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07238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5"/>
          <w:szCs w:val="15"/>
          <w:color w:val="auto"/>
        </w:rPr>
        <w:t>See Note 10 for the pretax, tax effect and after tax amounts included in other comprehensive income during the years ended December 31, 2005, 2004, and 2003.</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The settlement loss for 2005 is primarily related to the Company’s restructuring plans in the Republic of China (Taiwan). See Note 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determine benefit obligations at December 31 of the respective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10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0" w:type="dxa"/>
            <w:vAlign w:val="bottom"/>
          </w:tcPr>
          <w:p>
            <w:pPr>
              <w:jc w:val="center"/>
              <w:ind w:left="292"/>
              <w:spacing w:after="0"/>
              <w:rPr>
                <w:sz w:val="20"/>
                <w:szCs w:val="20"/>
                <w:color w:val="auto"/>
              </w:rPr>
            </w:pPr>
            <w:r>
              <w:rPr>
                <w:rFonts w:ascii="Arial" w:cs="Arial" w:eastAsia="Arial" w:hAnsi="Arial"/>
                <w:sz w:val="14"/>
                <w:szCs w:val="14"/>
                <w:b w:val="1"/>
                <w:bCs w:val="1"/>
                <w:color w:val="auto"/>
                <w:w w:val="87"/>
              </w:rPr>
              <w:t>U.S.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Non-U.S.</w:t>
            </w: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U.S.</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00" w:type="dxa"/>
            <w:vAlign w:val="bottom"/>
          </w:tcPr>
          <w:p>
            <w:pPr>
              <w:jc w:val="center"/>
              <w:ind w:left="292"/>
              <w:spacing w:after="0"/>
              <w:rPr>
                <w:sz w:val="20"/>
                <w:szCs w:val="20"/>
                <w:color w:val="auto"/>
              </w:rPr>
            </w:pPr>
            <w:r>
              <w:rPr>
                <w:rFonts w:ascii="Arial" w:cs="Arial" w:eastAsia="Arial" w:hAnsi="Arial"/>
                <w:sz w:val="14"/>
                <w:szCs w:val="14"/>
                <w:b w:val="1"/>
                <w:bCs w:val="1"/>
                <w:color w:val="auto"/>
                <w:w w:val="85"/>
              </w:rPr>
              <w:t>Plans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Plans</w:t>
            </w: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Plans</w:t>
            </w: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5.50%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3.76%</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6780" w:type="dxa"/>
            <w:vAlign w:val="bottom"/>
            <w:gridSpan w:val="2"/>
          </w:tcPr>
          <w:p>
            <w:pPr>
              <w:spacing w:after="0"/>
              <w:rPr>
                <w:sz w:val="20"/>
                <w:szCs w:val="20"/>
                <w:color w:val="auto"/>
              </w:rPr>
            </w:pPr>
            <w:r>
              <w:rPr>
                <w:rFonts w:ascii="Arial" w:cs="Arial" w:eastAsia="Arial" w:hAnsi="Arial"/>
                <w:sz w:val="18"/>
                <w:szCs w:val="18"/>
                <w:color w:val="auto"/>
              </w:rPr>
              <w:t>Rate of compensation increase</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4.00%</w:t>
            </w:r>
          </w:p>
        </w:tc>
        <w:tc>
          <w:tcPr>
            <w:tcW w:w="180" w:type="dxa"/>
            <w:vAlign w:val="bottom"/>
          </w:tcPr>
          <w:p>
            <w:pPr>
              <w:spacing w:after="0"/>
              <w:rPr>
                <w:sz w:val="19"/>
                <w:szCs w:val="19"/>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2.33%</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6780" w:type="dxa"/>
            <w:vAlign w:val="bottom"/>
            <w:gridSpan w:val="2"/>
          </w:tcPr>
          <w:p>
            <w:pPr>
              <w:ind w:left="5520"/>
              <w:spacing w:after="0"/>
              <w:rPr>
                <w:sz w:val="20"/>
                <w:szCs w:val="20"/>
                <w:color w:val="auto"/>
              </w:rPr>
            </w:pPr>
            <w:r>
              <w:rPr>
                <w:rFonts w:ascii="Arial" w:cs="Arial" w:eastAsia="Arial" w:hAnsi="Arial"/>
                <w:sz w:val="18"/>
                <w:szCs w:val="18"/>
                <w:color w:val="auto"/>
              </w:rPr>
              <w:t>F-39</w:t>
            </w:r>
          </w:p>
        </w:tc>
        <w:tc>
          <w:tcPr>
            <w:tcW w:w="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b w:val="1"/>
          <w:bCs w:val="1"/>
          <w:u w:val="single" w:color="auto"/>
          <w:color w:val="auto"/>
        </w:rPr>
        <w:t>Note 11 – Pensions and Other Postretirement Benefits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weighted-average assumptions were used to determine the net periodic pension costs for the years ended December 31, 2005 and 2004: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U.S.</w:t>
            </w:r>
          </w:p>
        </w:tc>
        <w:tc>
          <w:tcPr>
            <w:tcW w:w="120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Non-U.S.</w:t>
            </w: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U.S.</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Plans</w:t>
            </w:r>
          </w:p>
        </w:tc>
        <w:tc>
          <w:tcPr>
            <w:tcW w:w="120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Plans</w:t>
            </w: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Plans</w:t>
            </w: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4.75%</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Arial" w:cs="Arial" w:eastAsia="Arial" w:hAnsi="Arial"/>
                <w:sz w:val="18"/>
                <w:szCs w:val="18"/>
                <w:color w:val="auto"/>
              </w:rPr>
              <w:t>Rate of compensation increase</w:t>
            </w:r>
          </w:p>
        </w:tc>
        <w:tc>
          <w:tcPr>
            <w:tcW w:w="13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4.00%</w:t>
            </w:r>
          </w:p>
        </w:tc>
        <w:tc>
          <w:tcPr>
            <w:tcW w:w="180" w:type="dxa"/>
            <w:vAlign w:val="bottom"/>
          </w:tcPr>
          <w:p>
            <w:pPr>
              <w:spacing w:after="0"/>
              <w:rPr>
                <w:sz w:val="18"/>
                <w:szCs w:val="18"/>
                <w:color w:val="auto"/>
              </w:rPr>
            </w:pPr>
          </w:p>
        </w:tc>
        <w:tc>
          <w:tcPr>
            <w:tcW w:w="12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2.61%</w:t>
            </w:r>
          </w:p>
        </w:tc>
        <w:tc>
          <w:tcPr>
            <w:tcW w:w="1360" w:type="dxa"/>
            <w:vAlign w:val="bottom"/>
            <w:gridSpan w:val="2"/>
          </w:tcPr>
          <w:p>
            <w:pPr>
              <w:jc w:val="right"/>
              <w:ind w:right="80"/>
              <w:spacing w:after="0"/>
              <w:rPr>
                <w:sz w:val="20"/>
                <w:szCs w:val="20"/>
                <w:color w:val="auto"/>
              </w:rPr>
            </w:pPr>
            <w:r>
              <w:rPr>
                <w:rFonts w:ascii="Arial" w:cs="Arial" w:eastAsia="Arial" w:hAnsi="Arial"/>
                <w:sz w:val="18"/>
                <w:szCs w:val="18"/>
                <w:color w:val="auto"/>
              </w:rPr>
              <w:t>4.00%</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8.50%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3.67%</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8.50%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plans’ expected return on assets is based on management’s expectations of long-term average rates of return to be achieved by the underlying investment portfolios. In establishing this assumption, management considers historical and expected returns for the asset classes in which the plans are invested, advice from pension consultants and investment advisors, and current economic and capital market conditions.</w:t>
      </w:r>
    </w:p>
    <w:p>
      <w:pPr>
        <w:spacing w:after="0" w:line="194"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The investment mix between equity securities and fixed income securities is based upon achieving a desired return, balancing higher return, more volatile equity securities, and lower return, less volatile fixed income securities. The Company’s U.S. defined benefit plans are invested in diversified portfolios of public-market equity and fixed income securities. Investment allocations are made across a range of markets, industry sectors, capitalization sizes, and, in the case of fixed income securities, maturities and credit quality. The target allocation is approximately 60% invested in equity securities and 40% invested in debt securities. The Company’s non-U.S. defined benefit plans are largely invested in cash, with a small percentage invested in fixed income securities, based on local laws and customs. The plans do not invest in securities of Vishay or its subsidiaries.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Plan assets are comprised of:</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2840" w:type="dxa"/>
            <w:vAlign w:val="bottom"/>
            <w:gridSpan w:val="10"/>
          </w:tcPr>
          <w:p>
            <w:pPr>
              <w:jc w:val="right"/>
              <w:ind w:right="1040"/>
              <w:spacing w:after="0"/>
              <w:rPr>
                <w:sz w:val="20"/>
                <w:szCs w:val="20"/>
                <w:color w:val="auto"/>
              </w:rPr>
            </w:pPr>
            <w:r>
              <w:rPr>
                <w:rFonts w:ascii="Arial" w:cs="Arial" w:eastAsia="Arial" w:hAnsi="Arial"/>
                <w:sz w:val="14"/>
                <w:szCs w:val="14"/>
                <w:b w:val="1"/>
                <w:bCs w:val="1"/>
                <w:color w:val="auto"/>
              </w:rPr>
              <w:t>December 31, 2005</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20" w:type="dxa"/>
            <w:vAlign w:val="bottom"/>
            <w:gridSpan w:val="6"/>
          </w:tcPr>
          <w:p>
            <w:pPr>
              <w:ind w:left="34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gridSpan w:val="2"/>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840" w:type="dxa"/>
            <w:vAlign w:val="bottom"/>
          </w:tcPr>
          <w:p>
            <w:pPr>
              <w:spacing w:after="0"/>
              <w:rPr>
                <w:sz w:val="20"/>
                <w:szCs w:val="20"/>
                <w:color w:val="auto"/>
              </w:rPr>
            </w:pPr>
          </w:p>
        </w:tc>
        <w:tc>
          <w:tcPr>
            <w:tcW w:w="820" w:type="dxa"/>
            <w:vAlign w:val="bottom"/>
          </w:tcPr>
          <w:p>
            <w:pPr>
              <w:jc w:val="center"/>
              <w:ind w:left="272"/>
              <w:spacing w:after="0"/>
              <w:rPr>
                <w:sz w:val="20"/>
                <w:szCs w:val="20"/>
                <w:color w:val="auto"/>
              </w:rPr>
            </w:pPr>
            <w:r>
              <w:rPr>
                <w:rFonts w:ascii="Arial" w:cs="Arial" w:eastAsia="Arial" w:hAnsi="Arial"/>
                <w:sz w:val="14"/>
                <w:szCs w:val="14"/>
                <w:b w:val="1"/>
                <w:bCs w:val="1"/>
                <w:color w:val="auto"/>
                <w:w w:val="87"/>
              </w:rPr>
              <w:t>U.S.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4"/>
              </w:rPr>
              <w:t>Non-U.S.</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gridSpan w:val="4"/>
          </w:tcPr>
          <w:p>
            <w:pPr>
              <w:ind w:left="80"/>
              <w:spacing w:after="0"/>
              <w:rPr>
                <w:sz w:val="20"/>
                <w:szCs w:val="20"/>
                <w:color w:val="auto"/>
              </w:rPr>
            </w:pPr>
            <w:r>
              <w:rPr>
                <w:rFonts w:ascii="Arial" w:cs="Arial" w:eastAsia="Arial" w:hAnsi="Arial"/>
                <w:sz w:val="14"/>
                <w:szCs w:val="14"/>
                <w:b w:val="1"/>
                <w:bCs w:val="1"/>
                <w:color w:val="auto"/>
              </w:rPr>
              <w:t>U.S.</w:t>
            </w:r>
          </w:p>
        </w:tc>
        <w:tc>
          <w:tcPr>
            <w:tcW w:w="114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20" w:type="dxa"/>
            <w:vAlign w:val="bottom"/>
          </w:tcPr>
          <w:p>
            <w:pPr>
              <w:jc w:val="center"/>
              <w:ind w:left="272"/>
              <w:spacing w:after="0"/>
              <w:rPr>
                <w:sz w:val="20"/>
                <w:szCs w:val="20"/>
                <w:color w:val="auto"/>
              </w:rPr>
            </w:pPr>
            <w:r>
              <w:rPr>
                <w:rFonts w:ascii="Arial" w:cs="Arial" w:eastAsia="Arial" w:hAnsi="Arial"/>
                <w:sz w:val="14"/>
                <w:szCs w:val="14"/>
                <w:b w:val="1"/>
                <w:bCs w:val="1"/>
                <w:color w:val="auto"/>
                <w:w w:val="85"/>
              </w:rPr>
              <w:t>Plans</w:t>
            </w: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w w:val="90"/>
              </w:rPr>
              <w:t>Plans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ind w:left="40"/>
              <w:spacing w:after="0"/>
              <w:rPr>
                <w:sz w:val="20"/>
                <w:szCs w:val="20"/>
                <w:color w:val="auto"/>
              </w:rPr>
            </w:pPr>
            <w:r>
              <w:rPr>
                <w:rFonts w:ascii="Arial" w:cs="Arial" w:eastAsia="Arial" w:hAnsi="Arial"/>
                <w:sz w:val="14"/>
                <w:szCs w:val="14"/>
                <w:b w:val="1"/>
                <w:bCs w:val="1"/>
                <w:color w:val="auto"/>
              </w:rPr>
              <w:t>Plans</w:t>
            </w:r>
          </w:p>
        </w:tc>
        <w:tc>
          <w:tcPr>
            <w:tcW w:w="114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3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66%</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61%</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tcPr>
          <w:p>
            <w:pPr>
              <w:spacing w:after="0"/>
              <w:rPr>
                <w:sz w:val="20"/>
                <w:szCs w:val="20"/>
                <w:color w:val="auto"/>
              </w:rPr>
            </w:pPr>
            <w:r>
              <w:rPr>
                <w:rFonts w:ascii="Arial" w:cs="Arial" w:eastAsia="Arial" w:hAnsi="Arial"/>
                <w:sz w:val="18"/>
                <w:szCs w:val="18"/>
                <w:color w:val="auto"/>
              </w:rPr>
              <w:t>Fixed income securities</w:t>
            </w: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3"/>
          </w:tcPr>
          <w:p>
            <w:pPr>
              <w:ind w:left="60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77%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600"/>
              <w:spacing w:after="0"/>
              <w:rPr>
                <w:sz w:val="20"/>
                <w:szCs w:val="20"/>
                <w:color w:val="auto"/>
              </w:rPr>
            </w:pPr>
            <w:r>
              <w:rPr>
                <w:rFonts w:ascii="Arial" w:cs="Arial" w:eastAsia="Arial" w:hAnsi="Arial"/>
                <w:sz w:val="18"/>
                <w:szCs w:val="18"/>
                <w:color w:val="auto"/>
              </w:rPr>
              <w:t>15%</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840" w:type="dxa"/>
            <w:vAlign w:val="bottom"/>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36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140" w:type="dxa"/>
            <w:vAlign w:val="bottom"/>
          </w:tcPr>
          <w:p>
            <w:pPr>
              <w:spacing w:after="0"/>
              <w:rPr>
                <w:sz w:val="8"/>
                <w:szCs w:val="8"/>
                <w:color w:val="auto"/>
              </w:rPr>
            </w:pPr>
          </w:p>
        </w:tc>
        <w:tc>
          <w:tcPr>
            <w:tcW w:w="4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8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100%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100%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w w:val="99"/>
              </w:rPr>
              <w:t>100%</w:t>
            </w:r>
          </w:p>
        </w:tc>
        <w:tc>
          <w:tcPr>
            <w:tcW w:w="180" w:type="dxa"/>
            <w:vAlign w:val="bottom"/>
            <w:tcBorders>
              <w:right w:val="single" w:sz="8" w:color="CCEEFF"/>
            </w:tcBorders>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132"/>
        </w:trPr>
        <w:tc>
          <w:tcPr>
            <w:tcW w:w="1160" w:type="dxa"/>
            <w:vAlign w:val="bottom"/>
            <w:gridSpan w:val="2"/>
          </w:tcPr>
          <w:p>
            <w:pPr>
              <w:spacing w:after="0"/>
              <w:rPr>
                <w:sz w:val="11"/>
                <w:szCs w:val="11"/>
                <w:color w:val="auto"/>
              </w:rPr>
            </w:pPr>
          </w:p>
        </w:tc>
        <w:tc>
          <w:tcPr>
            <w:tcW w:w="4840" w:type="dxa"/>
            <w:vAlign w:val="bottom"/>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3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6820" w:type="dxa"/>
            <w:vAlign w:val="bottom"/>
            <w:gridSpan w:val="4"/>
          </w:tcPr>
          <w:p>
            <w:pPr>
              <w:spacing w:after="0"/>
              <w:rPr>
                <w:sz w:val="20"/>
                <w:szCs w:val="20"/>
                <w:color w:val="auto"/>
              </w:rPr>
            </w:pPr>
            <w:r>
              <w:rPr>
                <w:rFonts w:ascii="Arial" w:cs="Arial" w:eastAsia="Arial" w:hAnsi="Arial"/>
                <w:sz w:val="18"/>
                <w:szCs w:val="18"/>
                <w:color w:val="auto"/>
              </w:rPr>
              <w:t xml:space="preserve">Estimated future benefit payments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4"/>
        </w:trPr>
        <w:tc>
          <w:tcPr>
            <w:tcW w:w="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4"/>
          </w:tcPr>
          <w:p>
            <w:pPr>
              <w:ind w:left="220"/>
              <w:spacing w:after="0"/>
              <w:rPr>
                <w:sz w:val="20"/>
                <w:szCs w:val="20"/>
                <w:color w:val="auto"/>
              </w:rPr>
            </w:pPr>
            <w:r>
              <w:rPr>
                <w:rFonts w:ascii="Arial" w:cs="Arial" w:eastAsia="Arial" w:hAnsi="Arial"/>
                <w:sz w:val="14"/>
                <w:szCs w:val="14"/>
                <w:b w:val="1"/>
                <w:bCs w:val="1"/>
                <w:color w:val="auto"/>
              </w:rPr>
              <w:t>Non-U.S.</w:t>
            </w: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0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rPr>
              <w:t>Plans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4"/>
          </w:tcPr>
          <w:p>
            <w:pPr>
              <w:ind w:left="320"/>
              <w:spacing w:after="0"/>
              <w:rPr>
                <w:sz w:val="20"/>
                <w:szCs w:val="20"/>
                <w:color w:val="auto"/>
              </w:rPr>
            </w:pPr>
            <w:r>
              <w:rPr>
                <w:rFonts w:ascii="Arial" w:cs="Arial" w:eastAsia="Arial" w:hAnsi="Arial"/>
                <w:sz w:val="14"/>
                <w:szCs w:val="14"/>
                <w:b w:val="1"/>
                <w:bCs w:val="1"/>
                <w:color w:val="auto"/>
              </w:rPr>
              <w:t>Plans</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160" w:type="dxa"/>
            <w:vAlign w:val="bottom"/>
            <w:gridSpan w:val="2"/>
          </w:tcPr>
          <w:p>
            <w:pPr>
              <w:spacing w:after="0"/>
              <w:rPr>
                <w:sz w:val="8"/>
                <w:szCs w:val="8"/>
                <w:color w:val="auto"/>
              </w:rPr>
            </w:pPr>
          </w:p>
        </w:tc>
        <w:tc>
          <w:tcPr>
            <w:tcW w:w="4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800" w:type="dxa"/>
            <w:vAlign w:val="bottom"/>
            <w:gridSpan w:val="4"/>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gridSpan w:val="4"/>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4"/>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160" w:type="dxa"/>
            <w:vAlign w:val="bottom"/>
            <w:gridSpan w:val="2"/>
            <w:vMerge w:val="restart"/>
          </w:tcPr>
          <w:p>
            <w:pPr>
              <w:spacing w:after="0"/>
              <w:rPr>
                <w:sz w:val="8"/>
                <w:szCs w:val="8"/>
                <w:color w:val="auto"/>
              </w:rPr>
            </w:pPr>
          </w:p>
        </w:tc>
        <w:tc>
          <w:tcPr>
            <w:tcW w:w="4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160" w:type="dxa"/>
            <w:vAlign w:val="bottom"/>
            <w:gridSpan w:val="2"/>
            <w:vMerge w:val="continue"/>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820" w:type="dxa"/>
            <w:vAlign w:val="bottom"/>
            <w:shd w:val="clear" w:color="auto" w:fill="CCEEFF"/>
          </w:tcPr>
          <w:p>
            <w:pPr>
              <w:spacing w:after="0"/>
              <w:rPr>
                <w:sz w:val="18"/>
                <w:szCs w:val="18"/>
                <w:color w:val="auto"/>
              </w:rPr>
            </w:pPr>
          </w:p>
        </w:tc>
        <w:tc>
          <w:tcPr>
            <w:tcW w:w="92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14,418</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80" w:type="dxa"/>
            <w:vAlign w:val="bottom"/>
            <w:tcBorders>
              <w:right w:val="single" w:sz="8" w:color="CCEEFF"/>
            </w:tcBorders>
            <w:gridSpan w:val="4"/>
            <w:shd w:val="clear" w:color="auto" w:fill="CCEEFF"/>
          </w:tcPr>
          <w:p>
            <w:pPr>
              <w:ind w:left="680"/>
              <w:spacing w:after="0"/>
              <w:rPr>
                <w:sz w:val="20"/>
                <w:szCs w:val="20"/>
                <w:color w:val="auto"/>
              </w:rPr>
            </w:pPr>
            <w:r>
              <w:rPr>
                <w:rFonts w:ascii="Arial" w:cs="Arial" w:eastAsia="Arial" w:hAnsi="Arial"/>
                <w:sz w:val="18"/>
                <w:szCs w:val="18"/>
                <w:color w:val="auto"/>
              </w:rPr>
              <w:t>8,585</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2007</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16,022</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ind w:left="680"/>
              <w:spacing w:after="0"/>
              <w:rPr>
                <w:sz w:val="20"/>
                <w:szCs w:val="20"/>
                <w:color w:val="auto"/>
              </w:rPr>
            </w:pPr>
            <w:r>
              <w:rPr>
                <w:rFonts w:ascii="Arial" w:cs="Arial" w:eastAsia="Arial" w:hAnsi="Arial"/>
                <w:sz w:val="18"/>
                <w:szCs w:val="18"/>
                <w:color w:val="auto"/>
              </w:rPr>
              <w:t>9,266</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16,734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600"/>
              <w:spacing w:after="0"/>
              <w:rPr>
                <w:sz w:val="20"/>
                <w:szCs w:val="20"/>
                <w:color w:val="auto"/>
              </w:rPr>
            </w:pPr>
            <w:r>
              <w:rPr>
                <w:rFonts w:ascii="Arial" w:cs="Arial" w:eastAsia="Arial" w:hAnsi="Arial"/>
                <w:sz w:val="18"/>
                <w:szCs w:val="18"/>
                <w:color w:val="auto"/>
                <w:w w:val="98"/>
              </w:rPr>
              <w:t>10,110</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2009</w:t>
            </w:r>
          </w:p>
        </w:tc>
        <w:tc>
          <w:tcPr>
            <w:tcW w:w="8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17,346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4"/>
          </w:tcPr>
          <w:p>
            <w:pPr>
              <w:ind w:left="600"/>
              <w:spacing w:after="0"/>
              <w:rPr>
                <w:sz w:val="20"/>
                <w:szCs w:val="20"/>
                <w:color w:val="auto"/>
              </w:rPr>
            </w:pPr>
            <w:r>
              <w:rPr>
                <w:rFonts w:ascii="Arial" w:cs="Arial" w:eastAsia="Arial" w:hAnsi="Arial"/>
                <w:sz w:val="18"/>
                <w:szCs w:val="18"/>
                <w:color w:val="auto"/>
                <w:w w:val="98"/>
              </w:rPr>
              <w:t>10,873</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gridSpan w:val="2"/>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8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17,823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tcBorders>
              <w:right w:val="single" w:sz="8" w:color="CCEEFF"/>
            </w:tcBorders>
            <w:gridSpan w:val="4"/>
            <w:shd w:val="clear" w:color="auto" w:fill="CCEEFF"/>
          </w:tcPr>
          <w:p>
            <w:pPr>
              <w:ind w:left="600"/>
              <w:spacing w:after="0"/>
              <w:rPr>
                <w:sz w:val="20"/>
                <w:szCs w:val="20"/>
                <w:color w:val="auto"/>
              </w:rPr>
            </w:pPr>
            <w:r>
              <w:rPr>
                <w:rFonts w:ascii="Arial" w:cs="Arial" w:eastAsia="Arial" w:hAnsi="Arial"/>
                <w:sz w:val="18"/>
                <w:szCs w:val="18"/>
                <w:color w:val="auto"/>
                <w:w w:val="98"/>
              </w:rPr>
              <w:t>11,471</w:t>
            </w: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160" w:type="dxa"/>
            <w:vAlign w:val="bottom"/>
            <w:gridSpan w:val="2"/>
          </w:tcPr>
          <w:p>
            <w:pPr>
              <w:spacing w:after="0"/>
              <w:rPr>
                <w:sz w:val="19"/>
                <w:szCs w:val="19"/>
                <w:color w:val="auto"/>
              </w:rPr>
            </w:pPr>
          </w:p>
        </w:tc>
        <w:tc>
          <w:tcPr>
            <w:tcW w:w="4840" w:type="dxa"/>
            <w:vAlign w:val="bottom"/>
          </w:tcPr>
          <w:p>
            <w:pPr>
              <w:spacing w:after="0"/>
              <w:rPr>
                <w:sz w:val="20"/>
                <w:szCs w:val="20"/>
                <w:color w:val="auto"/>
              </w:rPr>
            </w:pPr>
            <w:r>
              <w:rPr>
                <w:rFonts w:ascii="Arial" w:cs="Arial" w:eastAsia="Arial" w:hAnsi="Arial"/>
                <w:sz w:val="18"/>
                <w:szCs w:val="18"/>
                <w:color w:val="auto"/>
              </w:rPr>
              <w:t>2011-2015</w:t>
            </w: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gridSpan w:val="4"/>
          </w:tcPr>
          <w:p>
            <w:pPr>
              <w:jc w:val="right"/>
              <w:ind w:right="40"/>
              <w:spacing w:after="0"/>
              <w:rPr>
                <w:sz w:val="20"/>
                <w:szCs w:val="20"/>
                <w:color w:val="auto"/>
              </w:rPr>
            </w:pPr>
            <w:r>
              <w:rPr>
                <w:rFonts w:ascii="Arial" w:cs="Arial" w:eastAsia="Arial" w:hAnsi="Arial"/>
                <w:sz w:val="18"/>
                <w:szCs w:val="18"/>
                <w:color w:val="auto"/>
              </w:rPr>
              <w:t>99,941</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80" w:type="dxa"/>
            <w:vAlign w:val="bottom"/>
            <w:gridSpan w:val="4"/>
          </w:tcPr>
          <w:p>
            <w:pPr>
              <w:ind w:left="600"/>
              <w:spacing w:after="0"/>
              <w:rPr>
                <w:sz w:val="20"/>
                <w:szCs w:val="20"/>
                <w:color w:val="auto"/>
              </w:rPr>
            </w:pPr>
            <w:r>
              <w:rPr>
                <w:rFonts w:ascii="Arial" w:cs="Arial" w:eastAsia="Arial" w:hAnsi="Arial"/>
                <w:sz w:val="18"/>
                <w:szCs w:val="18"/>
                <w:color w:val="auto"/>
                <w:w w:val="98"/>
              </w:rPr>
              <w:t>70,256</w:t>
            </w:r>
          </w:p>
        </w:tc>
        <w:tc>
          <w:tcPr>
            <w:tcW w:w="10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-1669415</wp:posOffset>
            </wp:positionV>
            <wp:extent cx="12700" cy="298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3879215</wp:posOffset>
            </wp:positionH>
            <wp:positionV relativeFrom="paragraph">
              <wp:posOffset>-1669415</wp:posOffset>
            </wp:positionV>
            <wp:extent cx="3288665"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288665" cy="29845"/>
                    </a:xfrm>
                    <a:prstGeom prst="rect">
                      <a:avLst/>
                    </a:prstGeom>
                    <a:noFill/>
                  </pic:spPr>
                </pic:pic>
              </a:graphicData>
            </a:graphic>
          </wp:anchor>
        </w:drawing>
      </w:r>
    </w:p>
    <w:p>
      <w:pPr>
        <w:spacing w:after="0" w:line="181" w:lineRule="exact"/>
        <w:rPr>
          <w:sz w:val="20"/>
          <w:szCs w:val="20"/>
          <w:color w:val="auto"/>
        </w:rPr>
      </w:pPr>
    </w:p>
    <w:p>
      <w:pPr>
        <w:ind w:right="200"/>
        <w:spacing w:after="0" w:line="332" w:lineRule="auto"/>
        <w:rPr>
          <w:sz w:val="20"/>
          <w:szCs w:val="20"/>
          <w:color w:val="auto"/>
        </w:rPr>
      </w:pPr>
      <w:r>
        <w:rPr>
          <w:rFonts w:ascii="Arial" w:cs="Arial" w:eastAsia="Arial" w:hAnsi="Arial"/>
          <w:sz w:val="16"/>
          <w:szCs w:val="16"/>
          <w:color w:val="auto"/>
        </w:rPr>
        <w:t>The Company anticipates making contributions of approximately $5 million to its U.S. defined benefit pension plans in 2006. As most of the non-U.S. pension plans are unfunded, the Company’s anticipated contributions to these plans for 2006 are equal to its estimated benefits payments.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584" w:right="239" w:bottom="1440" w:gutter="0" w:footer="0" w:header="0"/>
        </w:sectPr>
      </w:pPr>
    </w:p>
    <w:bookmarkStart w:id="100" w:name="page101"/>
    <w:bookmarkEnd w:id="100"/>
    <w:p>
      <w:pPr>
        <w:spacing w:after="0"/>
        <w:rPr>
          <w:sz w:val="20"/>
          <w:szCs w:val="20"/>
          <w:color w:val="auto"/>
        </w:rPr>
      </w:pPr>
      <w:r>
        <w:rPr>
          <w:rFonts w:ascii="Arial" w:cs="Arial" w:eastAsia="Arial" w:hAnsi="Arial"/>
          <w:sz w:val="18"/>
          <w:szCs w:val="18"/>
          <w:b w:val="1"/>
          <w:bCs w:val="1"/>
          <w:u w:val="single" w:color="auto"/>
          <w:color w:val="auto"/>
        </w:rPr>
        <w:t>Note 11 – Pensions and Other Postretirement Benefits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Postretirement Benefits</w:t>
      </w:r>
    </w:p>
    <w:p>
      <w:pPr>
        <w:spacing w:after="0" w:line="225" w:lineRule="exact"/>
        <w:rPr>
          <w:sz w:val="20"/>
          <w:szCs w:val="20"/>
          <w:color w:val="auto"/>
        </w:rPr>
      </w:pPr>
    </w:p>
    <w:p>
      <w:pPr>
        <w:ind w:right="100"/>
        <w:spacing w:after="0" w:line="294" w:lineRule="auto"/>
        <w:rPr>
          <w:sz w:val="20"/>
          <w:szCs w:val="20"/>
          <w:color w:val="auto"/>
        </w:rPr>
      </w:pPr>
      <w:r>
        <w:rPr>
          <w:rFonts w:ascii="Arial" w:cs="Arial" w:eastAsia="Arial" w:hAnsi="Arial"/>
          <w:sz w:val="16"/>
          <w:szCs w:val="16"/>
          <w:color w:val="auto"/>
        </w:rPr>
        <w:t>In the U.S., the Company maintains two unfunded non-pension postretirement plans funded as costs are incurred. One plan is contributory, with employee contributions adjusted for general inflation or inflation in costs under the plan. The plan was amended in 1993 to cap employer contributions at 1993 levels. The second plan covers all full-time U.S. General Semiconductor employees not covered by a collective bargaining agreement who meet defined age and service requirements. This plan is the primary provider of medical benefits for retirees up to age 65, after which Medicare becomes the primary provider. The Company also maintains two unfunded non-pension postretirement plans at two European subsidiaries.</w:t>
      </w:r>
    </w:p>
    <w:p>
      <w:pPr>
        <w:spacing w:after="0" w:line="170"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In 2004, the Company entered into formal employment agreements with six of its executives. These employment agreements provide medical benefits for these executives and their surviving spouses for life, up to a $15,000 annual premium value per person. These benefits are fully vested, and accordingly, the obligations represent prior service costs which will be amortized over the average remaining expected services period for these six executives.</w:t>
      </w:r>
    </w:p>
    <w:p>
      <w:pPr>
        <w:spacing w:after="0" w:line="16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 xml:space="preserve">The following table sets forth a reconciliation of the benefit obligation, plan assets, and accrued benefit cost related to U.S. and non-U.S. non-pension defined benefit postretirement plans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gridSpan w:val="5"/>
          </w:tcPr>
          <w:p>
            <w:pPr>
              <w:jc w:val="right"/>
              <w:ind w:right="920"/>
              <w:spacing w:after="0"/>
              <w:rPr>
                <w:sz w:val="20"/>
                <w:szCs w:val="20"/>
                <w:color w:val="auto"/>
              </w:rPr>
            </w:pPr>
            <w:r>
              <w:rPr>
                <w:rFonts w:ascii="Arial" w:cs="Arial" w:eastAsia="Arial" w:hAnsi="Arial"/>
                <w:sz w:val="14"/>
                <w:szCs w:val="14"/>
                <w:b w:val="1"/>
                <w:bCs w:val="1"/>
                <w:color w:val="auto"/>
              </w:rPr>
              <w:t>December 31, 2005</w:t>
            </w:r>
          </w:p>
        </w:tc>
        <w:tc>
          <w:tcPr>
            <w:tcW w:w="140" w:type="dxa"/>
            <w:vAlign w:val="bottom"/>
          </w:tcPr>
          <w:p>
            <w:pPr>
              <w:spacing w:after="0"/>
              <w:rPr>
                <w:sz w:val="15"/>
                <w:szCs w:val="15"/>
                <w:color w:val="auto"/>
              </w:rPr>
            </w:pPr>
          </w:p>
        </w:tc>
        <w:tc>
          <w:tcPr>
            <w:tcW w:w="2540" w:type="dxa"/>
            <w:vAlign w:val="bottom"/>
            <w:gridSpan w:val="5"/>
          </w:tcPr>
          <w:p>
            <w:pPr>
              <w:jc w:val="right"/>
              <w:ind w:right="860"/>
              <w:spacing w:after="0"/>
              <w:rPr>
                <w:sz w:val="20"/>
                <w:szCs w:val="20"/>
                <w:color w:val="auto"/>
              </w:rPr>
            </w:pPr>
            <w:r>
              <w:rPr>
                <w:rFonts w:ascii="Arial" w:cs="Arial" w:eastAsia="Arial" w:hAnsi="Arial"/>
                <w:sz w:val="14"/>
                <w:szCs w:val="14"/>
                <w:b w:val="1"/>
                <w:bCs w:val="1"/>
                <w:color w:val="auto"/>
              </w:rPr>
              <w:t>December 31, 2004</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3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U.S.</w:t>
            </w:r>
          </w:p>
        </w:tc>
        <w:tc>
          <w:tcPr>
            <w:tcW w:w="200" w:type="dxa"/>
            <w:vAlign w:val="bottom"/>
          </w:tcPr>
          <w:p>
            <w:pPr>
              <w:spacing w:after="0"/>
              <w:rPr>
                <w:sz w:val="20"/>
                <w:szCs w:val="20"/>
                <w:color w:val="auto"/>
              </w:rPr>
            </w:pPr>
          </w:p>
        </w:tc>
        <w:tc>
          <w:tcPr>
            <w:tcW w:w="116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Non-U.S.</w:t>
            </w:r>
          </w:p>
        </w:tc>
        <w:tc>
          <w:tcPr>
            <w:tcW w:w="140" w:type="dxa"/>
            <w:vAlign w:val="bottom"/>
          </w:tcPr>
          <w:p>
            <w:pPr>
              <w:spacing w:after="0"/>
              <w:rPr>
                <w:sz w:val="20"/>
                <w:szCs w:val="20"/>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U.S.</w:t>
            </w:r>
          </w:p>
        </w:tc>
        <w:tc>
          <w:tcPr>
            <w:tcW w:w="140" w:type="dxa"/>
            <w:vAlign w:val="bottom"/>
          </w:tcPr>
          <w:p>
            <w:pPr>
              <w:spacing w:after="0"/>
              <w:rPr>
                <w:sz w:val="20"/>
                <w:szCs w:val="20"/>
                <w:color w:val="auto"/>
              </w:rPr>
            </w:pPr>
          </w:p>
        </w:tc>
        <w:tc>
          <w:tcPr>
            <w:tcW w:w="11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Plans</w:t>
            </w:r>
          </w:p>
        </w:tc>
        <w:tc>
          <w:tcPr>
            <w:tcW w:w="200" w:type="dxa"/>
            <w:vAlign w:val="bottom"/>
          </w:tcPr>
          <w:p>
            <w:pPr>
              <w:spacing w:after="0"/>
              <w:rPr>
                <w:sz w:val="15"/>
                <w:szCs w:val="15"/>
                <w:color w:val="auto"/>
              </w:rPr>
            </w:pPr>
          </w:p>
        </w:tc>
        <w:tc>
          <w:tcPr>
            <w:tcW w:w="116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Plans</w:t>
            </w:r>
          </w:p>
        </w:tc>
        <w:tc>
          <w:tcPr>
            <w:tcW w:w="140" w:type="dxa"/>
            <w:vAlign w:val="bottom"/>
          </w:tcPr>
          <w:p>
            <w:pPr>
              <w:spacing w:after="0"/>
              <w:rPr>
                <w:sz w:val="15"/>
                <w:szCs w:val="15"/>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4"/>
                <w:szCs w:val="14"/>
                <w:b w:val="1"/>
                <w:bCs w:val="1"/>
                <w:color w:val="auto"/>
              </w:rPr>
              <w:t>Plans</w:t>
            </w:r>
          </w:p>
        </w:tc>
        <w:tc>
          <w:tcPr>
            <w:tcW w:w="140" w:type="dxa"/>
            <w:vAlign w:val="bottom"/>
          </w:tcPr>
          <w:p>
            <w:pPr>
              <w:spacing w:after="0"/>
              <w:rPr>
                <w:sz w:val="15"/>
                <w:szCs w:val="15"/>
                <w:color w:val="auto"/>
              </w:rPr>
            </w:pPr>
          </w:p>
        </w:tc>
        <w:tc>
          <w:tcPr>
            <w:tcW w:w="11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benefit obligation:</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Benefit obligation at beginning of year</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21,707</w:t>
            </w:r>
          </w:p>
        </w:tc>
        <w:tc>
          <w:tcPr>
            <w:tcW w:w="180" w:type="dxa"/>
            <w:vAlign w:val="bottom"/>
          </w:tcPr>
          <w:p>
            <w:pPr>
              <w:spacing w:after="0"/>
              <w:rPr>
                <w:sz w:val="18"/>
                <w:szCs w:val="18"/>
                <w:color w:val="auto"/>
              </w:rPr>
            </w:pP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9,162</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21,178</w:t>
            </w: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9,738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Interest cost</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1,196</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380</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Plan amendments and initiations</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Actuarial (gains) losses</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(6)</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351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Benefits paid</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(1,537)</w:t>
            </w: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(1,118)</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(1,317)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Currency translation</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(1,181)</w:t>
            </w:r>
          </w:p>
        </w:tc>
        <w:tc>
          <w:tcPr>
            <w:tcW w:w="140" w:type="dxa"/>
            <w:vAlign w:val="bottom"/>
          </w:tcPr>
          <w:p>
            <w:pPr>
              <w:spacing w:after="0"/>
              <w:rPr>
                <w:sz w:val="19"/>
                <w:szCs w:val="19"/>
                <w:color w:val="auto"/>
              </w:rPr>
            </w:pPr>
          </w:p>
        </w:tc>
        <w:tc>
          <w:tcPr>
            <w:tcW w:w="124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692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Benefit obligation at end of year</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21,640</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8,009</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9,162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Fair value of plan assets at end of year</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Funded status</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(21,640)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(21,707)</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Unrecognized net actuarial (gain) loss</w:t>
            </w: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(195)</w:t>
            </w:r>
          </w:p>
        </w:tc>
        <w:tc>
          <w:tcPr>
            <w:tcW w:w="200" w:type="dxa"/>
            <w:vAlign w:val="bottom"/>
          </w:tcPr>
          <w:p>
            <w:pPr>
              <w:spacing w:after="0"/>
              <w:rPr>
                <w:sz w:val="18"/>
                <w:szCs w:val="18"/>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color w:val="auto"/>
              </w:rPr>
              <w:t>Unamortized prior service cost</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357</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Unrecognized net transition obligation</w:t>
            </w: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1,568</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1,542</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amount recognized</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(19,910)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300" w:type="dxa"/>
            <w:vAlign w:val="bottom"/>
          </w:tcPr>
          <w:p>
            <w:pPr>
              <w:spacing w:after="0"/>
              <w:rPr>
                <w:sz w:val="11"/>
                <w:szCs w:val="11"/>
                <w:color w:val="auto"/>
              </w:rPr>
            </w:pPr>
          </w:p>
        </w:tc>
        <w:tc>
          <w:tcPr>
            <w:tcW w:w="17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4300" w:type="dxa"/>
            <w:vAlign w:val="bottom"/>
          </w:tcPr>
          <w:p>
            <w:pPr>
              <w:spacing w:after="0"/>
              <w:rPr>
                <w:sz w:val="9"/>
                <w:szCs w:val="9"/>
                <w:color w:val="auto"/>
              </w:rPr>
            </w:pPr>
          </w:p>
        </w:tc>
        <w:tc>
          <w:tcPr>
            <w:tcW w:w="1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Reconciliation of net amount recognized:</w:t>
            </w:r>
          </w:p>
        </w:tc>
        <w:tc>
          <w:tcPr>
            <w:tcW w:w="1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300" w:type="dxa"/>
            <w:vAlign w:val="bottom"/>
          </w:tcPr>
          <w:p>
            <w:pPr>
              <w:spacing w:after="0"/>
              <w:rPr>
                <w:sz w:val="20"/>
                <w:szCs w:val="20"/>
                <w:color w:val="auto"/>
              </w:rPr>
            </w:pPr>
            <w:r>
              <w:rPr>
                <w:rFonts w:ascii="Arial" w:cs="Arial" w:eastAsia="Arial" w:hAnsi="Arial"/>
                <w:sz w:val="18"/>
                <w:szCs w:val="18"/>
                <w:color w:val="auto"/>
              </w:rPr>
              <w:t>Accrued benefit liability</w:t>
            </w:r>
          </w:p>
        </w:tc>
        <w:tc>
          <w:tcPr>
            <w:tcW w:w="1840" w:type="dxa"/>
            <w:vAlign w:val="bottom"/>
            <w:gridSpan w:val="3"/>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(19,910)</w:t>
            </w:r>
          </w:p>
        </w:tc>
        <w:tc>
          <w:tcPr>
            <w:tcW w:w="200" w:type="dxa"/>
            <w:vAlign w:val="bottom"/>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(8,009)</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60"/>
              <w:spacing w:after="0"/>
              <w:rPr>
                <w:sz w:val="20"/>
                <w:szCs w:val="20"/>
                <w:color w:val="auto"/>
              </w:rPr>
            </w:pPr>
            <w:r>
              <w:rPr>
                <w:rFonts w:ascii="Arial" w:cs="Arial" w:eastAsia="Arial" w:hAnsi="Arial"/>
                <w:sz w:val="18"/>
                <w:szCs w:val="18"/>
                <w:color w:val="auto"/>
              </w:rPr>
              <w:t>(19,704)</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300" w:type="dxa"/>
            <w:vAlign w:val="bottom"/>
          </w:tcPr>
          <w:p>
            <w:pPr>
              <w:spacing w:after="0"/>
              <w:rPr>
                <w:sz w:val="8"/>
                <w:szCs w:val="8"/>
                <w:color w:val="auto"/>
              </w:rPr>
            </w:pPr>
          </w:p>
        </w:tc>
        <w:tc>
          <w:tcPr>
            <w:tcW w:w="1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amount recognized</w:t>
            </w:r>
          </w:p>
        </w:tc>
        <w:tc>
          <w:tcPr>
            <w:tcW w:w="18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(19,910)</w:t>
            </w: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b w:val="1"/>
                <w:bCs w:val="1"/>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(8,009)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(19,704)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(9,162)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1720" w:type="dxa"/>
            <w:vAlign w:val="bottom"/>
            <w:gridSpan w:val="2"/>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518"/>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1840" w:type="dxa"/>
            <w:vAlign w:val="bottom"/>
            <w:gridSpan w:val="3"/>
          </w:tcPr>
          <w:p>
            <w:pPr>
              <w:jc w:val="right"/>
              <w:ind w:right="280"/>
              <w:spacing w:after="0"/>
              <w:rPr>
                <w:sz w:val="20"/>
                <w:szCs w:val="20"/>
                <w:color w:val="auto"/>
              </w:rPr>
            </w:pPr>
            <w:r>
              <w:rPr>
                <w:rFonts w:ascii="Arial" w:cs="Arial" w:eastAsia="Arial" w:hAnsi="Arial"/>
                <w:sz w:val="18"/>
                <w:szCs w:val="18"/>
                <w:color w:val="auto"/>
              </w:rPr>
              <w:t>F-41</w:t>
            </w: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3819525</wp:posOffset>
            </wp:positionH>
            <wp:positionV relativeFrom="paragraph">
              <wp:posOffset>-2384425</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-2384425</wp:posOffset>
            </wp:positionV>
            <wp:extent cx="1270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-2384425</wp:posOffset>
            </wp:positionV>
            <wp:extent cx="12700" cy="298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-2384425</wp:posOffset>
            </wp:positionV>
            <wp:extent cx="12700" cy="298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-2384425</wp:posOffset>
            </wp:positionV>
            <wp:extent cx="12700" cy="298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-2384425</wp:posOffset>
            </wp:positionV>
            <wp:extent cx="12700" cy="298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-2384425</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-2384425</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-2384425</wp:posOffset>
            </wp:positionV>
            <wp:extent cx="1270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-2384425</wp:posOffset>
            </wp:positionV>
            <wp:extent cx="12700"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-2384425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-2384425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-2084070</wp:posOffset>
            </wp:positionV>
            <wp:extent cx="3374390"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7439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-1089025</wp:posOffset>
            </wp:positionV>
            <wp:extent cx="12700" cy="298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4556760</wp:posOffset>
            </wp:positionH>
            <wp:positionV relativeFrom="paragraph">
              <wp:posOffset>-1089025</wp:posOffset>
            </wp:positionV>
            <wp:extent cx="12700" cy="298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3888105</wp:posOffset>
            </wp:positionH>
            <wp:positionV relativeFrom="paragraph">
              <wp:posOffset>-1089025</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-1089025</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-1089025</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-1089025</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5551805</wp:posOffset>
            </wp:positionH>
            <wp:positionV relativeFrom="paragraph">
              <wp:posOffset>-1089025</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6297930</wp:posOffset>
            </wp:positionH>
            <wp:positionV relativeFrom="paragraph">
              <wp:posOffset>-1089025</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-1089025</wp:posOffset>
            </wp:positionV>
            <wp:extent cx="1270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6426200</wp:posOffset>
            </wp:positionH>
            <wp:positionV relativeFrom="paragraph">
              <wp:posOffset>-1089025</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-1089025</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-1089025</wp:posOffset>
            </wp:positionV>
            <wp:extent cx="1270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-368935</wp:posOffset>
            </wp:positionV>
            <wp:extent cx="3374390" cy="298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7439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1" w:name="page102"/>
    <w:bookmarkEnd w:id="101"/>
    <w:p>
      <w:pPr>
        <w:spacing w:after="0"/>
        <w:rPr>
          <w:sz w:val="20"/>
          <w:szCs w:val="20"/>
          <w:color w:val="auto"/>
        </w:rPr>
      </w:pPr>
      <w:r>
        <w:rPr>
          <w:rFonts w:ascii="Arial" w:cs="Arial" w:eastAsia="Arial" w:hAnsi="Arial"/>
          <w:sz w:val="18"/>
          <w:szCs w:val="18"/>
          <w:b w:val="1"/>
          <w:bCs w:val="1"/>
          <w:u w:val="single" w:color="auto"/>
          <w:color w:val="auto"/>
        </w:rPr>
        <w:t>Note 11 – Pensions and Other Postretirement Benefits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the components of net periodic benefit cost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0" w:type="dxa"/>
            <w:vAlign w:val="bottom"/>
            <w:gridSpan w:val="4"/>
          </w:tcPr>
          <w:p>
            <w:pPr>
              <w:jc w:val="right"/>
              <w:ind w:right="317"/>
              <w:spacing w:after="0"/>
              <w:rPr>
                <w:sz w:val="20"/>
                <w:szCs w:val="20"/>
                <w:color w:val="auto"/>
              </w:rPr>
            </w:pPr>
            <w:r>
              <w:rPr>
                <w:rFonts w:ascii="Arial" w:cs="Arial" w:eastAsia="Arial" w:hAnsi="Arial"/>
                <w:sz w:val="14"/>
                <w:szCs w:val="14"/>
                <w:b w:val="1"/>
                <w:bCs w:val="1"/>
                <w:color w:val="auto"/>
                <w:w w:val="99"/>
              </w:rPr>
              <w:t>Years ended December 31,</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9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40" w:type="dxa"/>
            <w:vAlign w:val="bottom"/>
            <w:gridSpan w:val="4"/>
          </w:tcPr>
          <w:p>
            <w:pPr>
              <w:jc w:val="right"/>
              <w:ind w:right="100"/>
              <w:spacing w:after="0"/>
              <w:rPr>
                <w:sz w:val="20"/>
                <w:szCs w:val="20"/>
                <w:color w:val="auto"/>
              </w:rPr>
            </w:pPr>
            <w:r>
              <w:rPr>
                <w:rFonts w:ascii="Arial" w:cs="Arial" w:eastAsia="Arial" w:hAnsi="Arial"/>
                <w:sz w:val="14"/>
                <w:szCs w:val="14"/>
                <w:b w:val="1"/>
                <w:bCs w:val="1"/>
                <w:color w:val="auto"/>
              </w:rPr>
              <w:t>2005</w:t>
            </w:r>
          </w:p>
        </w:tc>
        <w:tc>
          <w:tcPr>
            <w:tcW w:w="9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6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2004</w:t>
            </w:r>
          </w:p>
        </w:tc>
        <w:tc>
          <w:tcPr>
            <w:tcW w:w="9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rPr>
              <w:t>2003</w:t>
            </w: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U.S.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ind w:left="140"/>
              <w:spacing w:after="0"/>
              <w:rPr>
                <w:sz w:val="20"/>
                <w:szCs w:val="20"/>
                <w:color w:val="auto"/>
              </w:rPr>
            </w:pPr>
            <w:r>
              <w:rPr>
                <w:rFonts w:ascii="Arial" w:cs="Arial" w:eastAsia="Arial" w:hAnsi="Arial"/>
                <w:sz w:val="14"/>
                <w:szCs w:val="14"/>
                <w:b w:val="1"/>
                <w:bCs w:val="1"/>
                <w:color w:val="auto"/>
              </w:rPr>
              <w:t>Non-U.S.</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jc w:val="right"/>
              <w:ind w:right="340"/>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ind w:left="120"/>
              <w:spacing w:after="0"/>
              <w:rPr>
                <w:sz w:val="20"/>
                <w:szCs w:val="20"/>
                <w:color w:val="auto"/>
              </w:rPr>
            </w:pPr>
            <w:r>
              <w:rPr>
                <w:rFonts w:ascii="Arial" w:cs="Arial" w:eastAsia="Arial" w:hAnsi="Arial"/>
                <w:sz w:val="14"/>
                <w:szCs w:val="14"/>
                <w:b w:val="1"/>
                <w:bCs w:val="1"/>
                <w:color w:val="auto"/>
              </w:rPr>
              <w:t>Non-U.S.</w:t>
            </w: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jc w:val="right"/>
              <w:ind w:right="359"/>
              <w:spacing w:after="0"/>
              <w:rPr>
                <w:sz w:val="20"/>
                <w:szCs w:val="20"/>
                <w:color w:val="auto"/>
              </w:rPr>
            </w:pPr>
            <w:r>
              <w:rPr>
                <w:rFonts w:ascii="Arial" w:cs="Arial" w:eastAsia="Arial" w:hAnsi="Arial"/>
                <w:sz w:val="14"/>
                <w:szCs w:val="14"/>
                <w:b w:val="1"/>
                <w:bCs w:val="1"/>
                <w:color w:val="auto"/>
              </w:rPr>
              <w:t>U.S.</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ind w:left="80"/>
              <w:spacing w:after="0"/>
              <w:rPr>
                <w:sz w:val="20"/>
                <w:szCs w:val="20"/>
                <w:color w:val="auto"/>
              </w:rPr>
            </w:pPr>
            <w:r>
              <w:rPr>
                <w:rFonts w:ascii="Arial" w:cs="Arial" w:eastAsia="Arial" w:hAnsi="Arial"/>
                <w:sz w:val="14"/>
                <w:szCs w:val="14"/>
                <w:b w:val="1"/>
                <w:bCs w:val="1"/>
                <w:color w:val="auto"/>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9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Plans</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ind w:left="240"/>
              <w:spacing w:after="0"/>
              <w:rPr>
                <w:sz w:val="20"/>
                <w:szCs w:val="20"/>
                <w:color w:val="auto"/>
              </w:rPr>
            </w:pPr>
            <w:r>
              <w:rPr>
                <w:rFonts w:ascii="Arial" w:cs="Arial" w:eastAsia="Arial" w:hAnsi="Arial"/>
                <w:sz w:val="14"/>
                <w:szCs w:val="14"/>
                <w:b w:val="1"/>
                <w:bCs w:val="1"/>
                <w:color w:val="auto"/>
              </w:rPr>
              <w:t>Plans</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20"/>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40" w:type="dxa"/>
            <w:vAlign w:val="bottom"/>
          </w:tcPr>
          <w:p>
            <w:pPr>
              <w:jc w:val="right"/>
              <w:ind w:right="319"/>
              <w:spacing w:after="0"/>
              <w:rPr>
                <w:sz w:val="20"/>
                <w:szCs w:val="20"/>
                <w:color w:val="auto"/>
              </w:rPr>
            </w:pPr>
            <w:r>
              <w:rPr>
                <w:rFonts w:ascii="Arial" w:cs="Arial" w:eastAsia="Arial" w:hAnsi="Arial"/>
                <w:sz w:val="14"/>
                <w:szCs w:val="14"/>
                <w:b w:val="1"/>
                <w:bCs w:val="1"/>
                <w:color w:val="auto"/>
              </w:rPr>
              <w:t>Plans</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gridSpan w:val="2"/>
          </w:tcPr>
          <w:p>
            <w:pPr>
              <w:ind w:left="180"/>
              <w:spacing w:after="0"/>
              <w:rPr>
                <w:sz w:val="20"/>
                <w:szCs w:val="20"/>
                <w:color w:val="auto"/>
              </w:rPr>
            </w:pPr>
            <w:r>
              <w:rPr>
                <w:rFonts w:ascii="Arial" w:cs="Arial" w:eastAsia="Arial" w:hAnsi="Arial"/>
                <w:sz w:val="14"/>
                <w:szCs w:val="14"/>
                <w:b w:val="1"/>
                <w:bCs w:val="1"/>
                <w:color w:val="auto"/>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Service cost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280</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415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497</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481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Interest cost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1,196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w w:val="86"/>
              </w:rPr>
              <w:t>410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ind w:left="640"/>
              <w:spacing w:after="0"/>
              <w:rPr>
                <w:sz w:val="20"/>
                <w:szCs w:val="20"/>
                <w:color w:val="auto"/>
              </w:rPr>
            </w:pPr>
            <w:r>
              <w:rPr>
                <w:rFonts w:ascii="Arial" w:cs="Arial" w:eastAsia="Arial" w:hAnsi="Arial"/>
                <w:sz w:val="18"/>
                <w:szCs w:val="18"/>
                <w:color w:val="auto"/>
                <w:w w:val="93"/>
              </w:rPr>
              <w:t>381</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1,358</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Arial" w:cs="Arial" w:eastAsia="Arial" w:hAnsi="Arial"/>
                <w:sz w:val="18"/>
                <w:szCs w:val="18"/>
                <w:color w:val="auto"/>
                <w:w w:val="86"/>
              </w:rPr>
              <w:t>367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actuarial gains</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39"/>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tcPr>
          <w:p>
            <w:pPr>
              <w:spacing w:after="0"/>
              <w:rPr>
                <w:sz w:val="20"/>
                <w:szCs w:val="20"/>
                <w:color w:val="auto"/>
              </w:rPr>
            </w:pPr>
            <w:r>
              <w:rPr>
                <w:rFonts w:ascii="Arial" w:cs="Arial" w:eastAsia="Arial" w:hAnsi="Arial"/>
                <w:sz w:val="18"/>
                <w:szCs w:val="18"/>
                <w:color w:val="auto"/>
              </w:rPr>
              <w:t>Amortization of prior service cost</w:t>
            </w: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86</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ind w:left="660"/>
              <w:spacing w:after="0"/>
              <w:rPr>
                <w:sz w:val="20"/>
                <w:szCs w:val="20"/>
                <w:color w:val="auto"/>
              </w:rPr>
            </w:pPr>
            <w:r>
              <w:rPr>
                <w:rFonts w:ascii="Arial" w:cs="Arial" w:eastAsia="Arial" w:hAnsi="Arial"/>
                <w:sz w:val="18"/>
                <w:szCs w:val="18"/>
                <w:b w:val="1"/>
                <w:bCs w:val="1"/>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ind w:left="6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47</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Amortization of transition obligation</w:t>
            </w: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193</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w:t>
            </w: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92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90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periodic benefit cost</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b w:val="1"/>
                <w:bCs w:val="1"/>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1,743</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w:t>
            </w:r>
          </w:p>
        </w:tc>
        <w:tc>
          <w:tcPr>
            <w:tcW w:w="940" w:type="dxa"/>
            <w:vAlign w:val="bottom"/>
            <w:shd w:val="clear" w:color="auto" w:fill="CCEEFF"/>
          </w:tcPr>
          <w:p>
            <w:pPr>
              <w:ind w:left="660"/>
              <w:spacing w:after="0"/>
              <w:rPr>
                <w:sz w:val="20"/>
                <w:szCs w:val="20"/>
                <w:color w:val="auto"/>
              </w:rPr>
            </w:pPr>
            <w:r>
              <w:rPr>
                <w:rFonts w:ascii="Arial" w:cs="Arial" w:eastAsia="Arial" w:hAnsi="Arial"/>
                <w:sz w:val="18"/>
                <w:szCs w:val="18"/>
                <w:b w:val="1"/>
                <w:bCs w:val="1"/>
                <w:color w:val="auto"/>
                <w:w w:val="86"/>
              </w:rPr>
              <w:t>825</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1,813</w:t>
            </w:r>
          </w:p>
        </w:tc>
        <w:tc>
          <w:tcPr>
            <w:tcW w:w="3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ind w:left="640"/>
              <w:spacing w:after="0"/>
              <w:rPr>
                <w:sz w:val="20"/>
                <w:szCs w:val="20"/>
                <w:color w:val="auto"/>
              </w:rPr>
            </w:pPr>
            <w:r>
              <w:rPr>
                <w:rFonts w:ascii="Arial" w:cs="Arial" w:eastAsia="Arial" w:hAnsi="Arial"/>
                <w:sz w:val="18"/>
                <w:szCs w:val="18"/>
                <w:color w:val="auto"/>
                <w:w w:val="93"/>
              </w:rPr>
              <w:t>878</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3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6"/>
              </w:rPr>
              <w:t>848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9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2506980</wp:posOffset>
            </wp:positionH>
            <wp:positionV relativeFrom="paragraph">
              <wp:posOffset>-29210</wp:posOffset>
            </wp:positionV>
            <wp:extent cx="12700" cy="298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2575560</wp:posOffset>
            </wp:positionH>
            <wp:positionV relativeFrom="paragraph">
              <wp:posOffset>-29210</wp:posOffset>
            </wp:positionV>
            <wp:extent cx="4617720" cy="298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61772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color w:val="auto"/>
        </w:rPr>
        <w:t>The following weighted average assumptions were used to determine benefit obligations at December 31 of the respective years: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400" w:type="dxa"/>
            <w:vAlign w:val="bottom"/>
            <w:gridSpan w:val="3"/>
          </w:tcPr>
          <w:p>
            <w:pPr>
              <w:jc w:val="right"/>
              <w:ind w:right="732"/>
              <w:spacing w:after="0"/>
              <w:rPr>
                <w:sz w:val="20"/>
                <w:szCs w:val="20"/>
                <w:color w:val="auto"/>
              </w:rPr>
            </w:pPr>
            <w:r>
              <w:rPr>
                <w:rFonts w:ascii="Arial" w:cs="Arial" w:eastAsia="Arial" w:hAnsi="Arial"/>
                <w:sz w:val="14"/>
                <w:szCs w:val="14"/>
                <w:b w:val="1"/>
                <w:bCs w:val="1"/>
                <w:color w:val="auto"/>
              </w:rPr>
              <w:t>2005</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800" w:type="dxa"/>
            <w:vAlign w:val="bottom"/>
          </w:tcPr>
          <w:p>
            <w:pPr>
              <w:jc w:val="center"/>
              <w:ind w:left="292"/>
              <w:spacing w:after="0"/>
              <w:rPr>
                <w:sz w:val="20"/>
                <w:szCs w:val="20"/>
                <w:color w:val="auto"/>
              </w:rPr>
            </w:pPr>
            <w:r>
              <w:rPr>
                <w:rFonts w:ascii="Arial" w:cs="Arial" w:eastAsia="Arial" w:hAnsi="Arial"/>
                <w:sz w:val="14"/>
                <w:szCs w:val="14"/>
                <w:b w:val="1"/>
                <w:bCs w:val="1"/>
                <w:color w:val="auto"/>
                <w:w w:val="87"/>
              </w:rPr>
              <w:t>U.S.</w:t>
            </w:r>
          </w:p>
        </w:tc>
        <w:tc>
          <w:tcPr>
            <w:tcW w:w="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center"/>
              <w:ind w:left="252"/>
              <w:spacing w:after="0"/>
              <w:rPr>
                <w:sz w:val="20"/>
                <w:szCs w:val="20"/>
                <w:color w:val="auto"/>
              </w:rPr>
            </w:pPr>
            <w:r>
              <w:rPr>
                <w:rFonts w:ascii="Arial" w:cs="Arial" w:eastAsia="Arial" w:hAnsi="Arial"/>
                <w:sz w:val="14"/>
                <w:szCs w:val="14"/>
                <w:b w:val="1"/>
                <w:bCs w:val="1"/>
                <w:color w:val="auto"/>
                <w:w w:val="87"/>
              </w:rPr>
              <w:t>Non-U.S.</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center"/>
              <w:ind w:left="272"/>
              <w:spacing w:after="0"/>
              <w:rPr>
                <w:sz w:val="20"/>
                <w:szCs w:val="20"/>
                <w:color w:val="auto"/>
              </w:rPr>
            </w:pPr>
            <w:r>
              <w:rPr>
                <w:rFonts w:ascii="Arial" w:cs="Arial" w:eastAsia="Arial" w:hAnsi="Arial"/>
                <w:sz w:val="14"/>
                <w:szCs w:val="14"/>
                <w:b w:val="1"/>
                <w:bCs w:val="1"/>
                <w:color w:val="auto"/>
                <w:w w:val="87"/>
              </w:rPr>
              <w:t>U.S.</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800" w:type="dxa"/>
            <w:vAlign w:val="bottom"/>
          </w:tcPr>
          <w:p>
            <w:pPr>
              <w:jc w:val="center"/>
              <w:ind w:left="292"/>
              <w:spacing w:after="0"/>
              <w:rPr>
                <w:sz w:val="20"/>
                <w:szCs w:val="20"/>
                <w:color w:val="auto"/>
              </w:rPr>
            </w:pPr>
            <w:r>
              <w:rPr>
                <w:rFonts w:ascii="Arial" w:cs="Arial" w:eastAsia="Arial" w:hAnsi="Arial"/>
                <w:sz w:val="14"/>
                <w:szCs w:val="14"/>
                <w:b w:val="1"/>
                <w:bCs w:val="1"/>
                <w:color w:val="auto"/>
                <w:w w:val="85"/>
              </w:rPr>
              <w:t>Plans</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40" w:type="dxa"/>
            <w:vAlign w:val="bottom"/>
          </w:tcPr>
          <w:p>
            <w:pPr>
              <w:jc w:val="center"/>
              <w:ind w:left="252"/>
              <w:spacing w:after="0"/>
              <w:rPr>
                <w:sz w:val="20"/>
                <w:szCs w:val="20"/>
                <w:color w:val="auto"/>
              </w:rPr>
            </w:pPr>
            <w:r>
              <w:rPr>
                <w:rFonts w:ascii="Arial" w:cs="Arial" w:eastAsia="Arial" w:hAnsi="Arial"/>
                <w:sz w:val="14"/>
                <w:szCs w:val="14"/>
                <w:b w:val="1"/>
                <w:bCs w:val="1"/>
                <w:color w:val="auto"/>
                <w:w w:val="85"/>
              </w:rPr>
              <w:t>Plans</w:t>
            </w: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jc w:val="center"/>
              <w:ind w:left="272"/>
              <w:spacing w:after="0"/>
              <w:rPr>
                <w:sz w:val="20"/>
                <w:szCs w:val="20"/>
                <w:color w:val="auto"/>
              </w:rPr>
            </w:pPr>
            <w:r>
              <w:rPr>
                <w:rFonts w:ascii="Arial" w:cs="Arial" w:eastAsia="Arial" w:hAnsi="Arial"/>
                <w:sz w:val="14"/>
                <w:szCs w:val="14"/>
                <w:b w:val="1"/>
                <w:bCs w:val="1"/>
                <w:color w:val="auto"/>
                <w:w w:val="85"/>
              </w:rPr>
              <w:t>Plans</w:t>
            </w:r>
          </w:p>
        </w:tc>
        <w:tc>
          <w:tcPr>
            <w:tcW w:w="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800" w:type="dxa"/>
            <w:vAlign w:val="bottom"/>
          </w:tcPr>
          <w:p>
            <w:pPr>
              <w:spacing w:after="0"/>
              <w:rPr>
                <w:sz w:val="8"/>
                <w:szCs w:val="8"/>
                <w:color w:val="auto"/>
              </w:rPr>
            </w:pPr>
          </w:p>
        </w:tc>
        <w:tc>
          <w:tcPr>
            <w:tcW w:w="380" w:type="dxa"/>
            <w:vAlign w:val="bottom"/>
          </w:tcPr>
          <w:p>
            <w:pPr>
              <w:spacing w:after="0"/>
              <w:rPr>
                <w:sz w:val="8"/>
                <w:szCs w:val="8"/>
                <w:color w:val="auto"/>
              </w:rPr>
            </w:pPr>
          </w:p>
        </w:tc>
        <w:tc>
          <w:tcPr>
            <w:tcW w:w="180" w:type="dxa"/>
            <w:vAlign w:val="bottom"/>
          </w:tcPr>
          <w:p>
            <w:pPr>
              <w:spacing w:after="0"/>
              <w:rPr>
                <w:sz w:val="8"/>
                <w:szCs w:val="8"/>
                <w:color w:val="auto"/>
              </w:rPr>
            </w:pPr>
          </w:p>
        </w:tc>
        <w:tc>
          <w:tcPr>
            <w:tcW w:w="8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7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Discount rate</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5.50%</w:t>
            </w:r>
          </w:p>
        </w:tc>
        <w:tc>
          <w:tcPr>
            <w:tcW w:w="84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3"/>
              </w:rPr>
              <w:t>4.00%</w:t>
            </w:r>
          </w:p>
        </w:tc>
        <w:tc>
          <w:tcPr>
            <w:tcW w:w="78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6.00%</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weighted-average assumptions were used to determine the net periodic pension costs for the years ended December 31, 2005 and 2004:</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740" w:type="dxa"/>
            <w:vAlign w:val="bottom"/>
            <w:gridSpan w:val="5"/>
          </w:tcPr>
          <w:p>
            <w:pPr>
              <w:jc w:val="right"/>
              <w:ind w:right="880"/>
              <w:spacing w:after="0"/>
              <w:rPr>
                <w:sz w:val="20"/>
                <w:szCs w:val="20"/>
                <w:color w:val="auto"/>
              </w:rPr>
            </w:pPr>
            <w:r>
              <w:rPr>
                <w:rFonts w:ascii="Arial" w:cs="Arial" w:eastAsia="Arial" w:hAnsi="Arial"/>
                <w:sz w:val="14"/>
                <w:szCs w:val="14"/>
                <w:b w:val="1"/>
                <w:bCs w:val="1"/>
                <w:color w:val="auto"/>
              </w:rPr>
              <w:t>Years ended December 31,</w:t>
            </w:r>
          </w:p>
        </w:tc>
        <w:tc>
          <w:tcPr>
            <w:tcW w:w="10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980" w:type="dxa"/>
            <w:vAlign w:val="bottom"/>
          </w:tcPr>
          <w:p>
            <w:pPr>
              <w:spacing w:after="0"/>
              <w:rPr>
                <w:sz w:val="22"/>
                <w:szCs w:val="22"/>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2005</w:t>
            </w:r>
          </w:p>
        </w:tc>
        <w:tc>
          <w:tcPr>
            <w:tcW w:w="10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54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rPr>
              <w:t>2004</w:t>
            </w: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980" w:type="dxa"/>
            <w:vAlign w:val="bottom"/>
          </w:tcPr>
          <w:p>
            <w:pPr>
              <w:spacing w:after="0"/>
              <w:rPr>
                <w:sz w:val="20"/>
                <w:szCs w:val="20"/>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7"/>
              </w:rPr>
              <w:t>U.S.</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7"/>
              </w:rPr>
              <w:t>Non-U.S.</w:t>
            </w: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U.S.</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7"/>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980" w:type="dxa"/>
            <w:vAlign w:val="bottom"/>
          </w:tcPr>
          <w:p>
            <w:pPr>
              <w:spacing w:after="0"/>
              <w:rPr>
                <w:sz w:val="15"/>
                <w:szCs w:val="15"/>
                <w:color w:val="auto"/>
              </w:rPr>
            </w:pPr>
          </w:p>
        </w:tc>
        <w:tc>
          <w:tcPr>
            <w:tcW w:w="154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85"/>
              </w:rPr>
              <w:t>Plans</w:t>
            </w:r>
          </w:p>
        </w:tc>
        <w:tc>
          <w:tcPr>
            <w:tcW w:w="120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5"/>
              </w:rPr>
              <w:t>Plans</w:t>
            </w:r>
          </w:p>
        </w:tc>
        <w:tc>
          <w:tcPr>
            <w:tcW w:w="154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5"/>
              </w:rPr>
              <w:t>Plans</w:t>
            </w:r>
          </w:p>
        </w:tc>
        <w:tc>
          <w:tcPr>
            <w:tcW w:w="11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9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Discount rate</w:t>
            </w:r>
          </w:p>
        </w:tc>
        <w:tc>
          <w:tcPr>
            <w:tcW w:w="13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6.00%</w:t>
            </w: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4.50%</w:t>
            </w:r>
          </w:p>
        </w:tc>
        <w:tc>
          <w:tcPr>
            <w:tcW w:w="1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6.25%</w:t>
            </w:r>
          </w:p>
        </w:tc>
        <w:tc>
          <w:tcPr>
            <w:tcW w:w="1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The impact of a one-percentage-point change in assumed health care cost trend rates on the net periodic benefit cost and postretirement benefit obligation is not material.</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Estimated future benefit payments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80" w:type="dxa"/>
            <w:vAlign w:val="bottom"/>
          </w:tcPr>
          <w:p>
            <w:pPr>
              <w:jc w:val="center"/>
              <w:ind w:left="352"/>
              <w:spacing w:after="0"/>
              <w:rPr>
                <w:sz w:val="20"/>
                <w:szCs w:val="20"/>
                <w:color w:val="auto"/>
              </w:rPr>
            </w:pPr>
            <w:r>
              <w:rPr>
                <w:rFonts w:ascii="Arial" w:cs="Arial" w:eastAsia="Arial" w:hAnsi="Arial"/>
                <w:sz w:val="14"/>
                <w:szCs w:val="14"/>
                <w:b w:val="1"/>
                <w:bCs w:val="1"/>
                <w:color w:val="auto"/>
                <w:w w:val="87"/>
              </w:rPr>
              <w:t>U.S.</w:t>
            </w:r>
          </w:p>
        </w:tc>
        <w:tc>
          <w:tcPr>
            <w:tcW w:w="4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Non-U.S.</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780" w:type="dxa"/>
            <w:vAlign w:val="bottom"/>
          </w:tcPr>
          <w:p>
            <w:pPr>
              <w:jc w:val="center"/>
              <w:ind w:left="352"/>
              <w:spacing w:after="0"/>
              <w:rPr>
                <w:sz w:val="20"/>
                <w:szCs w:val="20"/>
                <w:color w:val="auto"/>
              </w:rPr>
            </w:pPr>
            <w:r>
              <w:rPr>
                <w:rFonts w:ascii="Arial" w:cs="Arial" w:eastAsia="Arial" w:hAnsi="Arial"/>
                <w:sz w:val="14"/>
                <w:szCs w:val="14"/>
                <w:b w:val="1"/>
                <w:bCs w:val="1"/>
                <w:color w:val="auto"/>
                <w:w w:val="85"/>
              </w:rPr>
              <w:t>Plans</w:t>
            </w: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Plans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5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780" w:type="dxa"/>
            <w:vAlign w:val="bottom"/>
            <w:tcBorders>
              <w:bottom w:val="single" w:sz="8" w:color="auto"/>
            </w:tcBorders>
          </w:tcPr>
          <w:p>
            <w:pPr>
              <w:spacing w:after="0"/>
              <w:rPr>
                <w:sz w:val="8"/>
                <w:szCs w:val="8"/>
                <w:color w:val="auto"/>
              </w:rPr>
            </w:pPr>
          </w:p>
        </w:tc>
        <w:tc>
          <w:tcPr>
            <w:tcW w:w="440" w:type="dxa"/>
            <w:vAlign w:val="bottom"/>
            <w:tcBorders>
              <w:bottom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560" w:type="dxa"/>
            <w:vAlign w:val="bottom"/>
          </w:tcPr>
          <w:p>
            <w:pPr>
              <w:spacing w:after="0"/>
              <w:rPr>
                <w:sz w:val="8"/>
                <w:szCs w:val="8"/>
                <w:color w:val="auto"/>
              </w:rPr>
            </w:pPr>
          </w:p>
        </w:tc>
        <w:tc>
          <w:tcPr>
            <w:tcW w:w="3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4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4680" w:type="dxa"/>
            <w:vAlign w:val="bottom"/>
            <w:gridSpan w:val="2"/>
            <w:shd w:val="clear" w:color="auto" w:fill="CCEEFF"/>
          </w:tcPr>
          <w:p>
            <w:pPr>
              <w:jc w:val="right"/>
              <w:ind w:right="632"/>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1,489</w:t>
            </w:r>
          </w:p>
        </w:tc>
        <w:tc>
          <w:tcPr>
            <w:tcW w:w="3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2007</w:t>
            </w:r>
          </w:p>
        </w:tc>
        <w:tc>
          <w:tcPr>
            <w:tcW w:w="3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1,412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1,356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2009</w:t>
            </w:r>
          </w:p>
        </w:tc>
        <w:tc>
          <w:tcPr>
            <w:tcW w:w="3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1,326</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1,118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56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9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1,252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560" w:type="dxa"/>
            <w:vAlign w:val="bottom"/>
          </w:tcPr>
          <w:p>
            <w:pPr>
              <w:spacing w:after="0"/>
              <w:rPr>
                <w:sz w:val="20"/>
                <w:szCs w:val="20"/>
                <w:color w:val="auto"/>
              </w:rPr>
            </w:pPr>
            <w:r>
              <w:rPr>
                <w:rFonts w:ascii="Arial" w:cs="Arial" w:eastAsia="Arial" w:hAnsi="Arial"/>
                <w:sz w:val="18"/>
                <w:szCs w:val="18"/>
                <w:color w:val="auto"/>
              </w:rPr>
              <w:t>2011-2015</w:t>
            </w:r>
          </w:p>
        </w:tc>
        <w:tc>
          <w:tcPr>
            <w:tcW w:w="39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84"/>
              </w:rPr>
              <w:t>5,433</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2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4680" w:type="dxa"/>
            <w:vAlign w:val="bottom"/>
            <w:gridSpan w:val="2"/>
          </w:tcPr>
          <w:p>
            <w:pPr>
              <w:jc w:val="right"/>
              <w:ind w:right="2452"/>
              <w:spacing w:after="0"/>
              <w:rPr>
                <w:sz w:val="20"/>
                <w:szCs w:val="20"/>
                <w:color w:val="auto"/>
              </w:rPr>
            </w:pPr>
            <w:r>
              <w:rPr>
                <w:rFonts w:ascii="Arial" w:cs="Arial" w:eastAsia="Arial" w:hAnsi="Arial"/>
                <w:sz w:val="18"/>
                <w:szCs w:val="18"/>
                <w:color w:val="auto"/>
              </w:rPr>
              <w:t>F-42</w:t>
            </w:r>
          </w:p>
        </w:tc>
        <w:tc>
          <w:tcPr>
            <w:tcW w:w="4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b w:val="1"/>
          <w:bCs w:val="1"/>
          <w:u w:val="single" w:color="auto"/>
          <w:color w:val="auto"/>
        </w:rPr>
        <w:t>Note 11 – Pensions and Other Postretirement Benefits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As the plans are unfunded, the Company’s anticipated contributions for 2006 are equal to its estimated benefits payments.</w:t>
      </w:r>
    </w:p>
    <w:p>
      <w:pPr>
        <w:spacing w:after="0" w:line="225" w:lineRule="exact"/>
        <w:rPr>
          <w:sz w:val="20"/>
          <w:szCs w:val="20"/>
          <w:color w:val="auto"/>
        </w:rPr>
      </w:pPr>
    </w:p>
    <w:p>
      <w:pPr>
        <w:ind w:right="60"/>
        <w:spacing w:after="0" w:line="289" w:lineRule="auto"/>
        <w:rPr>
          <w:sz w:val="20"/>
          <w:szCs w:val="20"/>
          <w:color w:val="auto"/>
        </w:rPr>
      </w:pPr>
      <w:r>
        <w:rPr>
          <w:rFonts w:ascii="Arial" w:cs="Arial" w:eastAsia="Arial" w:hAnsi="Arial"/>
          <w:sz w:val="16"/>
          <w:szCs w:val="16"/>
          <w:color w:val="auto"/>
        </w:rPr>
        <w:t xml:space="preserve">On December 8, 2003, the President of the United States signed the Medicare Prescription Drug, Improvement and Modernization Act of 2003 (the “Act”). On May 19, 2004, the FASB issued Staff Position No. 106-2, </w:t>
      </w:r>
      <w:r>
        <w:rPr>
          <w:rFonts w:ascii="Arial" w:cs="Arial" w:eastAsia="Arial" w:hAnsi="Arial"/>
          <w:sz w:val="16"/>
          <w:szCs w:val="16"/>
          <w:i w:val="1"/>
          <w:iCs w:val="1"/>
          <w:color w:val="auto"/>
        </w:rPr>
        <w:t>Accounting and Disclosure Requirements Related to the Medicare Prescription Drug, Improvement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Modernization Act of 2003 </w:t>
      </w:r>
      <w:r>
        <w:rPr>
          <w:rFonts w:ascii="Arial" w:cs="Arial" w:eastAsia="Arial" w:hAnsi="Arial"/>
          <w:sz w:val="16"/>
          <w:szCs w:val="16"/>
          <w:color w:val="auto"/>
        </w:rPr>
        <w:t>(“FSP No. 106-2”). The Act introduces a prescription drug benefit under Medicare as well as a federal subsidy to sponsors of retiree</w:t>
      </w:r>
      <w:r>
        <w:rPr>
          <w:rFonts w:ascii="Arial" w:cs="Arial" w:eastAsia="Arial" w:hAnsi="Arial"/>
          <w:sz w:val="16"/>
          <w:szCs w:val="16"/>
          <w:i w:val="1"/>
          <w:iCs w:val="1"/>
          <w:color w:val="auto"/>
        </w:rPr>
        <w:t xml:space="preserve"> </w:t>
      </w:r>
      <w:r>
        <w:rPr>
          <w:rFonts w:ascii="Arial" w:cs="Arial" w:eastAsia="Arial" w:hAnsi="Arial"/>
          <w:sz w:val="16"/>
          <w:szCs w:val="16"/>
          <w:color w:val="auto"/>
        </w:rPr>
        <w:t>health care benefit plans that provide a benefit that is at least actuarially equivalent to Medicare Part D. FSP No. 106-2 provides that an employer shall measure the accumulated postretirement benefit obligation and net periodic postretirement benefit cost taking into account any subsidy received under the Act. Management does not believe that the prescription drug benefits presently available under its retiree health care benefit plans would be considered actuarially equivalent to Medicare Part D. Accordingly, the Company’s measures of accumulated postretirement benefit obligation and net periodic postretirement benefit cost as of and for the years ended December 31, 2005 and 2004 do not include any subsidies which might be received under the Act.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Retirement Obligations</w:t>
      </w:r>
    </w:p>
    <w:p>
      <w:pPr>
        <w:spacing w:after="0" w:line="225" w:lineRule="exact"/>
        <w:rPr>
          <w:sz w:val="20"/>
          <w:szCs w:val="20"/>
          <w:color w:val="auto"/>
        </w:rPr>
      </w:pPr>
    </w:p>
    <w:p>
      <w:pPr>
        <w:ind w:right="140"/>
        <w:spacing w:after="0" w:line="256" w:lineRule="auto"/>
        <w:rPr>
          <w:sz w:val="20"/>
          <w:szCs w:val="20"/>
          <w:color w:val="auto"/>
        </w:rPr>
      </w:pPr>
      <w:r>
        <w:rPr>
          <w:rFonts w:ascii="Arial" w:cs="Arial" w:eastAsia="Arial" w:hAnsi="Arial"/>
          <w:sz w:val="18"/>
          <w:szCs w:val="18"/>
          <w:color w:val="auto"/>
        </w:rPr>
        <w:t>The Company participates in various other defined contribution and government-mandated retirement plans based on local law or custom. The Company periodically makes required contributions for certain of these plans, whereas other plans are unfunded retirement bonus plans which will be paid at the employee’s retirement date. At December 31, 2005 and 2004, the consolidated balance sheets include $12,669,000 and $11,134,000 within accrued pension and other postretirement costs related to these plans.</w:t>
      </w:r>
    </w:p>
    <w:p>
      <w:pPr>
        <w:spacing w:after="0" w:line="197" w:lineRule="exact"/>
        <w:rPr>
          <w:sz w:val="20"/>
          <w:szCs w:val="20"/>
          <w:color w:val="auto"/>
        </w:rPr>
      </w:pPr>
    </w:p>
    <w:p>
      <w:pPr>
        <w:ind w:right="120"/>
        <w:spacing w:after="0" w:line="335" w:lineRule="auto"/>
        <w:rPr>
          <w:sz w:val="20"/>
          <w:szCs w:val="20"/>
          <w:color w:val="auto"/>
        </w:rPr>
      </w:pPr>
      <w:r>
        <w:rPr>
          <w:rFonts w:ascii="Arial" w:cs="Arial" w:eastAsia="Arial" w:hAnsi="Arial"/>
          <w:sz w:val="15"/>
          <w:szCs w:val="15"/>
          <w:color w:val="auto"/>
        </w:rPr>
        <w:t>Many of the Company’s U.S. employees are eligible to participate in 401(k) savings plans, some of which provide for Company matching under various formulas. The Company’s matching expense for the plans was $3,265,000, $2,968,000 and $3,401,000, for the years ended December 31, 2005, 2004, and 2003, respectively. No material amounts are included in the consolidated balance sheets at December 31, 2005 and 2004 related to unfunded 401(k) contributions.</w:t>
      </w:r>
    </w:p>
    <w:p>
      <w:pPr>
        <w:spacing w:after="0" w:line="142" w:lineRule="exact"/>
        <w:rPr>
          <w:sz w:val="20"/>
          <w:szCs w:val="20"/>
          <w:color w:val="auto"/>
        </w:rPr>
      </w:pPr>
    </w:p>
    <w:p>
      <w:pPr>
        <w:jc w:val="both"/>
        <w:ind w:right="120"/>
        <w:spacing w:after="0" w:line="259" w:lineRule="auto"/>
        <w:rPr>
          <w:sz w:val="20"/>
          <w:szCs w:val="20"/>
          <w:color w:val="auto"/>
        </w:rPr>
      </w:pPr>
      <w:r>
        <w:rPr>
          <w:rFonts w:ascii="Arial" w:cs="Arial" w:eastAsia="Arial" w:hAnsi="Arial"/>
          <w:sz w:val="18"/>
          <w:szCs w:val="18"/>
          <w:color w:val="auto"/>
        </w:rPr>
        <w:t>In 2005, as a result of a new law in the Republic of China (Taiwan), the Company’s employees could elect to participate in a new government-sponsored defined contribution retirement plan, or remain in the existing defined benefit pension plan. Company contributions to this new plan totaled $314,000 for the year ended December 31, 2005.</w:t>
      </w:r>
    </w:p>
    <w:p>
      <w:pPr>
        <w:spacing w:after="0" w:line="194"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Certain key employees participate in deferred compensation plans. During the years ended December 31, 2005, 2004 and 2003, these employees could defer a portion of their compensation until retirement. Effective January 1, 2005, these employees may elect short deferral periods for future compensation deferrals. The Company maintains a liability within other noncurrent liabilities on its consolidated balance sheets related to these deferrals. The Company maintains a non-qualified trust, referred to as a “rabbi” trust, to fund payments under this plan. Rabbi trust assets are subject to creditor claims under certain conditions and are not the property of employees. Therefore, they are accounted for as other noncurrent assets. Assets held in trust related to the deferred compensation plans at December 31, 2005 and 2004 were approximately $10 million and $5 million, respectively. Assets held in trust are intended to approximate the Company’s liability under these plans.</w:t>
      </w:r>
    </w:p>
    <w:p>
      <w:pPr>
        <w:spacing w:after="0" w:line="172" w:lineRule="exact"/>
        <w:rPr>
          <w:sz w:val="20"/>
          <w:szCs w:val="20"/>
          <w:color w:val="auto"/>
        </w:rPr>
      </w:pPr>
    </w:p>
    <w:p>
      <w:pPr>
        <w:ind w:right="80"/>
        <w:spacing w:after="0" w:line="306" w:lineRule="auto"/>
        <w:rPr>
          <w:sz w:val="20"/>
          <w:szCs w:val="20"/>
          <w:color w:val="auto"/>
        </w:rPr>
      </w:pPr>
      <w:r>
        <w:rPr>
          <w:rFonts w:ascii="Arial" w:cs="Arial" w:eastAsia="Arial" w:hAnsi="Arial"/>
          <w:sz w:val="16"/>
          <w:szCs w:val="16"/>
          <w:color w:val="auto"/>
        </w:rPr>
        <w:t>The Company is obligated to pay post-employment benefits to certain terminated employees related to acquisitions. The liabilities recorded for these obligations total $11,587,000 and $16,459,426 as of December 31, 2005 and 2004, respectively. Of these amounts, $2,676,000 and $4,208,000 is included in accrued liabilities as of December 31, 2005 and 2004, respectively, with the remaining amounts included in other noncurrent liabilities.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584" w:right="2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u w:val="single" w:color="auto"/>
          <w:color w:val="auto"/>
        </w:rPr>
        <w:t>Note 12 – Stock-Based Compensation</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right="280"/>
        <w:spacing w:after="0" w:line="256" w:lineRule="auto"/>
        <w:rPr>
          <w:sz w:val="20"/>
          <w:szCs w:val="20"/>
          <w:color w:val="auto"/>
        </w:rPr>
      </w:pPr>
      <w:r>
        <w:rPr>
          <w:rFonts w:ascii="Arial" w:cs="Arial" w:eastAsia="Arial" w:hAnsi="Arial"/>
          <w:sz w:val="18"/>
          <w:szCs w:val="18"/>
          <w:color w:val="auto"/>
        </w:rPr>
        <w:t>Under the 1997 Stock Option Program, certain executive officers, key employees, and consultants of the Company were granted options on May 21, 1998 to purchase 2,687,000 shares of the Company’s common stock. The options were fully vested on the date of grant and expire June 1, 2008, with one-third exercisable at $10.89, one-third exercisable at $12.53, and one-third exercisable at $13.61. As of December 31, 2005, options to purchase 528,000 shares have been exercised under this plan.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Under the 1998 Stock Option Program, certain executive officers and key employees were granted options, as summarized in the following table: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jc w:val="right"/>
              <w:ind w:right="412"/>
              <w:spacing w:after="0"/>
              <w:rPr>
                <w:sz w:val="20"/>
                <w:szCs w:val="20"/>
                <w:color w:val="auto"/>
              </w:rPr>
            </w:pPr>
            <w:r>
              <w:rPr>
                <w:rFonts w:ascii="Arial" w:cs="Arial" w:eastAsia="Arial" w:hAnsi="Arial"/>
                <w:sz w:val="14"/>
                <w:szCs w:val="14"/>
                <w:b w:val="1"/>
                <w:bCs w:val="1"/>
                <w:color w:val="auto"/>
              </w:rPr>
              <w:t>Number of</w:t>
            </w:r>
          </w:p>
        </w:tc>
        <w:tc>
          <w:tcPr>
            <w:tcW w:w="2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220" w:type="dxa"/>
            <w:vAlign w:val="bottom"/>
          </w:tcPr>
          <w:p>
            <w:pPr>
              <w:jc w:val="right"/>
              <w:ind w:right="458"/>
              <w:spacing w:after="0"/>
              <w:rPr>
                <w:sz w:val="20"/>
                <w:szCs w:val="20"/>
                <w:color w:val="auto"/>
              </w:rPr>
            </w:pPr>
            <w:r>
              <w:rPr>
                <w:rFonts w:ascii="Arial" w:cs="Arial" w:eastAsia="Arial" w:hAnsi="Arial"/>
                <w:sz w:val="14"/>
                <w:szCs w:val="14"/>
                <w:b w:val="1"/>
                <w:bCs w:val="1"/>
                <w:color w:val="auto"/>
              </w:rPr>
              <w:t>Exercise</w:t>
            </w:r>
          </w:p>
        </w:tc>
        <w:tc>
          <w:tcPr>
            <w:tcW w:w="20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580" w:type="dxa"/>
            <w:vAlign w:val="bottom"/>
            <w:gridSpan w:val="3"/>
          </w:tcPr>
          <w:p>
            <w:pPr>
              <w:spacing w:after="0"/>
              <w:rPr>
                <w:sz w:val="20"/>
                <w:szCs w:val="20"/>
                <w:color w:val="auto"/>
              </w:rPr>
            </w:pPr>
            <w:r>
              <w:rPr>
                <w:rFonts w:ascii="Arial" w:cs="Arial" w:eastAsia="Arial" w:hAnsi="Arial"/>
                <w:sz w:val="14"/>
                <w:szCs w:val="14"/>
                <w:b w:val="1"/>
                <w:bCs w:val="1"/>
                <w:color w:val="auto"/>
              </w:rPr>
              <w:t>Date of Grant</w:t>
            </w:r>
          </w:p>
        </w:tc>
        <w:tc>
          <w:tcPr>
            <w:tcW w:w="180" w:type="dxa"/>
            <w:vAlign w:val="bottom"/>
          </w:tcPr>
          <w:p>
            <w:pPr>
              <w:spacing w:after="0"/>
              <w:rPr>
                <w:sz w:val="15"/>
                <w:szCs w:val="15"/>
                <w:color w:val="auto"/>
              </w:rPr>
            </w:pPr>
          </w:p>
        </w:tc>
        <w:tc>
          <w:tcPr>
            <w:tcW w:w="1520" w:type="dxa"/>
            <w:vAlign w:val="bottom"/>
          </w:tcPr>
          <w:p>
            <w:pPr>
              <w:jc w:val="right"/>
              <w:ind w:right="472"/>
              <w:spacing w:after="0"/>
              <w:rPr>
                <w:sz w:val="20"/>
                <w:szCs w:val="20"/>
                <w:color w:val="auto"/>
              </w:rPr>
            </w:pPr>
            <w:r>
              <w:rPr>
                <w:rFonts w:ascii="Arial" w:cs="Arial" w:eastAsia="Arial" w:hAnsi="Arial"/>
                <w:sz w:val="14"/>
                <w:szCs w:val="14"/>
                <w:b w:val="1"/>
                <w:bCs w:val="1"/>
                <w:color w:val="auto"/>
              </w:rPr>
              <w:t>Options</w:t>
            </w:r>
          </w:p>
        </w:tc>
        <w:tc>
          <w:tcPr>
            <w:tcW w:w="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20" w:type="dxa"/>
            <w:vAlign w:val="bottom"/>
          </w:tcPr>
          <w:p>
            <w:pPr>
              <w:jc w:val="right"/>
              <w:ind w:right="538"/>
              <w:spacing w:after="0"/>
              <w:rPr>
                <w:sz w:val="20"/>
                <w:szCs w:val="20"/>
                <w:color w:val="auto"/>
              </w:rPr>
            </w:pPr>
            <w:r>
              <w:rPr>
                <w:rFonts w:ascii="Arial" w:cs="Arial" w:eastAsia="Arial" w:hAnsi="Arial"/>
                <w:sz w:val="14"/>
                <w:szCs w:val="14"/>
                <w:b w:val="1"/>
                <w:bCs w:val="1"/>
                <w:color w:val="auto"/>
              </w:rPr>
              <w:t>Price</w:t>
            </w:r>
          </w:p>
        </w:tc>
        <w:tc>
          <w:tcPr>
            <w:tcW w:w="200" w:type="dxa"/>
            <w:vAlign w:val="bottom"/>
          </w:tcPr>
          <w:p>
            <w:pPr>
              <w:spacing w:after="0"/>
              <w:rPr>
                <w:sz w:val="15"/>
                <w:szCs w:val="15"/>
                <w:color w:val="auto"/>
              </w:rPr>
            </w:pPr>
          </w:p>
        </w:tc>
        <w:tc>
          <w:tcPr>
            <w:tcW w:w="2580" w:type="dxa"/>
            <w:vAlign w:val="bottom"/>
          </w:tcPr>
          <w:p>
            <w:pPr>
              <w:ind w:left="1060"/>
              <w:spacing w:after="0"/>
              <w:rPr>
                <w:sz w:val="20"/>
                <w:szCs w:val="20"/>
                <w:color w:val="auto"/>
              </w:rPr>
            </w:pPr>
            <w:r>
              <w:rPr>
                <w:rFonts w:ascii="Arial" w:cs="Arial" w:eastAsia="Arial" w:hAnsi="Arial"/>
                <w:sz w:val="14"/>
                <w:szCs w:val="14"/>
                <w:b w:val="1"/>
                <w:bCs w:val="1"/>
                <w:color w:val="auto"/>
              </w:rPr>
              <w:t>Vesting</w:t>
            </w:r>
          </w:p>
        </w:tc>
        <w:tc>
          <w:tcPr>
            <w:tcW w:w="180" w:type="dxa"/>
            <w:vAlign w:val="bottom"/>
          </w:tcPr>
          <w:p>
            <w:pPr>
              <w:spacing w:after="0"/>
              <w:rPr>
                <w:sz w:val="15"/>
                <w:szCs w:val="15"/>
                <w:color w:val="auto"/>
              </w:rPr>
            </w:pPr>
          </w:p>
        </w:tc>
        <w:tc>
          <w:tcPr>
            <w:tcW w:w="2460" w:type="dxa"/>
            <w:vAlign w:val="bottom"/>
            <w:gridSpan w:val="2"/>
          </w:tcPr>
          <w:p>
            <w:pPr>
              <w:ind w:left="860"/>
              <w:spacing w:after="0"/>
              <w:rPr>
                <w:sz w:val="20"/>
                <w:szCs w:val="20"/>
                <w:color w:val="auto"/>
              </w:rPr>
            </w:pPr>
            <w:r>
              <w:rPr>
                <w:rFonts w:ascii="Arial" w:cs="Arial" w:eastAsia="Arial" w:hAnsi="Arial"/>
                <w:sz w:val="14"/>
                <w:szCs w:val="14"/>
                <w:b w:val="1"/>
                <w:bCs w:val="1"/>
                <w:color w:val="auto"/>
              </w:rPr>
              <w:t>Expiration</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80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2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25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6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520" w:type="dxa"/>
            <w:vAlign w:val="bottom"/>
          </w:tcPr>
          <w:p>
            <w:pPr>
              <w:spacing w:after="0"/>
              <w:rPr>
                <w:sz w:val="8"/>
                <w:szCs w:val="8"/>
                <w:color w:val="auto"/>
              </w:rPr>
            </w:pPr>
          </w:p>
        </w:tc>
        <w:tc>
          <w:tcPr>
            <w:tcW w:w="2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220" w:type="dxa"/>
            <w:vAlign w:val="bottom"/>
          </w:tcPr>
          <w:p>
            <w:pPr>
              <w:spacing w:after="0"/>
              <w:rPr>
                <w:sz w:val="8"/>
                <w:szCs w:val="8"/>
                <w:color w:val="auto"/>
              </w:rPr>
            </w:pPr>
          </w:p>
        </w:tc>
        <w:tc>
          <w:tcPr>
            <w:tcW w:w="200" w:type="dxa"/>
            <w:vAlign w:val="bottom"/>
          </w:tcPr>
          <w:p>
            <w:pPr>
              <w:spacing w:after="0"/>
              <w:rPr>
                <w:sz w:val="8"/>
                <w:szCs w:val="8"/>
                <w:color w:val="auto"/>
              </w:rPr>
            </w:pPr>
          </w:p>
        </w:tc>
        <w:tc>
          <w:tcPr>
            <w:tcW w:w="25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87"/>
              </w:rPr>
              <w:t>October 6,</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1998</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1,598,000</w:t>
            </w:r>
          </w:p>
        </w:tc>
        <w:tc>
          <w:tcPr>
            <w:tcW w:w="5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Fully vested</w:t>
            </w:r>
          </w:p>
        </w:tc>
        <w:tc>
          <w:tcPr>
            <w:tcW w:w="1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March 16, 2008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 w:type="dxa"/>
            <w:vAlign w:val="bottom"/>
          </w:tcPr>
          <w:p>
            <w:pPr>
              <w:spacing w:after="0"/>
              <w:rPr>
                <w:sz w:val="20"/>
                <w:szCs w:val="20"/>
                <w:color w:val="auto"/>
              </w:rPr>
            </w:pPr>
            <w:r>
              <w:rPr>
                <w:rFonts w:ascii="Arial" w:cs="Arial" w:eastAsia="Arial" w:hAnsi="Arial"/>
                <w:sz w:val="18"/>
                <w:szCs w:val="18"/>
                <w:color w:val="auto"/>
                <w:w w:val="87"/>
              </w:rPr>
              <w:t>October 8,</w:t>
            </w:r>
          </w:p>
        </w:tc>
        <w:tc>
          <w:tcPr>
            <w:tcW w:w="1800" w:type="dxa"/>
            <w:vAlign w:val="bottom"/>
          </w:tcPr>
          <w:p>
            <w:pPr>
              <w:ind w:left="20"/>
              <w:spacing w:after="0"/>
              <w:rPr>
                <w:sz w:val="20"/>
                <w:szCs w:val="20"/>
                <w:color w:val="auto"/>
              </w:rPr>
            </w:pPr>
            <w:r>
              <w:rPr>
                <w:rFonts w:ascii="Arial" w:cs="Arial" w:eastAsia="Arial" w:hAnsi="Arial"/>
                <w:sz w:val="18"/>
                <w:szCs w:val="18"/>
                <w:color w:val="auto"/>
              </w:rPr>
              <w:t>1999</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1,334,000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15.33</w:t>
            </w:r>
          </w:p>
        </w:tc>
        <w:tc>
          <w:tcPr>
            <w:tcW w:w="200" w:type="dxa"/>
            <w:vAlign w:val="bottom"/>
          </w:tcPr>
          <w:p>
            <w:pPr>
              <w:spacing w:after="0"/>
              <w:rPr>
                <w:sz w:val="18"/>
                <w:szCs w:val="18"/>
                <w:color w:val="auto"/>
              </w:rPr>
            </w:pPr>
          </w:p>
        </w:tc>
        <w:tc>
          <w:tcPr>
            <w:tcW w:w="2580" w:type="dxa"/>
            <w:vAlign w:val="bottom"/>
          </w:tcPr>
          <w:p>
            <w:pPr>
              <w:ind w:left="100"/>
              <w:spacing w:after="0"/>
              <w:rPr>
                <w:sz w:val="20"/>
                <w:szCs w:val="20"/>
                <w:color w:val="auto"/>
              </w:rPr>
            </w:pPr>
            <w:r>
              <w:rPr>
                <w:rFonts w:ascii="Arial" w:cs="Arial" w:eastAsia="Arial" w:hAnsi="Arial"/>
                <w:sz w:val="18"/>
                <w:szCs w:val="18"/>
                <w:color w:val="auto"/>
              </w:rPr>
              <w:t>Fully vested</w:t>
            </w:r>
          </w:p>
        </w:tc>
        <w:tc>
          <w:tcPr>
            <w:tcW w:w="180" w:type="dxa"/>
            <w:vAlign w:val="bottom"/>
          </w:tcPr>
          <w:p>
            <w:pPr>
              <w:spacing w:after="0"/>
              <w:rPr>
                <w:sz w:val="18"/>
                <w:szCs w:val="18"/>
                <w:color w:val="auto"/>
              </w:rPr>
            </w:pPr>
          </w:p>
        </w:tc>
        <w:tc>
          <w:tcPr>
            <w:tcW w:w="2460" w:type="dxa"/>
            <w:vAlign w:val="bottom"/>
            <w:gridSpan w:val="2"/>
          </w:tcPr>
          <w:p>
            <w:pPr>
              <w:ind w:left="120"/>
              <w:spacing w:after="0"/>
              <w:rPr>
                <w:sz w:val="20"/>
                <w:szCs w:val="20"/>
                <w:color w:val="auto"/>
              </w:rPr>
            </w:pPr>
            <w:r>
              <w:rPr>
                <w:rFonts w:ascii="Arial" w:cs="Arial" w:eastAsia="Arial" w:hAnsi="Arial"/>
                <w:sz w:val="18"/>
                <w:szCs w:val="18"/>
                <w:color w:val="auto"/>
              </w:rPr>
              <w:t>October 8, 2009</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August 4, 2000</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w:t>
            </w: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9"/>
              </w:rPr>
              <w:t>Evenly over 5 years, beginning</w:t>
            </w:r>
          </w:p>
        </w:tc>
        <w:tc>
          <w:tcPr>
            <w:tcW w:w="1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August 4, 2010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August 4, 2003</w:t>
            </w:r>
          </w:p>
        </w:tc>
        <w:tc>
          <w:tcPr>
            <w:tcW w:w="180" w:type="dxa"/>
            <w:vAlign w:val="bottom"/>
            <w:shd w:val="clear" w:color="auto" w:fill="CCEEFF"/>
          </w:tcPr>
          <w:p>
            <w:pPr>
              <w:spacing w:after="0"/>
              <w:rPr>
                <w:sz w:val="19"/>
                <w:szCs w:val="19"/>
                <w:color w:val="auto"/>
              </w:rPr>
            </w:pPr>
          </w:p>
        </w:tc>
        <w:tc>
          <w:tcPr>
            <w:tcW w:w="2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560" w:type="dxa"/>
            <w:vAlign w:val="bottom"/>
            <w:gridSpan w:val="2"/>
          </w:tcPr>
          <w:p>
            <w:pPr>
              <w:spacing w:after="0"/>
              <w:rPr>
                <w:sz w:val="20"/>
                <w:szCs w:val="20"/>
                <w:color w:val="auto"/>
              </w:rPr>
            </w:pPr>
            <w:r>
              <w:rPr>
                <w:rFonts w:ascii="Arial" w:cs="Arial" w:eastAsia="Arial" w:hAnsi="Arial"/>
                <w:sz w:val="18"/>
                <w:szCs w:val="18"/>
                <w:color w:val="auto"/>
              </w:rPr>
              <w:t>October 12, 2000</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1,114,000</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25.13</w:t>
            </w:r>
          </w:p>
        </w:tc>
        <w:tc>
          <w:tcPr>
            <w:tcW w:w="200" w:type="dxa"/>
            <w:vAlign w:val="bottom"/>
          </w:tcPr>
          <w:p>
            <w:pPr>
              <w:spacing w:after="0"/>
              <w:rPr>
                <w:sz w:val="18"/>
                <w:szCs w:val="18"/>
                <w:color w:val="auto"/>
              </w:rPr>
            </w:pPr>
          </w:p>
        </w:tc>
        <w:tc>
          <w:tcPr>
            <w:tcW w:w="2580" w:type="dxa"/>
            <w:vAlign w:val="bottom"/>
          </w:tcPr>
          <w:p>
            <w:pPr>
              <w:ind w:left="100"/>
              <w:spacing w:after="0"/>
              <w:rPr>
                <w:sz w:val="20"/>
                <w:szCs w:val="20"/>
                <w:color w:val="auto"/>
              </w:rPr>
            </w:pPr>
            <w:r>
              <w:rPr>
                <w:rFonts w:ascii="Arial" w:cs="Arial" w:eastAsia="Arial" w:hAnsi="Arial"/>
                <w:sz w:val="18"/>
                <w:szCs w:val="18"/>
                <w:color w:val="auto"/>
                <w:w w:val="93"/>
              </w:rPr>
              <w:t>Evenly over 6 years, from date of</w:t>
            </w:r>
          </w:p>
        </w:tc>
        <w:tc>
          <w:tcPr>
            <w:tcW w:w="180" w:type="dxa"/>
            <w:vAlign w:val="bottom"/>
          </w:tcPr>
          <w:p>
            <w:pPr>
              <w:spacing w:after="0"/>
              <w:rPr>
                <w:sz w:val="18"/>
                <w:szCs w:val="18"/>
                <w:color w:val="auto"/>
              </w:rPr>
            </w:pPr>
          </w:p>
        </w:tc>
        <w:tc>
          <w:tcPr>
            <w:tcW w:w="2460" w:type="dxa"/>
            <w:vAlign w:val="bottom"/>
            <w:gridSpan w:val="2"/>
          </w:tcPr>
          <w:p>
            <w:pPr>
              <w:ind w:left="120"/>
              <w:spacing w:after="0"/>
              <w:rPr>
                <w:sz w:val="20"/>
                <w:szCs w:val="20"/>
                <w:color w:val="auto"/>
              </w:rPr>
            </w:pPr>
            <w:r>
              <w:rPr>
                <w:rFonts w:ascii="Arial" w:cs="Arial" w:eastAsia="Arial" w:hAnsi="Arial"/>
                <w:sz w:val="18"/>
                <w:szCs w:val="18"/>
                <w:color w:val="auto"/>
              </w:rPr>
              <w:t>October 12, 2010</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80" w:type="dxa"/>
            <w:vAlign w:val="bottom"/>
          </w:tcPr>
          <w:p>
            <w:pPr>
              <w:ind w:left="100"/>
              <w:spacing w:after="0"/>
              <w:rPr>
                <w:sz w:val="20"/>
                <w:szCs w:val="20"/>
                <w:color w:val="auto"/>
              </w:rPr>
            </w:pPr>
            <w:r>
              <w:rPr>
                <w:rFonts w:ascii="Arial" w:cs="Arial" w:eastAsia="Arial" w:hAnsi="Arial"/>
                <w:sz w:val="18"/>
                <w:szCs w:val="18"/>
                <w:color w:val="auto"/>
              </w:rPr>
              <w:t>grant</w:t>
            </w:r>
          </w:p>
        </w:tc>
        <w:tc>
          <w:tcPr>
            <w:tcW w:w="18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0" w:type="dxa"/>
            <w:vAlign w:val="bottom"/>
            <w:shd w:val="clear" w:color="auto" w:fill="CCEEFF"/>
          </w:tcPr>
          <w:p>
            <w:pPr>
              <w:spacing w:after="0"/>
              <w:rPr>
                <w:sz w:val="20"/>
                <w:szCs w:val="20"/>
                <w:color w:val="auto"/>
              </w:rPr>
            </w:pPr>
            <w:r>
              <w:rPr>
                <w:rFonts w:ascii="Arial" w:cs="Arial" w:eastAsia="Arial" w:hAnsi="Arial"/>
                <w:sz w:val="18"/>
                <w:szCs w:val="18"/>
                <w:color w:val="auto"/>
                <w:w w:val="87"/>
              </w:rPr>
              <w:t>October 1,</w:t>
            </w:r>
          </w:p>
        </w:tc>
        <w:tc>
          <w:tcPr>
            <w:tcW w:w="18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0"/>
              </w:rPr>
              <w:t>2001 through November</w:t>
            </w: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49,500</w:t>
            </w:r>
          </w:p>
        </w:tc>
        <w:tc>
          <w:tcPr>
            <w:tcW w:w="2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 – 25.07</w:t>
            </w:r>
          </w:p>
        </w:tc>
        <w:tc>
          <w:tcPr>
            <w:tcW w:w="200" w:type="dxa"/>
            <w:vAlign w:val="bottom"/>
            <w:shd w:val="clear" w:color="auto" w:fill="CCEEFF"/>
          </w:tcPr>
          <w:p>
            <w:pPr>
              <w:spacing w:after="0"/>
              <w:rPr>
                <w:sz w:val="18"/>
                <w:szCs w:val="18"/>
                <w:color w:val="auto"/>
              </w:rPr>
            </w:pPr>
          </w:p>
        </w:tc>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3"/>
              </w:rPr>
              <w:t>Evenly over 6 years, from date of</w:t>
            </w:r>
          </w:p>
        </w:tc>
        <w:tc>
          <w:tcPr>
            <w:tcW w:w="180" w:type="dxa"/>
            <w:vAlign w:val="bottom"/>
            <w:shd w:val="clear" w:color="auto" w:fill="CCEEFF"/>
          </w:tcPr>
          <w:p>
            <w:pPr>
              <w:spacing w:after="0"/>
              <w:rPr>
                <w:sz w:val="18"/>
                <w:szCs w:val="18"/>
                <w:color w:val="auto"/>
              </w:rPr>
            </w:pPr>
          </w:p>
        </w:tc>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October 1, 2011 through</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1, 2005</w:t>
            </w:r>
          </w:p>
        </w:tc>
        <w:tc>
          <w:tcPr>
            <w:tcW w:w="18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5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grant</w:t>
            </w:r>
          </w:p>
        </w:tc>
        <w:tc>
          <w:tcPr>
            <w:tcW w:w="180" w:type="dxa"/>
            <w:vAlign w:val="bottom"/>
            <w:shd w:val="clear" w:color="auto" w:fill="CCEEFF"/>
          </w:tcPr>
          <w:p>
            <w:pPr>
              <w:spacing w:after="0"/>
              <w:rPr>
                <w:sz w:val="19"/>
                <w:szCs w:val="19"/>
                <w:color w:val="auto"/>
              </w:rPr>
            </w:pPr>
          </w:p>
        </w:tc>
        <w:tc>
          <w:tcPr>
            <w:tcW w:w="246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November 1, 2015</w:t>
            </w:r>
          </w:p>
        </w:tc>
        <w:tc>
          <w:tcPr>
            <w:tcW w:w="0" w:type="dxa"/>
            <w:vAlign w:val="bottom"/>
          </w:tcPr>
          <w:p>
            <w:pPr>
              <w:spacing w:after="0"/>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color w:val="auto"/>
        </w:rPr>
        <w:t>As described in Note 2, the Company issued 120,000 stock options from the 1998 plan allocation as part of acquisitions during 2004.</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On May 18, 2000, the stockholders of the Company approved an increase in the number of shares available for grant under Vishay’s 1998 Stock Option Program. As a result, the number of shares available for grant under this program increased from 2,953,500 to 4,453,500. As of December 31, 2005, options to purchase 556,000 shares had been exercised under this plan.</w:t>
      </w:r>
    </w:p>
    <w:p>
      <w:pPr>
        <w:spacing w:after="0" w:line="194" w:lineRule="exact"/>
        <w:rPr>
          <w:sz w:val="20"/>
          <w:szCs w:val="20"/>
          <w:color w:val="auto"/>
        </w:rPr>
      </w:pPr>
    </w:p>
    <w:p>
      <w:pPr>
        <w:ind w:right="20"/>
        <w:spacing w:after="0" w:line="294" w:lineRule="auto"/>
        <w:rPr>
          <w:sz w:val="20"/>
          <w:szCs w:val="20"/>
          <w:color w:val="auto"/>
        </w:rPr>
      </w:pPr>
      <w:r>
        <w:rPr>
          <w:rFonts w:ascii="Arial" w:cs="Arial" w:eastAsia="Arial" w:hAnsi="Arial"/>
          <w:sz w:val="16"/>
          <w:szCs w:val="16"/>
          <w:color w:val="auto"/>
        </w:rPr>
        <w:t>On November 2, 2001, Vishay acquired General Semiconductor, which became a wholly owned subsidiary of the Company. As a result of the acquisition, each outstanding option to acquire General Semiconductor common stock became exercisable for shares of Vishay common stock. Based on the conversion ratio in the acquisition of 0.563 of a Vishay share for each General Semiconductor share, the former General Semiconductor options become exercisable in the aggregate for 4,282,000 shares of Vishay common stock. All such options were immediately vested and exercisable as a result of the merger but the terms of the options otherwise remained unchanged. As of December 31, 2005, options to purchase 915,000 shares had been exercised under this plan.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58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u w:val="single" w:color="auto"/>
          <w:color w:val="auto"/>
        </w:rPr>
        <w:t>Note 12 –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summarizes the Company’s stock option activity </w:t>
      </w:r>
      <w:r>
        <w:rPr>
          <w:rFonts w:ascii="Arial" w:cs="Arial" w:eastAsia="Arial" w:hAnsi="Arial"/>
          <w:sz w:val="18"/>
          <w:szCs w:val="18"/>
          <w:i w:val="1"/>
          <w:iCs w:val="1"/>
          <w:color w:val="auto"/>
        </w:rPr>
        <w:t>(number of options in thousands)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4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Years ended December 31,</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gridSpan w:val="2"/>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gridSpan w:val="2"/>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220" w:type="dxa"/>
            <w:vAlign w:val="bottom"/>
          </w:tcPr>
          <w:p>
            <w:pPr>
              <w:spacing w:after="0"/>
              <w:rPr>
                <w:sz w:val="22"/>
                <w:szCs w:val="22"/>
                <w:color w:val="auto"/>
              </w:rPr>
            </w:pPr>
          </w:p>
        </w:tc>
        <w:tc>
          <w:tcPr>
            <w:tcW w:w="1560" w:type="dxa"/>
            <w:vAlign w:val="bottom"/>
            <w:gridSpan w:val="5"/>
          </w:tcPr>
          <w:p>
            <w:pPr>
              <w:jc w:val="right"/>
              <w:ind w:right="160"/>
              <w:spacing w:after="0"/>
              <w:rPr>
                <w:sz w:val="20"/>
                <w:szCs w:val="20"/>
                <w:color w:val="auto"/>
              </w:rPr>
            </w:pPr>
            <w:r>
              <w:rPr>
                <w:rFonts w:ascii="Arial" w:cs="Arial" w:eastAsia="Arial" w:hAnsi="Arial"/>
                <w:sz w:val="14"/>
                <w:szCs w:val="14"/>
                <w:b w:val="1"/>
                <w:bCs w:val="1"/>
                <w:color w:val="auto"/>
              </w:rPr>
              <w:t>2005</w:t>
            </w:r>
          </w:p>
        </w:tc>
        <w:tc>
          <w:tcPr>
            <w:tcW w:w="980" w:type="dxa"/>
            <w:vAlign w:val="bottom"/>
          </w:tcPr>
          <w:p>
            <w:pPr>
              <w:spacing w:after="0"/>
              <w:rPr>
                <w:sz w:val="22"/>
                <w:szCs w:val="22"/>
                <w:color w:val="auto"/>
              </w:rPr>
            </w:pPr>
          </w:p>
        </w:tc>
        <w:tc>
          <w:tcPr>
            <w:tcW w:w="1780" w:type="dxa"/>
            <w:vAlign w:val="bottom"/>
            <w:gridSpan w:val="6"/>
          </w:tcPr>
          <w:p>
            <w:pPr>
              <w:jc w:val="right"/>
              <w:ind w:right="180"/>
              <w:spacing w:after="0"/>
              <w:rPr>
                <w:sz w:val="20"/>
                <w:szCs w:val="20"/>
                <w:color w:val="auto"/>
              </w:rPr>
            </w:pPr>
            <w:r>
              <w:rPr>
                <w:rFonts w:ascii="Arial" w:cs="Arial" w:eastAsia="Arial" w:hAnsi="Arial"/>
                <w:sz w:val="14"/>
                <w:szCs w:val="14"/>
                <w:b w:val="1"/>
                <w:bCs w:val="1"/>
                <w:color w:val="auto"/>
              </w:rPr>
              <w:t>2004</w:t>
            </w:r>
          </w:p>
        </w:tc>
        <w:tc>
          <w:tcPr>
            <w:tcW w:w="980" w:type="dxa"/>
            <w:vAlign w:val="bottom"/>
          </w:tcPr>
          <w:p>
            <w:pPr>
              <w:spacing w:after="0"/>
              <w:rPr>
                <w:sz w:val="22"/>
                <w:szCs w:val="22"/>
                <w:color w:val="auto"/>
              </w:rPr>
            </w:pPr>
          </w:p>
        </w:tc>
        <w:tc>
          <w:tcPr>
            <w:tcW w:w="1780" w:type="dxa"/>
            <w:vAlign w:val="bottom"/>
            <w:gridSpan w:val="5"/>
          </w:tcPr>
          <w:p>
            <w:pPr>
              <w:jc w:val="right"/>
              <w:ind w:right="72"/>
              <w:spacing w:after="0"/>
              <w:rPr>
                <w:sz w:val="20"/>
                <w:szCs w:val="20"/>
                <w:color w:val="auto"/>
              </w:rPr>
            </w:pPr>
            <w:r>
              <w:rPr>
                <w:rFonts w:ascii="Arial" w:cs="Arial" w:eastAsia="Arial" w:hAnsi="Arial"/>
                <w:sz w:val="14"/>
                <w:szCs w:val="14"/>
                <w:b w:val="1"/>
                <w:bCs w:val="1"/>
                <w:color w:val="auto"/>
              </w:rPr>
              <w:t>2003</w:t>
            </w: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40"/>
              <w:spacing w:after="0"/>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Number</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6"/>
              </w:rPr>
              <w:t>Average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Number</w:t>
            </w:r>
          </w:p>
        </w:tc>
        <w:tc>
          <w:tcPr>
            <w:tcW w:w="2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6"/>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75"/>
              </w:rPr>
              <w:t>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0"/>
              </w:rPr>
              <w:t>of</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tcPr>
          <w:p>
            <w:pPr>
              <w:jc w:val="center"/>
              <w:ind w:right="140"/>
              <w:spacing w:after="0" w:line="149" w:lineRule="exact"/>
              <w:rPr>
                <w:sz w:val="20"/>
                <w:szCs w:val="20"/>
                <w:color w:val="auto"/>
              </w:rPr>
            </w:pPr>
            <w:r>
              <w:rPr>
                <w:rFonts w:ascii="Arial" w:cs="Arial" w:eastAsia="Arial" w:hAnsi="Arial"/>
                <w:sz w:val="14"/>
                <w:szCs w:val="14"/>
                <w:b w:val="1"/>
                <w:bCs w:val="1"/>
                <w:color w:val="auto"/>
                <w:w w:val="83"/>
              </w:rPr>
              <w:t>Exercise</w:t>
            </w: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75"/>
              </w:rPr>
              <w:t>of</w:t>
            </w:r>
          </w:p>
        </w:tc>
        <w:tc>
          <w:tcPr>
            <w:tcW w:w="220" w:type="dxa"/>
            <w:vAlign w:val="bottom"/>
          </w:tcPr>
          <w:p>
            <w:pPr>
              <w:spacing w:after="0"/>
              <w:rPr>
                <w:sz w:val="12"/>
                <w:szCs w:val="12"/>
                <w:color w:val="auto"/>
              </w:rPr>
            </w:pPr>
          </w:p>
        </w:tc>
        <w:tc>
          <w:tcPr>
            <w:tcW w:w="110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3"/>
              </w:rPr>
              <w:t>Exercise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20"/>
              <w:spacing w:after="0"/>
              <w:rPr>
                <w:sz w:val="20"/>
                <w:szCs w:val="20"/>
                <w:color w:val="auto"/>
              </w:rPr>
            </w:pPr>
            <w:r>
              <w:rPr>
                <w:rFonts w:ascii="Arial" w:cs="Arial" w:eastAsia="Arial" w:hAnsi="Arial"/>
                <w:sz w:val="14"/>
                <w:szCs w:val="14"/>
                <w:b w:val="1"/>
                <w:bCs w:val="1"/>
                <w:color w:val="auto"/>
                <w:w w:val="87"/>
              </w:rPr>
              <w:t>Price</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80" w:type="dxa"/>
            <w:vAlign w:val="bottom"/>
          </w:tcPr>
          <w:p>
            <w:pPr>
              <w:jc w:val="center"/>
              <w:ind w:right="160"/>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6"/>
              </w:rPr>
              <w:t>Options</w:t>
            </w:r>
          </w:p>
        </w:tc>
        <w:tc>
          <w:tcPr>
            <w:tcW w:w="22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Outstanding:</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Beginning of year</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8,100</w:t>
            </w:r>
          </w:p>
        </w:tc>
        <w:tc>
          <w:tcPr>
            <w:tcW w:w="10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rPr>
              <w:t>$</w:t>
            </w: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15.95</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8,768</w:t>
            </w:r>
          </w:p>
        </w:tc>
        <w:tc>
          <w:tcPr>
            <w:tcW w:w="120" w:type="dxa"/>
            <w:vAlign w:val="bottom"/>
          </w:tcPr>
          <w:p>
            <w:pPr>
              <w:spacing w:after="0"/>
              <w:rPr>
                <w:sz w:val="18"/>
                <w:szCs w:val="18"/>
                <w:color w:val="auto"/>
              </w:rPr>
            </w:pPr>
          </w:p>
        </w:tc>
        <w:tc>
          <w:tcPr>
            <w:tcW w:w="2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16.17</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9,231</w:t>
            </w:r>
          </w:p>
        </w:tc>
        <w:tc>
          <w:tcPr>
            <w:tcW w:w="180" w:type="dxa"/>
            <w:vAlign w:val="bottom"/>
          </w:tcPr>
          <w:p>
            <w:pPr>
              <w:spacing w:after="0"/>
              <w:rPr>
                <w:sz w:val="18"/>
                <w:szCs w:val="18"/>
                <w:color w:val="auto"/>
              </w:rPr>
            </w:pPr>
          </w:p>
        </w:tc>
        <w:tc>
          <w:tcPr>
            <w:tcW w:w="220" w:type="dxa"/>
            <w:vAlign w:val="bottom"/>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tcPr>
          <w:p>
            <w:pPr>
              <w:jc w:val="center"/>
              <w:ind w:left="480"/>
              <w:spacing w:after="0"/>
              <w:rPr>
                <w:sz w:val="20"/>
                <w:szCs w:val="20"/>
                <w:color w:val="auto"/>
              </w:rPr>
            </w:pPr>
            <w:r>
              <w:rPr>
                <w:rFonts w:ascii="Arial" w:cs="Arial" w:eastAsia="Arial" w:hAnsi="Arial"/>
                <w:sz w:val="18"/>
                <w:szCs w:val="18"/>
                <w:color w:val="auto"/>
                <w:w w:val="88"/>
              </w:rPr>
              <w:t>16.07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Granted</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16</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12.09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480"/>
              <w:spacing w:after="0"/>
              <w:rPr>
                <w:sz w:val="20"/>
                <w:szCs w:val="20"/>
                <w:color w:val="auto"/>
              </w:rPr>
            </w:pPr>
            <w:r>
              <w:rPr>
                <w:rFonts w:ascii="Arial" w:cs="Arial" w:eastAsia="Arial" w:hAnsi="Arial"/>
                <w:sz w:val="18"/>
                <w:szCs w:val="18"/>
                <w:color w:val="auto"/>
                <w:w w:val="88"/>
              </w:rPr>
              <w:t>14.00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Exercised</w:t>
            </w:r>
          </w:p>
        </w:tc>
        <w:tc>
          <w:tcPr>
            <w:tcW w:w="1280" w:type="dxa"/>
            <w:vAlign w:val="bottom"/>
            <w:gridSpan w:val="3"/>
          </w:tcPr>
          <w:p>
            <w:pPr>
              <w:jc w:val="right"/>
              <w:ind w:right="80"/>
              <w:spacing w:after="0"/>
              <w:rPr>
                <w:sz w:val="20"/>
                <w:szCs w:val="20"/>
                <w:color w:val="auto"/>
              </w:rPr>
            </w:pPr>
            <w:r>
              <w:rPr>
                <w:rFonts w:ascii="Arial" w:cs="Arial" w:eastAsia="Arial" w:hAnsi="Arial"/>
                <w:sz w:val="18"/>
                <w:szCs w:val="18"/>
                <w:b w:val="1"/>
                <w:bCs w:val="1"/>
                <w:color w:val="auto"/>
              </w:rPr>
              <w:t>(49)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5.68</w:t>
            </w:r>
          </w:p>
        </w:tc>
        <w:tc>
          <w:tcPr>
            <w:tcW w:w="1500" w:type="dxa"/>
            <w:vAlign w:val="bottom"/>
            <w:gridSpan w:val="4"/>
          </w:tcPr>
          <w:p>
            <w:pPr>
              <w:jc w:val="right"/>
              <w:ind w:right="80"/>
              <w:spacing w:after="0"/>
              <w:rPr>
                <w:sz w:val="20"/>
                <w:szCs w:val="20"/>
                <w:color w:val="auto"/>
              </w:rPr>
            </w:pPr>
            <w:r>
              <w:rPr>
                <w:rFonts w:ascii="Arial" w:cs="Arial" w:eastAsia="Arial" w:hAnsi="Arial"/>
                <w:sz w:val="18"/>
                <w:szCs w:val="18"/>
                <w:color w:val="auto"/>
              </w:rPr>
              <w:t>(515)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17.63</w:t>
            </w:r>
          </w:p>
        </w:tc>
        <w:tc>
          <w:tcPr>
            <w:tcW w:w="1560" w:type="dxa"/>
            <w:vAlign w:val="bottom"/>
            <w:gridSpan w:val="4"/>
          </w:tcPr>
          <w:p>
            <w:pPr>
              <w:jc w:val="right"/>
              <w:ind w:right="140"/>
              <w:spacing w:after="0"/>
              <w:rPr>
                <w:sz w:val="20"/>
                <w:szCs w:val="20"/>
                <w:color w:val="auto"/>
              </w:rPr>
            </w:pPr>
            <w:r>
              <w:rPr>
                <w:rFonts w:ascii="Arial" w:cs="Arial" w:eastAsia="Arial" w:hAnsi="Arial"/>
                <w:sz w:val="18"/>
                <w:szCs w:val="18"/>
                <w:color w:val="auto"/>
              </w:rPr>
              <w:t>(356)</w:t>
            </w:r>
          </w:p>
        </w:tc>
        <w:tc>
          <w:tcPr>
            <w:tcW w:w="220" w:type="dxa"/>
            <w:vAlign w:val="bottom"/>
          </w:tcPr>
          <w:p>
            <w:pPr>
              <w:spacing w:after="0"/>
              <w:rPr>
                <w:sz w:val="18"/>
                <w:szCs w:val="18"/>
                <w:color w:val="auto"/>
              </w:rPr>
            </w:pPr>
          </w:p>
        </w:tc>
        <w:tc>
          <w:tcPr>
            <w:tcW w:w="1000" w:type="dxa"/>
            <w:vAlign w:val="bottom"/>
          </w:tcPr>
          <w:p>
            <w:pPr>
              <w:jc w:val="center"/>
              <w:ind w:left="480"/>
              <w:spacing w:after="0"/>
              <w:rPr>
                <w:sz w:val="20"/>
                <w:szCs w:val="20"/>
                <w:color w:val="auto"/>
              </w:rPr>
            </w:pPr>
            <w:r>
              <w:rPr>
                <w:rFonts w:ascii="Arial" w:cs="Arial" w:eastAsia="Arial" w:hAnsi="Arial"/>
                <w:sz w:val="18"/>
                <w:szCs w:val="18"/>
                <w:color w:val="auto"/>
                <w:w w:val="88"/>
              </w:rPr>
              <w:t>13.30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Cancelled</w:t>
            </w:r>
          </w:p>
        </w:tc>
        <w:tc>
          <w:tcPr>
            <w:tcW w:w="128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(139)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23.41</w:t>
            </w:r>
          </w:p>
        </w:tc>
        <w:tc>
          <w:tcPr>
            <w:tcW w:w="150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(279)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18.31</w:t>
            </w:r>
          </w:p>
        </w:tc>
        <w:tc>
          <w:tcPr>
            <w:tcW w:w="1560" w:type="dxa"/>
            <w:vAlign w:val="bottom"/>
            <w:gridSpan w:val="4"/>
            <w:shd w:val="clear" w:color="auto" w:fill="CCEEFF"/>
          </w:tcPr>
          <w:p>
            <w:pPr>
              <w:jc w:val="right"/>
              <w:ind w:right="140"/>
              <w:spacing w:after="0"/>
              <w:rPr>
                <w:sz w:val="20"/>
                <w:szCs w:val="20"/>
                <w:color w:val="auto"/>
              </w:rPr>
            </w:pPr>
            <w:r>
              <w:rPr>
                <w:rFonts w:ascii="Arial" w:cs="Arial" w:eastAsia="Arial" w:hAnsi="Arial"/>
                <w:sz w:val="18"/>
                <w:szCs w:val="18"/>
                <w:color w:val="auto"/>
              </w:rPr>
              <w:t>(119)</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center"/>
              <w:ind w:left="480"/>
              <w:spacing w:after="0"/>
              <w:rPr>
                <w:sz w:val="20"/>
                <w:szCs w:val="20"/>
                <w:color w:val="auto"/>
              </w:rPr>
            </w:pPr>
            <w:r>
              <w:rPr>
                <w:rFonts w:ascii="Arial" w:cs="Arial" w:eastAsia="Arial" w:hAnsi="Arial"/>
                <w:sz w:val="18"/>
                <w:szCs w:val="18"/>
                <w:color w:val="auto"/>
                <w:w w:val="88"/>
              </w:rPr>
              <w:t>17.10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Acquisitions</w:t>
            </w:r>
          </w:p>
        </w:tc>
        <w:tc>
          <w:tcPr>
            <w:tcW w:w="14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ind w:right="20"/>
              <w:spacing w:after="0"/>
              <w:rPr>
                <w:sz w:val="20"/>
                <w:szCs w:val="20"/>
                <w:color w:val="auto"/>
              </w:rPr>
            </w:pPr>
            <w:r>
              <w:rPr>
                <w:rFonts w:ascii="Arial" w:cs="Arial" w:eastAsia="Arial" w:hAnsi="Arial"/>
                <w:sz w:val="18"/>
                <w:szCs w:val="18"/>
                <w:b w:val="1"/>
                <w:bCs w:val="1"/>
                <w:color w:val="auto"/>
              </w:rPr>
              <w:t>—</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12.75</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00" w:type="dxa"/>
            <w:vAlign w:val="bottom"/>
            <w:gridSpan w:val="2"/>
          </w:tcPr>
          <w:p>
            <w:pPr>
              <w:jc w:val="center"/>
              <w:ind w:left="440"/>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32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color w:val="auto"/>
              </w:rPr>
              <w:t>End of year</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7,928</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15.87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8,100</w:t>
            </w:r>
          </w:p>
        </w:tc>
        <w:tc>
          <w:tcPr>
            <w:tcW w:w="1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15.95</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8,768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center"/>
              <w:ind w:left="480"/>
              <w:spacing w:after="0"/>
              <w:rPr>
                <w:sz w:val="20"/>
                <w:szCs w:val="20"/>
                <w:color w:val="auto"/>
              </w:rPr>
            </w:pPr>
            <w:r>
              <w:rPr>
                <w:rFonts w:ascii="Arial" w:cs="Arial" w:eastAsia="Arial" w:hAnsi="Arial"/>
                <w:sz w:val="18"/>
                <w:szCs w:val="18"/>
                <w:color w:val="auto"/>
                <w:w w:val="88"/>
              </w:rPr>
              <w:t>16.17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Exercisable:</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3220" w:type="dxa"/>
            <w:vAlign w:val="bottom"/>
          </w:tcPr>
          <w:p>
            <w:pPr>
              <w:spacing w:after="0"/>
              <w:rPr>
                <w:sz w:val="20"/>
                <w:szCs w:val="20"/>
                <w:color w:val="auto"/>
              </w:rPr>
            </w:pPr>
            <w:r>
              <w:rPr>
                <w:rFonts w:ascii="Arial" w:cs="Arial" w:eastAsia="Arial" w:hAnsi="Arial"/>
                <w:sz w:val="18"/>
                <w:szCs w:val="18"/>
                <w:color w:val="auto"/>
              </w:rPr>
              <w:t>End of year</w:t>
            </w:r>
          </w:p>
        </w:tc>
        <w:tc>
          <w:tcPr>
            <w:tcW w:w="1180" w:type="dxa"/>
            <w:vAlign w:val="bottom"/>
            <w:gridSpan w:val="2"/>
          </w:tcPr>
          <w:p>
            <w:pPr>
              <w:jc w:val="right"/>
              <w:spacing w:after="0"/>
              <w:rPr>
                <w:sz w:val="20"/>
                <w:szCs w:val="20"/>
                <w:color w:val="auto"/>
              </w:rPr>
            </w:pPr>
            <w:r>
              <w:rPr>
                <w:rFonts w:ascii="Arial" w:cs="Arial" w:eastAsia="Arial" w:hAnsi="Arial"/>
                <w:sz w:val="18"/>
                <w:szCs w:val="18"/>
                <w:b w:val="1"/>
                <w:bCs w:val="1"/>
                <w:color w:val="auto"/>
              </w:rPr>
              <w:t>7,618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7,475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7,725</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22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322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0" w:type="dxa"/>
            <w:vAlign w:val="bottom"/>
          </w:tcPr>
          <w:p>
            <w:pPr>
              <w:spacing w:after="0"/>
              <w:rPr>
                <w:sz w:val="9"/>
                <w:szCs w:val="9"/>
                <w:color w:val="auto"/>
              </w:rPr>
            </w:pPr>
          </w:p>
        </w:tc>
        <w:tc>
          <w:tcPr>
            <w:tcW w:w="1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Available for future grants</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1,164</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1,101</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2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2052955</wp:posOffset>
            </wp:positionH>
            <wp:positionV relativeFrom="paragraph">
              <wp:posOffset>-766445</wp:posOffset>
            </wp:positionV>
            <wp:extent cx="12700" cy="298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-766445</wp:posOffset>
            </wp:positionV>
            <wp:extent cx="12700" cy="2984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-766445</wp:posOffset>
            </wp:positionV>
            <wp:extent cx="12700" cy="2984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-766445</wp:posOffset>
            </wp:positionV>
            <wp:extent cx="12700" cy="2984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-766445</wp:posOffset>
            </wp:positionV>
            <wp:extent cx="12700" cy="2984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-766445</wp:posOffset>
            </wp:positionV>
            <wp:extent cx="12700" cy="2984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-766445</wp:posOffset>
            </wp:positionV>
            <wp:extent cx="12700" cy="2984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-766445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-766445</wp:posOffset>
            </wp:positionV>
            <wp:extent cx="12700"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-329565</wp:posOffset>
            </wp:positionV>
            <wp:extent cx="749935"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49935"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-329565</wp:posOffset>
            </wp:positionV>
            <wp:extent cx="75882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58825"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-329565</wp:posOffset>
            </wp:positionV>
            <wp:extent cx="12700" cy="298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-329565</wp:posOffset>
            </wp:positionV>
            <wp:extent cx="12700" cy="298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-329565</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2052955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2121535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3793490</wp:posOffset>
            </wp:positionH>
            <wp:positionV relativeFrom="paragraph">
              <wp:posOffset>-29210</wp:posOffset>
            </wp:positionV>
            <wp:extent cx="12700" cy="298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4539615</wp:posOffset>
            </wp:positionH>
            <wp:positionV relativeFrom="paragraph">
              <wp:posOffset>-29210</wp:posOffset>
            </wp:positionV>
            <wp:extent cx="12700" cy="298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3862070</wp:posOffset>
            </wp:positionH>
            <wp:positionV relativeFrom="paragraph">
              <wp:posOffset>-29210</wp:posOffset>
            </wp:positionV>
            <wp:extent cx="12700" cy="298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5542915</wp:posOffset>
            </wp:positionH>
            <wp:positionV relativeFrom="paragraph">
              <wp:posOffset>-29210</wp:posOffset>
            </wp:positionV>
            <wp:extent cx="12700" cy="298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-29210</wp:posOffset>
            </wp:positionV>
            <wp:extent cx="12700" cy="298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5611495</wp:posOffset>
            </wp:positionH>
            <wp:positionV relativeFrom="paragraph">
              <wp:posOffset>-29210</wp:posOffset>
            </wp:positionV>
            <wp:extent cx="12700" cy="298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9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The following table summarizes information concerning stock options outstanding and exercisable at December 31, 2005 </w:t>
      </w:r>
      <w:r>
        <w:rPr>
          <w:rFonts w:ascii="Arial" w:cs="Arial" w:eastAsia="Arial" w:hAnsi="Arial"/>
          <w:sz w:val="16"/>
          <w:szCs w:val="16"/>
          <w:i w:val="1"/>
          <w:iCs w:val="1"/>
          <w:color w:val="auto"/>
        </w:rPr>
        <w:t>(number of options in thousands)</w:t>
      </w:r>
      <w:r>
        <w:rPr>
          <w:rFonts w:ascii="Arial" w:cs="Arial" w:eastAsia="Arial" w:hAnsi="Arial"/>
          <w:sz w:val="16"/>
          <w:szCs w:val="16"/>
          <w:color w:val="auto"/>
        </w:rPr>
        <w: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87"/>
              </w:rPr>
              <w:t>Options Outstanding</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540" w:type="dxa"/>
            <w:vAlign w:val="bottom"/>
            <w:gridSpan w:val="5"/>
          </w:tcPr>
          <w:p>
            <w:pPr>
              <w:ind w:left="560"/>
              <w:spacing w:after="0"/>
              <w:rPr>
                <w:sz w:val="20"/>
                <w:szCs w:val="20"/>
                <w:color w:val="auto"/>
              </w:rPr>
            </w:pPr>
            <w:r>
              <w:rPr>
                <w:rFonts w:ascii="Arial" w:cs="Arial" w:eastAsia="Arial" w:hAnsi="Arial"/>
                <w:sz w:val="14"/>
                <w:szCs w:val="14"/>
                <w:b w:val="1"/>
                <w:bCs w:val="1"/>
                <w:color w:val="auto"/>
              </w:rPr>
              <w:t>Options Exercisable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8"/>
              </w:rPr>
              <w:t>Weighted</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6"/>
              </w:rPr>
              <w:t>Average</w:t>
            </w:r>
          </w:p>
        </w:tc>
        <w:tc>
          <w:tcPr>
            <w:tcW w:w="220" w:type="dxa"/>
            <w:vAlign w:val="bottom"/>
          </w:tcPr>
          <w:p>
            <w:pPr>
              <w:spacing w:after="0"/>
              <w:rPr>
                <w:sz w:val="12"/>
                <w:szCs w:val="12"/>
                <w:color w:val="auto"/>
              </w:rPr>
            </w:pPr>
          </w:p>
        </w:tc>
        <w:tc>
          <w:tcPr>
            <w:tcW w:w="9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5"/>
              </w:rPr>
              <w:t>Weighted</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9"/>
              </w:rPr>
              <w:t>Remaining</w:t>
            </w:r>
          </w:p>
        </w:tc>
        <w:tc>
          <w:tcPr>
            <w:tcW w:w="220" w:type="dxa"/>
            <w:vAlign w:val="bottom"/>
          </w:tcPr>
          <w:p>
            <w:pPr>
              <w:spacing w:after="0"/>
              <w:rPr>
                <w:sz w:val="12"/>
                <w:szCs w:val="12"/>
                <w:color w:val="auto"/>
              </w:rPr>
            </w:pPr>
          </w:p>
        </w:tc>
        <w:tc>
          <w:tcPr>
            <w:tcW w:w="9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46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Ranges of</w:t>
            </w:r>
          </w:p>
        </w:tc>
        <w:tc>
          <w:tcPr>
            <w:tcW w:w="128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88"/>
              </w:rPr>
              <w:t>Number of</w:t>
            </w:r>
          </w:p>
        </w:tc>
        <w:tc>
          <w:tcPr>
            <w:tcW w:w="8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9"/>
              </w:rPr>
              <w:t>Contractual</w:t>
            </w:r>
          </w:p>
        </w:tc>
        <w:tc>
          <w:tcPr>
            <w:tcW w:w="220" w:type="dxa"/>
            <w:vAlign w:val="bottom"/>
          </w:tcPr>
          <w:p>
            <w:pPr>
              <w:spacing w:after="0"/>
              <w:rPr>
                <w:sz w:val="12"/>
                <w:szCs w:val="12"/>
                <w:color w:val="auto"/>
              </w:rPr>
            </w:pPr>
          </w:p>
        </w:tc>
        <w:tc>
          <w:tcPr>
            <w:tcW w:w="980" w:type="dxa"/>
            <w:vAlign w:val="bottom"/>
          </w:tcPr>
          <w:p>
            <w:pPr>
              <w:jc w:val="center"/>
              <w:ind w:right="158"/>
              <w:spacing w:after="0" w:line="149" w:lineRule="exact"/>
              <w:rPr>
                <w:sz w:val="20"/>
                <w:szCs w:val="20"/>
                <w:color w:val="auto"/>
              </w:rPr>
            </w:pPr>
            <w:r>
              <w:rPr>
                <w:rFonts w:ascii="Arial" w:cs="Arial" w:eastAsia="Arial" w:hAnsi="Arial"/>
                <w:sz w:val="14"/>
                <w:szCs w:val="14"/>
                <w:b w:val="1"/>
                <w:bCs w:val="1"/>
                <w:color w:val="auto"/>
                <w:w w:val="86"/>
              </w:rPr>
              <w:t>Exercise</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right"/>
              <w:ind w:right="232"/>
              <w:spacing w:after="0" w:line="149" w:lineRule="exact"/>
              <w:rPr>
                <w:sz w:val="20"/>
                <w:szCs w:val="20"/>
                <w:color w:val="auto"/>
              </w:rPr>
            </w:pPr>
            <w:r>
              <w:rPr>
                <w:rFonts w:ascii="Arial" w:cs="Arial" w:eastAsia="Arial" w:hAnsi="Arial"/>
                <w:sz w:val="14"/>
                <w:szCs w:val="14"/>
                <w:b w:val="1"/>
                <w:bCs w:val="1"/>
                <w:color w:val="auto"/>
              </w:rPr>
              <w:t>Number of</w:t>
            </w: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4640" w:type="dxa"/>
            <w:vAlign w:val="bottom"/>
            <w:gridSpan w:val="3"/>
          </w:tcPr>
          <w:p>
            <w:pPr>
              <w:spacing w:after="0"/>
              <w:rPr>
                <w:sz w:val="20"/>
                <w:szCs w:val="20"/>
                <w:color w:val="auto"/>
              </w:rPr>
            </w:pPr>
            <w:r>
              <w:rPr>
                <w:rFonts w:ascii="Arial" w:cs="Arial" w:eastAsia="Arial" w:hAnsi="Arial"/>
                <w:sz w:val="14"/>
                <w:szCs w:val="14"/>
                <w:b w:val="1"/>
                <w:bCs w:val="1"/>
                <w:color w:val="auto"/>
              </w:rPr>
              <w:t>Exercise Prices</w:t>
            </w:r>
          </w:p>
        </w:tc>
        <w:tc>
          <w:tcPr>
            <w:tcW w:w="128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5"/>
                <w:szCs w:val="15"/>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5"/>
                <w:szCs w:val="15"/>
                <w:color w:val="auto"/>
              </w:rPr>
            </w:pPr>
          </w:p>
        </w:tc>
        <w:tc>
          <w:tcPr>
            <w:tcW w:w="980" w:type="dxa"/>
            <w:vAlign w:val="bottom"/>
          </w:tcPr>
          <w:p>
            <w:pPr>
              <w:jc w:val="center"/>
              <w:ind w:right="158"/>
              <w:spacing w:after="0"/>
              <w:rPr>
                <w:sz w:val="20"/>
                <w:szCs w:val="20"/>
                <w:color w:val="auto"/>
              </w:rPr>
            </w:pPr>
            <w:r>
              <w:rPr>
                <w:rFonts w:ascii="Arial" w:cs="Arial" w:eastAsia="Arial" w:hAnsi="Arial"/>
                <w:sz w:val="14"/>
                <w:szCs w:val="14"/>
                <w:b w:val="1"/>
                <w:bCs w:val="1"/>
                <w:color w:val="auto"/>
                <w:w w:val="87"/>
              </w:rPr>
              <w:t>Price</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jc w:val="right"/>
              <w:ind w:right="312"/>
              <w:spacing w:after="0"/>
              <w:rPr>
                <w:sz w:val="20"/>
                <w:szCs w:val="20"/>
                <w:color w:val="auto"/>
              </w:rPr>
            </w:pPr>
            <w:r>
              <w:rPr>
                <w:rFonts w:ascii="Arial" w:cs="Arial" w:eastAsia="Arial" w:hAnsi="Arial"/>
                <w:sz w:val="14"/>
                <w:szCs w:val="14"/>
                <w:b w:val="1"/>
                <w:bCs w:val="1"/>
                <w:color w:val="auto"/>
              </w:rPr>
              <w:t>Options</w:t>
            </w:r>
          </w:p>
        </w:tc>
        <w:tc>
          <w:tcPr>
            <w:tcW w:w="1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4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$5.60</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796</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$10.89-$12.53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1,247</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2.45</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11.76</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1,237</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$12.54-$13.46</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284</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$13.61</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2.39</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13.61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843</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$14.22-$14.99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14.61</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$15.33</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919</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3.77</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15.33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919</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$15.43-$16.41</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4.86</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16.01</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$16.52-$20.86</w:t>
            </w:r>
          </w:p>
        </w:tc>
        <w:tc>
          <w:tcPr>
            <w:tcW w:w="18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1,203</w:t>
            </w:r>
          </w:p>
        </w:tc>
        <w:tc>
          <w:tcPr>
            <w:tcW w:w="100" w:type="dxa"/>
            <w:vAlign w:val="bottom"/>
          </w:tcPr>
          <w:p>
            <w:pPr>
              <w:spacing w:after="0"/>
              <w:rPr>
                <w:sz w:val="18"/>
                <w:szCs w:val="18"/>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3.23</w:t>
            </w: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18.93</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1,201</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18.93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$21.43-$23.53</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440" w:type="dxa"/>
            <w:vAlign w:val="bottom"/>
          </w:tcPr>
          <w:p>
            <w:pPr>
              <w:spacing w:after="0"/>
              <w:rPr>
                <w:sz w:val="20"/>
                <w:szCs w:val="20"/>
                <w:color w:val="auto"/>
              </w:rPr>
            </w:pPr>
            <w:r>
              <w:rPr>
                <w:rFonts w:ascii="Arial" w:cs="Arial" w:eastAsia="Arial" w:hAnsi="Arial"/>
                <w:sz w:val="18"/>
                <w:szCs w:val="18"/>
                <w:color w:val="auto"/>
              </w:rPr>
              <w:t>$25.13-$34.52</w:t>
            </w:r>
          </w:p>
        </w:tc>
        <w:tc>
          <w:tcPr>
            <w:tcW w:w="1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1,161</w:t>
            </w:r>
          </w:p>
        </w:tc>
        <w:tc>
          <w:tcPr>
            <w:tcW w:w="100" w:type="dxa"/>
            <w:vAlign w:val="bottom"/>
          </w:tcPr>
          <w:p>
            <w:pPr>
              <w:spacing w:after="0"/>
              <w:rPr>
                <w:sz w:val="19"/>
                <w:szCs w:val="19"/>
                <w:color w:val="auto"/>
              </w:rPr>
            </w:pP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4.47</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26.01</w:t>
            </w:r>
          </w:p>
        </w:tc>
        <w:tc>
          <w:tcPr>
            <w:tcW w:w="1380" w:type="dxa"/>
            <w:vAlign w:val="bottom"/>
            <w:gridSpan w:val="3"/>
          </w:tcPr>
          <w:p>
            <w:pPr>
              <w:jc w:val="right"/>
              <w:spacing w:after="0"/>
              <w:rPr>
                <w:sz w:val="20"/>
                <w:szCs w:val="20"/>
                <w:color w:val="auto"/>
              </w:rPr>
            </w:pPr>
            <w:r>
              <w:rPr>
                <w:rFonts w:ascii="Arial" w:cs="Arial" w:eastAsia="Arial" w:hAnsi="Arial"/>
                <w:sz w:val="18"/>
                <w:szCs w:val="18"/>
                <w:color w:val="auto"/>
              </w:rPr>
              <w:t>1,002</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26.05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4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0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4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15.87</w:t>
            </w:r>
          </w:p>
        </w:tc>
        <w:tc>
          <w:tcPr>
            <w:tcW w:w="13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7,618</w:t>
            </w:r>
          </w:p>
        </w:tc>
        <w:tc>
          <w:tcPr>
            <w:tcW w:w="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44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98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gridSpan w:val="2"/>
          </w:tcPr>
          <w:p>
            <w:pPr>
              <w:ind w:left="900"/>
              <w:spacing w:after="0"/>
              <w:rPr>
                <w:sz w:val="20"/>
                <w:szCs w:val="20"/>
                <w:color w:val="auto"/>
              </w:rPr>
            </w:pPr>
            <w:r>
              <w:rPr>
                <w:rFonts w:ascii="Arial" w:cs="Arial" w:eastAsia="Arial" w:hAnsi="Arial"/>
                <w:sz w:val="18"/>
                <w:szCs w:val="18"/>
                <w:color w:val="auto"/>
                <w:w w:val="97"/>
              </w:rPr>
              <w:t>F-45</w:t>
            </w:r>
          </w:p>
        </w:tc>
        <w:tc>
          <w:tcPr>
            <w:tcW w:w="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2944495</wp:posOffset>
            </wp:positionH>
            <wp:positionV relativeFrom="paragraph">
              <wp:posOffset>-368935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-368935</wp:posOffset>
            </wp:positionV>
            <wp:extent cx="1270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3013075</wp:posOffset>
            </wp:positionH>
            <wp:positionV relativeFrom="paragraph">
              <wp:posOffset>-368935</wp:posOffset>
            </wp:positionV>
            <wp:extent cx="12700"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4676775</wp:posOffset>
            </wp:positionH>
            <wp:positionV relativeFrom="paragraph">
              <wp:posOffset>-368935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-368935</wp:posOffset>
            </wp:positionV>
            <wp:extent cx="2447925"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447925"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05" w:name="page106"/>
    <w:bookmarkEnd w:id="105"/>
    <w:p>
      <w:pPr>
        <w:spacing w:after="0"/>
        <w:rPr>
          <w:sz w:val="20"/>
          <w:szCs w:val="20"/>
          <w:color w:val="auto"/>
        </w:rPr>
      </w:pPr>
      <w:r>
        <w:rPr>
          <w:rFonts w:ascii="Arial" w:cs="Arial" w:eastAsia="Arial" w:hAnsi="Arial"/>
          <w:sz w:val="18"/>
          <w:szCs w:val="18"/>
          <w:b w:val="1"/>
          <w:bCs w:val="1"/>
          <w:u w:val="single" w:color="auto"/>
          <w:color w:val="auto"/>
        </w:rPr>
        <w:t>Note 12 – Stock-Based Compensation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Stock</w:t>
      </w:r>
    </w:p>
    <w:p>
      <w:pPr>
        <w:spacing w:after="0" w:line="225" w:lineRule="exact"/>
        <w:rPr>
          <w:sz w:val="20"/>
          <w:szCs w:val="20"/>
          <w:color w:val="auto"/>
        </w:rPr>
      </w:pPr>
    </w:p>
    <w:p>
      <w:pPr>
        <w:ind w:right="180"/>
        <w:spacing w:after="0" w:line="256" w:lineRule="auto"/>
        <w:rPr>
          <w:sz w:val="20"/>
          <w:szCs w:val="20"/>
          <w:color w:val="auto"/>
        </w:rPr>
      </w:pPr>
      <w:r>
        <w:rPr>
          <w:rFonts w:ascii="Arial" w:cs="Arial" w:eastAsia="Arial" w:hAnsi="Arial"/>
          <w:sz w:val="18"/>
          <w:szCs w:val="18"/>
          <w:color w:val="auto"/>
        </w:rPr>
        <w:t>On May 12, 2004, the Company’s shareholders approved the Senior Executive Phantom Stock Plan. The Phantom Stock Plan authorizes the grant of up to 300,000 shares of phantom stock to the extent provided for in employment agreements with the Company. Each share of phantom stock entitles the recipient to receive a share of common stock at the individual’s termination of employment or any other future date specified in the employment agreement. The shares of phantom stock are fully vested at all times.</w:t>
      </w:r>
    </w:p>
    <w:p>
      <w:pPr>
        <w:spacing w:after="0" w:line="19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Phantom Stock Plan provides for the granting of shares of phantom stock to individuals whose employment arrangements with the Company provide for such grants. During the years ended December 31, 2005 and 2004, the Company had such employment arrangements with six of its executives. The arrangements provide for an annual grant of 5,000 shares of phantom stock to each of these executives. If the Company later enters into other employment arrangements with other individuals that provide for the granting of phantom stock, those individuals also will be eligible for grants under the Phantom Stock Plan. No grants may be made under the Phantom Stock Plan other than under the terms of employment arrangements with the Company.</w:t>
      </w:r>
    </w:p>
    <w:p>
      <w:pPr>
        <w:spacing w:after="0" w:line="170"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If the Company declares dividends on its common stock, the dividend amounts with respect to the phantom stock will be deemed reinvested in additional shares of phantom stock.</w:t>
      </w:r>
    </w:p>
    <w:p>
      <w:pPr>
        <w:spacing w:after="0" w:line="186" w:lineRule="exact"/>
        <w:rPr>
          <w:sz w:val="20"/>
          <w:szCs w:val="20"/>
          <w:color w:val="auto"/>
        </w:rPr>
      </w:pPr>
    </w:p>
    <w:p>
      <w:pPr>
        <w:ind w:right="60"/>
        <w:spacing w:after="0" w:line="294" w:lineRule="auto"/>
        <w:rPr>
          <w:sz w:val="20"/>
          <w:szCs w:val="20"/>
          <w:color w:val="auto"/>
        </w:rPr>
      </w:pPr>
      <w:r>
        <w:rPr>
          <w:rFonts w:ascii="Arial" w:cs="Arial" w:eastAsia="Arial" w:hAnsi="Arial"/>
          <w:sz w:val="16"/>
          <w:szCs w:val="16"/>
          <w:color w:val="auto"/>
        </w:rPr>
        <w:t>The Board of Directors of the Company can amend or terminate the Phantom Stock Plan at any time, except that phantom stock already granted to any individual cannot be adversely affected without the individual’s consent. Furthermore, stockholder approval of an amendment is required if the amendment increases the number of shares subject to the Phantom Stock Plan or otherwise materially amends the Phantom Stock Plan or if stockholder approval is otherwise required by applicable law or stock exchange rules. If the Board of Directors does not terminate the Phantom Stock Plan, it will terminate when all phantom stock has been awarded with respect to all 300,000 shares of common stock reserved for the Phantom Stock Plan.</w:t>
      </w:r>
    </w:p>
    <w:p>
      <w:pPr>
        <w:spacing w:after="0" w:line="170" w:lineRule="exact"/>
        <w:rPr>
          <w:sz w:val="20"/>
          <w:szCs w:val="20"/>
          <w:color w:val="auto"/>
        </w:rPr>
      </w:pPr>
    </w:p>
    <w:p>
      <w:pPr>
        <w:jc w:val="both"/>
        <w:ind w:right="240"/>
        <w:spacing w:after="0" w:line="259" w:lineRule="auto"/>
        <w:rPr>
          <w:sz w:val="20"/>
          <w:szCs w:val="20"/>
          <w:color w:val="auto"/>
        </w:rPr>
      </w:pPr>
      <w:r>
        <w:rPr>
          <w:rFonts w:ascii="Arial" w:cs="Arial" w:eastAsia="Arial" w:hAnsi="Arial"/>
          <w:sz w:val="18"/>
          <w:szCs w:val="18"/>
          <w:color w:val="auto"/>
        </w:rPr>
        <w:t>On both May 12, 2004 and January 3, 2005, the Company granted 30,000 phantom stock units and recognized compensation expense equal to the value of the underlying stock at the date of grant. The fair value of such grants pursuant to SFAS No. 123 is equal to the intrinsic value as determined pursuant to APB No. 25.</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20"/>
          </w:cols>
          <w:pgMar w:left="240" w:top="584" w:right="2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u w:val="single" w:color="auto"/>
          <w:color w:val="auto"/>
        </w:rPr>
        <w:t>Note 13 – Commitments and Contingencies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Leases</w:t>
      </w:r>
    </w:p>
    <w:p>
      <w:pPr>
        <w:spacing w:after="0" w:line="225" w:lineRule="exact"/>
        <w:rPr>
          <w:sz w:val="20"/>
          <w:szCs w:val="20"/>
          <w:color w:val="auto"/>
        </w:rPr>
      </w:pPr>
    </w:p>
    <w:p>
      <w:pPr>
        <w:ind w:right="880"/>
        <w:spacing w:after="0" w:line="268" w:lineRule="auto"/>
        <w:rPr>
          <w:sz w:val="20"/>
          <w:szCs w:val="20"/>
          <w:color w:val="auto"/>
        </w:rPr>
      </w:pPr>
      <w:r>
        <w:rPr>
          <w:rFonts w:ascii="Arial" w:cs="Arial" w:eastAsia="Arial" w:hAnsi="Arial"/>
          <w:sz w:val="18"/>
          <w:szCs w:val="18"/>
          <w:color w:val="auto"/>
        </w:rPr>
        <w:t>Total rental expense under operating leases was $31,592,000, $30,304,000, and $34,621,000 for the years ended December 31, 2005, 2004, and 2003,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Future minimum lease payments for operating leases with initial or remaining noncancelable lease terms in excess of one year are as follows </w:t>
      </w:r>
      <w:r>
        <w:rPr>
          <w:rFonts w:ascii="Arial" w:cs="Arial" w:eastAsia="Arial" w:hAnsi="Arial"/>
          <w:sz w:val="16"/>
          <w:szCs w:val="16"/>
          <w:i w:val="1"/>
          <w:iCs w:val="1"/>
          <w:color w:val="auto"/>
        </w:rPr>
        <w:t>(in thousands)</w:t>
      </w:r>
      <w:r>
        <w:rPr>
          <w:rFonts w:ascii="Arial" w:cs="Arial" w:eastAsia="Arial" w:hAnsi="Arial"/>
          <w:sz w:val="16"/>
          <w:szCs w:val="16"/>
          <w:color w:val="auto"/>
        </w:rPr>
        <w:t>:</w:t>
      </w:r>
    </w:p>
    <w:p>
      <w:pPr>
        <w:spacing w:after="0" w:line="257"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28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23,280</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2007</w:t>
            </w:r>
          </w:p>
        </w:tc>
        <w:tc>
          <w:tcPr>
            <w:tcW w:w="2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17,512</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28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12,579</w:t>
            </w:r>
          </w:p>
        </w:tc>
      </w:tr>
      <w:tr>
        <w:trPr>
          <w:trHeight w:val="216"/>
        </w:trPr>
        <w:tc>
          <w:tcPr>
            <w:tcW w:w="3300" w:type="dxa"/>
            <w:vAlign w:val="bottom"/>
          </w:tcPr>
          <w:p>
            <w:pPr>
              <w:spacing w:after="0"/>
              <w:rPr>
                <w:sz w:val="20"/>
                <w:szCs w:val="20"/>
                <w:color w:val="auto"/>
              </w:rPr>
            </w:pPr>
            <w:r>
              <w:rPr>
                <w:rFonts w:ascii="Arial" w:cs="Arial" w:eastAsia="Arial" w:hAnsi="Arial"/>
                <w:sz w:val="18"/>
                <w:szCs w:val="18"/>
                <w:color w:val="auto"/>
              </w:rPr>
              <w:t>2009</w:t>
            </w:r>
          </w:p>
        </w:tc>
        <w:tc>
          <w:tcPr>
            <w:tcW w:w="28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11,428</w:t>
            </w:r>
          </w:p>
        </w:tc>
      </w:tr>
      <w:tr>
        <w:trPr>
          <w:trHeight w:val="216"/>
        </w:trPr>
        <w:tc>
          <w:tcPr>
            <w:tcW w:w="330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28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10,803</w:t>
            </w:r>
          </w:p>
        </w:tc>
      </w:tr>
      <w:tr>
        <w:trPr>
          <w:trHeight w:val="222"/>
        </w:trPr>
        <w:tc>
          <w:tcPr>
            <w:tcW w:w="3300" w:type="dxa"/>
            <w:vAlign w:val="bottom"/>
          </w:tcPr>
          <w:p>
            <w:pPr>
              <w:spacing w:after="0"/>
              <w:rPr>
                <w:sz w:val="20"/>
                <w:szCs w:val="20"/>
                <w:color w:val="auto"/>
              </w:rPr>
            </w:pPr>
            <w:r>
              <w:rPr>
                <w:rFonts w:ascii="Arial" w:cs="Arial" w:eastAsia="Arial" w:hAnsi="Arial"/>
                <w:sz w:val="18"/>
                <w:szCs w:val="18"/>
                <w:color w:val="auto"/>
              </w:rPr>
              <w:t>Thereafter</w:t>
            </w:r>
          </w:p>
        </w:tc>
        <w:tc>
          <w:tcPr>
            <w:tcW w:w="28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55,518</w:t>
            </w: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color w:val="auto"/>
        </w:rPr>
        <w:t>The Company also has capital lease obligations of $5,912,000 at December 31, 2005, all of which is expected to be paid in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Environmental Matters</w:t>
      </w:r>
    </w:p>
    <w:p>
      <w:pPr>
        <w:spacing w:after="0" w:line="225" w:lineRule="exact"/>
        <w:rPr>
          <w:sz w:val="20"/>
          <w:szCs w:val="20"/>
          <w:color w:val="auto"/>
        </w:rPr>
      </w:pPr>
    </w:p>
    <w:p>
      <w:pPr>
        <w:ind w:right="520"/>
        <w:spacing w:after="0" w:line="306" w:lineRule="auto"/>
        <w:rPr>
          <w:sz w:val="20"/>
          <w:szCs w:val="20"/>
          <w:color w:val="auto"/>
        </w:rPr>
      </w:pPr>
      <w:r>
        <w:rPr>
          <w:rFonts w:ascii="Arial" w:cs="Arial" w:eastAsia="Arial" w:hAnsi="Arial"/>
          <w:sz w:val="16"/>
          <w:szCs w:val="16"/>
          <w:color w:val="auto"/>
        </w:rPr>
        <w:t>The Company is subject to various federal, state, local and foreign laws and regulations governing environmental matters, including the use, discharge and disposal of hazardous materials. The Company’s manufacturing facilities are believed to be in substantial compliance with current laws and regulations. Complying with current laws and regulations has not had a material adverse effect on the Company’s financial condition.</w:t>
      </w:r>
    </w:p>
    <w:p>
      <w:pPr>
        <w:spacing w:after="0" w:line="161"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 has engaged environmental consultants and attorneys to assist management in evaluating potential liabilities related to environmental matters. Management assesses the input from these consultants along with other information known to the Company in its effort to continually monitor these potential liabilities. Management assesses its environmental exposure on a site-by-site basis, including those sites where the Company has been named as a “potentially responsible party.” Such assessments include the Company’s share of remediation costs, information known to the Company concerning the size of the hazardous waste sites, their years of operation and the number of past users and their financial viability.</w:t>
      </w:r>
    </w:p>
    <w:p>
      <w:pPr>
        <w:spacing w:after="0" w:line="17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As part of the acquisitions of General Semiconductor in 2001 and BCcomponents in 2002, the Company assumed responsibility for remediation of environmental matters. The Company has accrued environmental liabilities of $17,400,000 as of December 31, 2005 relating to environmental matters related to its General Semiconductor subsidiary. The Company has accrued environmental liabilities of $7,300,000 as of December 31, 2005 relating to environmental matters related to its BCcomponents subsidiary. The Company has also accrued approximately $9,000,000 at December 31, 2005 for other environmental matters, the most significant of which is related to its Vitramon subsidiary in the United States. The liabilities recorded for these matters total $33,700,000, of which $5,100,000 is included in other accrued liabilities on the consolidated balance sheet, and $28,600,000 is included in other noncurrent liabilities on the consolidated balance sheet.</w:t>
      </w:r>
    </w:p>
    <w:p>
      <w:pPr>
        <w:spacing w:after="0" w:line="201"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While the ultimate outcome of these matters cannot be determined, management does not believe that the final disposition of these matters will have a material adverse effect on the Company’s consolidated financial position, results of operations, or cash flows beyond the amounts previously provided for in the consolidated financial statements. The Company’s present and past facilities have been in operation for many years. These facilities have used substances and have generated and disposed of wastes which are or might be considered hazardous. Therefore, it is possible that additional environmental issues may arise in the future, which the Company cannot now predict.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584" w:right="25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u w:val="single" w:color="auto"/>
          <w:color w:val="auto"/>
        </w:rPr>
        <w:t>Note 13 – Commitments and Contingencies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The Company is a party to various claims and lawsuits arising in the normal course of business. The Company is of the opinion that these litigations or claims will not have a material negative effect on its consolidated financial position, results of operations, or cash flows.</w:t>
      </w:r>
    </w:p>
    <w:p>
      <w:pPr>
        <w:spacing w:after="0" w:line="186" w:lineRule="exact"/>
        <w:rPr>
          <w:sz w:val="20"/>
          <w:szCs w:val="20"/>
          <w:color w:val="auto"/>
        </w:rPr>
      </w:pPr>
    </w:p>
    <w:p>
      <w:pPr>
        <w:ind w:right="160"/>
        <w:spacing w:after="0" w:line="284" w:lineRule="auto"/>
        <w:rPr>
          <w:sz w:val="20"/>
          <w:szCs w:val="20"/>
          <w:color w:val="auto"/>
        </w:rPr>
      </w:pPr>
      <w:r>
        <w:rPr>
          <w:rFonts w:ascii="Arial" w:cs="Arial" w:eastAsia="Arial" w:hAnsi="Arial"/>
          <w:sz w:val="16"/>
          <w:szCs w:val="16"/>
          <w:color w:val="auto"/>
        </w:rPr>
        <w:t>In January 2005, an amended class action complaint was filed on behalf of all non-Vishay stockholders of Siliconix against Vishay, Ernst &amp; Young LLP (the independent registered public accounting firm that audits the Company’s financial statements), Dr. Felix Zandman, Chairman and Chief Technical and Business Development Officer of Vishay, and, as a nominal defendant, Siliconix. The suit purports to state various derivative and class claims against the</w:t>
      </w:r>
    </w:p>
    <w:p>
      <w:pPr>
        <w:spacing w:after="0" w:line="1"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defendants including the purported taking by Vishay of Siliconix sales subsidiaries and the profits of those subsidiaries; the purported taking by Vishay of Siliconix’s SAP software system without compensation to Siliconix; the alleged use by Vishay of Siliconix’s assets as security for Vishay loans without compensation to Siliconix; the purported misappropriation by Vishay of Siliconix’s identity; the alleged taking by Vishay of Siliconix testing equipment; the alleged use by Vishay of Siliconix to save Vishay certain credits made available by an Israeli business development agency; the alleged misuse by Vishay of Siliconix’s patents to help Vishay acquire General Semiconductor; and the allegedly improper identification of Dr. Zandman as a co-inventor on certain Siliconix patents. The action seeks injunctive relief and unspecified damages.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On April 1, 2005, Vishay (i) demurred to the class action claim in the amended complaint, on the ground that plaintiffs lack standing to bring a direct claim,</w:t>
      </w:r>
    </w:p>
    <w:p>
      <w:pPr>
        <w:spacing w:after="0" w:line="38" w:lineRule="exact"/>
        <w:rPr>
          <w:sz w:val="20"/>
          <w:szCs w:val="20"/>
          <w:color w:val="auto"/>
        </w:rPr>
      </w:pPr>
    </w:p>
    <w:p>
      <w:pPr>
        <w:ind w:right="60" w:firstLine="8"/>
        <w:spacing w:after="0" w:line="290" w:lineRule="auto"/>
        <w:tabs>
          <w:tab w:leader="none" w:pos="258" w:val="left"/>
        </w:tabs>
        <w:numPr>
          <w:ilvl w:val="0"/>
          <w:numId w:val="17"/>
        </w:numPr>
        <w:rPr>
          <w:rFonts w:ascii="Arial" w:cs="Arial" w:eastAsia="Arial" w:hAnsi="Arial"/>
          <w:sz w:val="16"/>
          <w:szCs w:val="16"/>
          <w:color w:val="auto"/>
        </w:rPr>
      </w:pPr>
      <w:r>
        <w:rPr>
          <w:rFonts w:ascii="Arial" w:cs="Arial" w:eastAsia="Arial" w:hAnsi="Arial"/>
          <w:sz w:val="16"/>
          <w:szCs w:val="16"/>
          <w:color w:val="auto"/>
        </w:rPr>
        <w:t>moved to strike some of the allegations in the derivative cause of action as barred by the applicable statutes of limitation, and (iii) moved to dismiss the complaint on the ground that plaintiffs failed to prosecute their claims in a timely manner. Also on April 1, 2005, defendant Ernst &amp; Young moved to dismiss the claims against it and, in the alternative, for a stay of the litigation so that the causes of action asserted against Ernst &amp; Young may first be arbitrated. On June 10, 2005, Vishay and Ernst &amp; Young separately demurred to the derivative claim on the ground that as a consequence of the merger of Siliconix with a subsidiary of Vishay (see Note 2), plaintiffs no longer had standing to pursue a derivative claim. At a hearing on August 2, 2005, the Court sustained the parties’ demurrers to the direct and the derivative claims and granted plaintiffs leave to replead both claims.</w:t>
      </w:r>
    </w:p>
    <w:p>
      <w:pPr>
        <w:spacing w:after="0" w:line="172"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An amended complaint was filed in November 2005. Both Vishay and Ernst &amp; Young have demurred to the complaint, primarily on the ground that plaintiffs lack standing because of the nature of their claims and because they are no longer Siliconix shareholders.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Semiconductor Foundry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Siliconix subsidiary maintains long-term foundry agreements with subcontractors to ensure access to external front-end capacity.</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2004, Siliconix signed a definitive long-term foundry agreement for semiconductor manufacturing with Tower Semiconductor, pursuant to which Siliconix will purchase semiconductor wafers from and transfer certain technology to Tower Semiconductor. Siliconix will place orders valued at approximately $200 million for the purchase of semiconductor wafers to be manufactured in Tower’s Fab 1 facility over a seven to ten year period. The agreement specifies minimum quantities per month and a fixed quantity for the term of the agreement. Siliconix must pay for any short-fall in minimum order quantities specified under the agreement.</w:t>
      </w:r>
    </w:p>
    <w:p>
      <w:pPr>
        <w:spacing w:after="0" w:line="197"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technology transfer from Siliconix to Tower was substantially completed in the third quarter of 2005. After the completion of the technology transfer, the expected purchase commitments are approximately $8 million for year one of the agreement; approximately $16 million for year two of the agreement; and approximately $29 million per year through the end of the agreement.</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400"/>
          </w:cols>
          <w:pgMar w:left="240" w:top="584" w:right="25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07"/>
        </w:trPr>
        <w:tc>
          <w:tcPr>
            <w:tcW w:w="7560" w:type="dxa"/>
            <w:vAlign w:val="bottom"/>
            <w:gridSpan w:val="3"/>
          </w:tcPr>
          <w:p>
            <w:pPr>
              <w:spacing w:after="0"/>
              <w:rPr>
                <w:sz w:val="20"/>
                <w:szCs w:val="20"/>
                <w:color w:val="auto"/>
              </w:rPr>
            </w:pPr>
            <w:r>
              <w:rPr>
                <w:rFonts w:ascii="Arial" w:cs="Arial" w:eastAsia="Arial" w:hAnsi="Arial"/>
                <w:sz w:val="18"/>
                <w:szCs w:val="18"/>
                <w:b w:val="1"/>
                <w:bCs w:val="1"/>
                <w:color w:val="auto"/>
              </w:rPr>
              <w:t>Note 13 – Commitments and Contingencies (continued)</w:t>
            </w:r>
          </w:p>
        </w:tc>
        <w:tc>
          <w:tcPr>
            <w:tcW w:w="8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140" w:type="dxa"/>
            <w:vAlign w:val="bottom"/>
            <w:gridSpan w:val="2"/>
            <w:shd w:val="clear" w:color="auto" w:fill="000000"/>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1"/>
        </w:trPr>
        <w:tc>
          <w:tcPr>
            <w:tcW w:w="7560" w:type="dxa"/>
            <w:vAlign w:val="bottom"/>
            <w:gridSpan w:val="3"/>
          </w:tcPr>
          <w:p>
            <w:pPr>
              <w:spacing w:after="0"/>
              <w:rPr>
                <w:sz w:val="20"/>
                <w:szCs w:val="20"/>
                <w:color w:val="auto"/>
              </w:rPr>
            </w:pPr>
            <w:r>
              <w:rPr>
                <w:rFonts w:ascii="Arial" w:cs="Arial" w:eastAsia="Arial" w:hAnsi="Arial"/>
                <w:sz w:val="18"/>
                <w:szCs w:val="18"/>
                <w:color w:val="auto"/>
                <w:w w:val="95"/>
              </w:rPr>
              <w:t xml:space="preserve">Future purchase commitments under the Tower agreement are estimated as follows </w:t>
            </w:r>
            <w:r>
              <w:rPr>
                <w:rFonts w:ascii="Arial" w:cs="Arial" w:eastAsia="Arial" w:hAnsi="Arial"/>
                <w:sz w:val="18"/>
                <w:szCs w:val="18"/>
                <w:i w:val="1"/>
                <w:iCs w:val="1"/>
                <w:color w:val="auto"/>
                <w:w w:val="95"/>
              </w:rPr>
              <w:t>(in thousands):</w:t>
            </w:r>
          </w:p>
        </w:tc>
        <w:tc>
          <w:tcPr>
            <w:tcW w:w="8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300" w:type="dxa"/>
            <w:vAlign w:val="bottom"/>
            <w:vMerge w:val="restart"/>
          </w:tcPr>
          <w:p>
            <w:pPr>
              <w:spacing w:after="0"/>
              <w:rPr>
                <w:sz w:val="18"/>
                <w:szCs w:val="18"/>
                <w:color w:val="auto"/>
              </w:rPr>
            </w:pPr>
          </w:p>
        </w:tc>
        <w:tc>
          <w:tcPr>
            <w:tcW w:w="184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300" w:type="dxa"/>
            <w:vAlign w:val="bottom"/>
            <w:vMerge w:val="continue"/>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2006</w:t>
            </w:r>
          </w:p>
        </w:tc>
        <w:tc>
          <w:tcPr>
            <w:tcW w:w="342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2007</w:t>
            </w:r>
          </w:p>
        </w:tc>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2008</w:t>
            </w:r>
          </w:p>
        </w:tc>
        <w:tc>
          <w:tcPr>
            <w:tcW w:w="3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40" w:type="dxa"/>
            <w:vAlign w:val="bottom"/>
          </w:tcPr>
          <w:p>
            <w:pPr>
              <w:spacing w:after="0"/>
              <w:rPr>
                <w:sz w:val="20"/>
                <w:szCs w:val="20"/>
                <w:color w:val="auto"/>
              </w:rPr>
            </w:pPr>
            <w:r>
              <w:rPr>
                <w:rFonts w:ascii="Arial" w:cs="Arial" w:eastAsia="Arial" w:hAnsi="Arial"/>
                <w:sz w:val="18"/>
                <w:szCs w:val="18"/>
                <w:color w:val="auto"/>
              </w:rPr>
              <w:t>2009</w:t>
            </w:r>
          </w:p>
        </w:tc>
        <w:tc>
          <w:tcPr>
            <w:tcW w:w="34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16"/>
        </w:trPr>
        <w:tc>
          <w:tcPr>
            <w:tcW w:w="2300" w:type="dxa"/>
            <w:vAlign w:val="bottom"/>
          </w:tcPr>
          <w:p>
            <w:pPr>
              <w:spacing w:after="0"/>
              <w:rPr>
                <w:sz w:val="18"/>
                <w:szCs w:val="18"/>
                <w:color w:val="auto"/>
              </w:rPr>
            </w:pPr>
          </w:p>
        </w:tc>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4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29,000</w:t>
            </w:r>
          </w:p>
        </w:tc>
        <w:tc>
          <w:tcPr>
            <w:tcW w:w="0" w:type="dxa"/>
            <w:vAlign w:val="bottom"/>
          </w:tcPr>
          <w:p>
            <w:pPr>
              <w:spacing w:after="0"/>
              <w:rPr>
                <w:sz w:val="1"/>
                <w:szCs w:val="1"/>
                <w:color w:val="auto"/>
              </w:rPr>
            </w:pPr>
          </w:p>
        </w:tc>
      </w:tr>
      <w:tr>
        <w:trPr>
          <w:trHeight w:val="222"/>
        </w:trPr>
        <w:tc>
          <w:tcPr>
            <w:tcW w:w="2300" w:type="dxa"/>
            <w:vAlign w:val="bottom"/>
          </w:tcPr>
          <w:p>
            <w:pPr>
              <w:spacing w:after="0"/>
              <w:rPr>
                <w:sz w:val="19"/>
                <w:szCs w:val="19"/>
                <w:color w:val="auto"/>
              </w:rPr>
            </w:pPr>
          </w:p>
        </w:tc>
        <w:tc>
          <w:tcPr>
            <w:tcW w:w="526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8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73,000</w:t>
            </w:r>
          </w:p>
        </w:tc>
        <w:tc>
          <w:tcPr>
            <w:tcW w:w="0" w:type="dxa"/>
            <w:vAlign w:val="bottom"/>
          </w:tcPr>
          <w:p>
            <w:pPr>
              <w:spacing w:after="0"/>
              <w:rPr>
                <w:sz w:val="1"/>
                <w:szCs w:val="1"/>
                <w:color w:val="auto"/>
              </w:rPr>
            </w:pPr>
          </w:p>
        </w:tc>
      </w:tr>
    </w:tbl>
    <w:p>
      <w:pPr>
        <w:spacing w:after="0" w:line="201"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Pursuant to the agreement, Siliconix advanced $20 million to Tower in the third quarter of 2004, to be used for the purchase of additional equipment required to satisfy Siliconix’s orders. This advance was considered a prepayment on future wafer purchases, reducing the per wafer cost to Siliconix over the term of the agreement. The consolidated balance sheet as of December 31, 2005 includes $1,907,000 in other current assets for prepayments expected to be utilized within one year and $17,627,317 in other assets related to credits to be utilized during the remaining term of the agreement. Management believes that these commitments are at prices which are not in excess of current market prices.</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Also in 2004, Siliconix entered into a five-year foundry agreement for semiconductor manufacturing with a subcontractor in Japan. This agreement was a continuation and expansion of a previous technology transfer and business agreement for the manufacture of silicon wafers. The agreement calls for Siliconix to provide a rolling twelve-month forecast of estimated requirements. The first six months of this forecast are fixed as to quantity, and the subsequent six months are guaranteed not to be less than a quantity stated in the agreement. Thereafter, the monthly quantity may vary based on market demand. Under the agreement, Siliconix must guarantee that its business with this subcontractor represents a minimum percentage of wafer requirements and is required to use its best efforts not to reduce the average monthly demand rate below a specified threshold.</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Management believes that its minimum purchase commitments with this subcontractor are as follows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234" w:lineRule="exact"/>
        <w:rPr>
          <w:sz w:val="20"/>
          <w:szCs w:val="20"/>
          <w:color w:val="auto"/>
        </w:rPr>
      </w:pPr>
    </w:p>
    <w:tbl>
      <w:tblPr>
        <w:tblLayout w:type="fixed"/>
        <w:tblInd w:w="2300" w:type="dxa"/>
        <w:tblCellMar>
          <w:top w:w="0" w:type="dxa"/>
          <w:left w:w="0" w:type="dxa"/>
          <w:bottom w:w="0" w:type="dxa"/>
          <w:right w:w="0" w:type="dxa"/>
        </w:tblCellMar>
      </w:tblPr>
      <w:tr>
        <w:trPr>
          <w:trHeight w:val="216"/>
        </w:trPr>
        <w:tc>
          <w:tcPr>
            <w:tcW w:w="3100" w:type="dxa"/>
            <w:vAlign w:val="bottom"/>
            <w:shd w:val="clear" w:color="auto" w:fill="CCEEFF"/>
          </w:tcPr>
          <w:p>
            <w:pPr>
              <w:jc w:val="right"/>
              <w:ind w:right="2672"/>
              <w:spacing w:after="0"/>
              <w:rPr>
                <w:sz w:val="20"/>
                <w:szCs w:val="20"/>
                <w:color w:val="auto"/>
              </w:rPr>
            </w:pPr>
            <w:r>
              <w:rPr>
                <w:rFonts w:ascii="Arial" w:cs="Arial" w:eastAsia="Arial" w:hAnsi="Arial"/>
                <w:sz w:val="18"/>
                <w:szCs w:val="18"/>
                <w:color w:val="auto"/>
                <w:w w:val="79"/>
              </w:rPr>
              <w:t>2006</w:t>
            </w:r>
          </w:p>
        </w:tc>
        <w:tc>
          <w:tcPr>
            <w:tcW w:w="302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w:t>
            </w:r>
          </w:p>
        </w:tc>
      </w:tr>
      <w:tr>
        <w:trPr>
          <w:trHeight w:val="216"/>
        </w:trPr>
        <w:tc>
          <w:tcPr>
            <w:tcW w:w="3100" w:type="dxa"/>
            <w:vAlign w:val="bottom"/>
          </w:tcPr>
          <w:p>
            <w:pPr>
              <w:jc w:val="right"/>
              <w:ind w:right="2672"/>
              <w:spacing w:after="0"/>
              <w:rPr>
                <w:sz w:val="20"/>
                <w:szCs w:val="20"/>
                <w:color w:val="auto"/>
              </w:rPr>
            </w:pPr>
            <w:r>
              <w:rPr>
                <w:rFonts w:ascii="Arial" w:cs="Arial" w:eastAsia="Arial" w:hAnsi="Arial"/>
                <w:sz w:val="18"/>
                <w:szCs w:val="18"/>
                <w:color w:val="auto"/>
                <w:w w:val="79"/>
              </w:rPr>
              <w:t>2007</w:t>
            </w:r>
          </w:p>
        </w:tc>
        <w:tc>
          <w:tcPr>
            <w:tcW w:w="30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27,000</w:t>
            </w:r>
          </w:p>
        </w:tc>
      </w:tr>
      <w:tr>
        <w:trPr>
          <w:trHeight w:val="216"/>
        </w:trPr>
        <w:tc>
          <w:tcPr>
            <w:tcW w:w="3100" w:type="dxa"/>
            <w:vAlign w:val="bottom"/>
            <w:shd w:val="clear" w:color="auto" w:fill="CCEEFF"/>
          </w:tcPr>
          <w:p>
            <w:pPr>
              <w:jc w:val="right"/>
              <w:ind w:right="2672"/>
              <w:spacing w:after="0"/>
              <w:rPr>
                <w:sz w:val="20"/>
                <w:szCs w:val="20"/>
                <w:color w:val="auto"/>
              </w:rPr>
            </w:pPr>
            <w:r>
              <w:rPr>
                <w:rFonts w:ascii="Arial" w:cs="Arial" w:eastAsia="Arial" w:hAnsi="Arial"/>
                <w:sz w:val="18"/>
                <w:szCs w:val="18"/>
                <w:color w:val="auto"/>
                <w:w w:val="79"/>
              </w:rPr>
              <w:t>2008</w:t>
            </w:r>
          </w:p>
        </w:tc>
        <w:tc>
          <w:tcPr>
            <w:tcW w:w="30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27,000</w:t>
            </w:r>
          </w:p>
        </w:tc>
      </w:tr>
      <w:tr>
        <w:trPr>
          <w:trHeight w:val="222"/>
        </w:trPr>
        <w:tc>
          <w:tcPr>
            <w:tcW w:w="3100" w:type="dxa"/>
            <w:vAlign w:val="bottom"/>
          </w:tcPr>
          <w:p>
            <w:pPr>
              <w:jc w:val="right"/>
              <w:ind w:right="2672"/>
              <w:spacing w:after="0"/>
              <w:rPr>
                <w:sz w:val="20"/>
                <w:szCs w:val="20"/>
                <w:color w:val="auto"/>
              </w:rPr>
            </w:pPr>
            <w:r>
              <w:rPr>
                <w:rFonts w:ascii="Arial" w:cs="Arial" w:eastAsia="Arial" w:hAnsi="Arial"/>
                <w:sz w:val="18"/>
                <w:szCs w:val="18"/>
                <w:color w:val="auto"/>
                <w:w w:val="79"/>
              </w:rPr>
              <w:t>2009</w:t>
            </w:r>
          </w:p>
        </w:tc>
        <w:tc>
          <w:tcPr>
            <w:tcW w:w="30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9,000</w:t>
            </w:r>
          </w:p>
        </w:tc>
      </w:tr>
    </w:tbl>
    <w:p>
      <w:pPr>
        <w:spacing w:after="0" w:line="20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Management believes that actual purchases will be in excess of these minimum commitments. Purchases from this subcontractor in 2005 were approximately $54,000,000.</w:t>
      </w:r>
    </w:p>
    <w:p>
      <w:pPr>
        <w:spacing w:after="0" w:line="18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These purchase commitments are for the manufacture of proprietary products using Siliconix-owned technology licensed to these subcontractors by Siliconix, and accordingly, management can only estimate the “market price” of the wafers which are the subject of these commitments. Management believes that these commitments are at prices which are not in excess of current market prices.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Purchase Commitments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15 for a discussion of tantalum and palladium purchase commitments.</w:t>
      </w:r>
    </w:p>
    <w:p>
      <w:pPr>
        <w:spacing w:after="0" w:line="225"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The Company has various other purchase commitments incidental to the ordinary conduct of business. Such commitments are at prices which are not in excess of current market prices.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420"/>
          </w:cols>
          <w:pgMar w:left="240" w:top="567" w:right="2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b w:val="1"/>
          <w:bCs w:val="1"/>
          <w:u w:val="single" w:color="auto"/>
          <w:color w:val="auto"/>
        </w:rPr>
        <w:t>Note 14 – Financial Instruments</w:t>
      </w:r>
    </w:p>
    <w:p>
      <w:pPr>
        <w:spacing w:after="0" w:line="23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color w:val="auto"/>
        </w:rPr>
        <w:t>The Company uses financial instruments in the normal course of its business, including derivative financial instruments, for purposes other than trading. These financial instruments include debt and interest rate swap agreements. The notional or contractual amounts of these commitments and other financial instruments are discussed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Financial instruments with potential credit risk consist principally of cash and cash equivalents and accounts receivable. The Company maintains cash and cash equivalents with various major financial institutions. Concentrations of credit risk with respect to receivables are generally limited due to the Company’s large number of customers and their dispersion across many countries and industries. At December 31, 2005 and 2004, the Company had no significant concentrations of credit risk.</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 Agreements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August 1998, the Company entered into six interest rate swap agreements, with a total notional amount of $300,000,000, to manage interest rate risk related to its multicurrency revolving line of credit. These interest rate swap agreements required the Company to make payments to the counterparties at the fixed rate stated in the agreements, and in return to receive payments from the counterparties at variable rates. As of December 31, 2002, five of these six agreements had been terminated. The final agreement expired in 2003. During the year ended December 31, 2003, the Company had a pretax gain of $3,783,000 related to the expiration of the final swap agreement.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 Short-Term Investments, Accounts Receivable, Notes Payable, and Long-Term Debt</w:t>
      </w:r>
    </w:p>
    <w:p>
      <w:pPr>
        <w:spacing w:after="0" w:line="225"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The carrying amounts of cash and cash equivalents, short-term investments, accounts receivable, and notes payable reported in the consolidated balance sheets approximate their fair values. The fair value of the long-term debt at December 31, 2005 is approximately $739,728,000, as compared to its carrying value of $753,086,000. The fair value of long-term debt was estimated based on trading prices and market prices of debt with similar terms and features.</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340"/>
          </w:cols>
          <w:pgMar w:left="240" w:top="584" w:right="31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b w:val="1"/>
          <w:bCs w:val="1"/>
          <w:u w:val="single" w:color="auto"/>
          <w:color w:val="auto"/>
        </w:rPr>
        <w:t>Note 15 – Current Vulnerability Due to Certain Concentrations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 Concentrations</w:t>
      </w:r>
    </w:p>
    <w:p>
      <w:pPr>
        <w:spacing w:after="0" w:line="225" w:lineRule="exact"/>
        <w:rPr>
          <w:sz w:val="20"/>
          <w:szCs w:val="20"/>
          <w:color w:val="auto"/>
        </w:rPr>
      </w:pPr>
    </w:p>
    <w:p>
      <w:pPr>
        <w:ind w:right="480"/>
        <w:spacing w:after="0" w:line="256" w:lineRule="auto"/>
        <w:rPr>
          <w:sz w:val="20"/>
          <w:szCs w:val="20"/>
          <w:color w:val="auto"/>
        </w:rPr>
      </w:pPr>
      <w:r>
        <w:rPr>
          <w:rFonts w:ascii="Arial" w:cs="Arial" w:eastAsia="Arial" w:hAnsi="Arial"/>
          <w:sz w:val="18"/>
          <w:szCs w:val="18"/>
          <w:color w:val="auto"/>
        </w:rPr>
        <w:t>While no single customer comprises greater than 10% of net revenues, a material portion of the Company’s revenues is derived from the worldwide communications and computer markets. These markets have historically experienced wide variations in demand for end products. If demand for these end products should decrease, the producers thereof could reduce their purchases of the Company’s products, which could have a material adverse effect on the Company’s results of operations and financial position.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Supplies</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Many of the Company’s products require the use of raw materials that are produced in only a limited number of regions around the world or are available from only a limited number of suppliers. The Company’s consolidated results of operations may be materially and adversely affected if the Company has difficulty obtaining these raw materials, the quality of available raw materials deteriorates or there are significant price increases for these raw materials. For periods in which the prices of these raw materials are rising, the Company may be unable to pass on the increased cost to the Company’s customers, which would result in decreased margins for the products in which they are used. For periods in which the prices are declining, the Company may be required to write down its inventory carrying cost of these raw materials which, depending on the extent of the difference between market price and its carrying cost, could have a material adverse effect on the Company’s net earnings.</w:t>
      </w:r>
    </w:p>
    <w:p>
      <w:pPr>
        <w:spacing w:after="0" w:line="17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From time to time, there have been short-term market shortages of raw materials utilized by the Company. While these shortages have not historically adversely affected the Company’s ability to increase production of products containing these raw materials, they have historically resulted in higher raw material costs for the Company. The Company cannot assure that any of these market shortages in the future would not adversely affect the Company’s ability to increase production, particularly during periods of growing demand for the Company’s products.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Tantalum</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Vishay is a major consumer of the world’s annual production of tantalum. Tantalum, a metal purchased in powder or wire form, is the principal material used 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the manufacture of tantalum capacitors. There are currently three major suppliers that process tantalum ore into capacitor grade tantalum powder. Due to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strong demand for the Company’s tantalum capacitors and difficulty in obtaining sufficient quantities of tantalum powder from our suppliers, the Company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stockpiled tantalum in 2000 and early 2001. From 2001 to 2003, the Company and its competitors experienced a significant decline in the tantalum capacitor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as well as significant decreases in the market prices for tantalum. As a result, the Company recorded, in costs of products sold, a write-down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$5,406,000 on tantalum inventories during the year ended December 31, 2003. The Company also recorded (gain)/loss adjustments to its tantalum purchase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commitments of $(963,000), $16,213,000 and $11,392,000 for the years ended December 31, 2005, 2004, and 2003, respectively. The Company’s purchase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commitments were entered into at a time when market demand for tantalum capacitors was high and tantalum powder was in short supply.</w:t>
      </w:r>
    </w:p>
    <w:p>
      <w:pPr>
        <w:spacing w:after="0" w:line="219"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Company’s liability for purchase commitments is estimated based on contractually obligated purchase prices, expected market prices, and the contractually obligated mix of tantalum-grades to be purchased. The mix of tantalum-grades to be purchased is within a range specified in the contracts. The pricing trend for tantalum has been relatively stable since 2003. If the downward pricing trend were to resume, the Company could again be required to write down the carrying value of its tantalum inventory and record additional losses on its purchase commitments. Changes in the Company’s mix of tantalum-grade purchases could also require the Company to record additional losses on its purchase commitments.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380"/>
          </w:cols>
          <w:pgMar w:left="240" w:top="584" w:right="27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u w:val="single" w:color="auto"/>
          <w:color w:val="auto"/>
        </w:rPr>
        <w:t>Note 15 – Current Vulnerability Due to Certain Concentrations (continued)</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Company is obligated under a contract with Cabot Corporation to make purchases of tantalum of approximately $67,100,000 in 2006. The Company purchased $101,057,000, $107,438,000, and $107,906,000 under these contracts during the years ended December 31, 2005, 2004, and 2003, respectively. As long as Vishay is in compliance with its purchase obligations under the Cabot contracts, its minimum purchase commitments will not increase. The Company believes that it has been in compliance with all requirements of these contracts through December 31, 2005. If Vishay were to default under its commitments, then the minimum requirements would revert to the quantities specified in the contracts prior to their modification in July 2002, and increase to $81,300,000 in 2006. Vishay believes that the likelihood that it would default on its obligations under the contracts is remote.</w:t>
      </w:r>
    </w:p>
    <w:p>
      <w:pPr>
        <w:spacing w:after="0" w:line="174"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The loss on purchase commitments of $11,392,000 recorded in 2003 was principally attributable to a decline in market prices. The mix of the Company’s purchases of tantalum-grades during 2004 and 2005 was significantly different than initially assumed, which resulted in additional losses on purchase commitments being recorded in 2004 and 2005 of $16,213,000 and approximately $6 million, respectively. One of the Company’s contracts with Cabot provides for price reductions in 2006 if certain conditions are met. Those conditions were met during the fourth quarter of 2005, and accordingly, the Company’s estimates of its liability for these purchase commitments were adjusted to reflect the fact that the Company will receive these conditional price reductions in 2006. The amount of this adjustment was approximately $7 million. This adjustment, net of approximately $6 million of costs associated with differences between the actual and anticipated mix of tantalum-grades purchased during 2005, resulted in the net gain of $963,000 included on the consolidated statement of operations for the year ended December 31, 2005.</w:t>
      </w:r>
    </w:p>
    <w:p>
      <w:pPr>
        <w:spacing w:after="0" w:line="172"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At December 31, 2005 and 2004, the Company had tantalum with a book value of $117,359,000 and $97,656,000, respectively. Of these amounts, the Company classified $65,179,000 and $42,039,000, respectively, as other assets, representing the value of quantities which would not be used within one year.</w:t>
      </w:r>
    </w:p>
    <w:p>
      <w:pPr>
        <w:spacing w:after="0" w:line="139"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At December 31, 2005 and 2004, the Company had $19,741,000 and $64,510,000, respectively, of total liabilities recorded related to tantalum purchase commitments. Of the total liabilities recorded, the Company has classified $19,741,000 and $33,410,000 as current liabilities within other accrued expenses at December 31, 2005 and 2004, respectively, for amounts expected to be utilized within one year.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Palladium</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Palladium, a metal used to produce multi-layer ceramic capacitors, is currently found primarily in South Africa and Russia. Palladium is a commodity product that is subject to price volatility. The price of palladium has fluctuated in the range of approximately $148 to $322 per troy ounce during the last three years. As of December 31, 2005, the price of palladium was approximately $258 per troy ounce. During the years ended December 31, 2004 and 2003, the Company recorded in costs of products sold write-downs of $400,000 and $1,585,000, respectively, to reduce palladium inventories on hand to then-current market value. The net book value of palladium inventories was $3,630,000 and $3,218,000 at December 31, 2005 and 2004, respectively.</w:t>
      </w:r>
    </w:p>
    <w:p>
      <w:pPr>
        <w:spacing w:after="0" w:line="17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At December 31, 2004, the Company had commitments to purchase palladium in 2005 at a contract price that was greater than the then-current market price. The Company recognized a loss of $400,000 during the year ended December 31, 2004 related to these purchase commitments. The Company had no purchase commitments for palladium at December 31, 2005.</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Geographic Concentration</w:t>
      </w:r>
    </w:p>
    <w:p>
      <w:pPr>
        <w:spacing w:after="0" w:line="225" w:lineRule="exact"/>
        <w:rPr>
          <w:sz w:val="20"/>
          <w:szCs w:val="20"/>
          <w:color w:val="auto"/>
        </w:rPr>
      </w:pPr>
    </w:p>
    <w:p>
      <w:pPr>
        <w:ind w:right="400"/>
        <w:spacing w:after="0" w:line="255" w:lineRule="auto"/>
        <w:rPr>
          <w:sz w:val="20"/>
          <w:szCs w:val="20"/>
          <w:color w:val="auto"/>
        </w:rPr>
      </w:pPr>
      <w:r>
        <w:rPr>
          <w:rFonts w:ascii="Arial" w:cs="Arial" w:eastAsia="Arial" w:hAnsi="Arial"/>
          <w:sz w:val="18"/>
          <w:szCs w:val="18"/>
          <w:color w:val="auto"/>
        </w:rPr>
        <w:t>To address the increasing demand for its products and to lower its costs, the Company has significant manufacturing operations in Israel in order to take advantage of that country’s lower wage rates, highly skilled labor force, government-sponsored grants, and various tax abatement programs. Israeli incentive programs have contributed substantially to the growth and profitability of the Company. The Company might be materially and adversely affected if these incentive programs were no longer available to the Company or if events were to occur in the Middle East that materially interfered with the Company’s operations in Israel.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584" w:right="239" w:bottom="1440" w:gutter="0" w:footer="0" w:header="0"/>
        </w:sectPr>
      </w:pPr>
    </w:p>
    <w:bookmarkStart w:id="112" w:name="page113"/>
    <w:bookmarkEnd w:id="112"/>
    <w:p>
      <w:pPr>
        <w:spacing w:after="0"/>
        <w:rPr>
          <w:sz w:val="20"/>
          <w:szCs w:val="20"/>
          <w:color w:val="auto"/>
        </w:rPr>
      </w:pPr>
      <w:r>
        <w:rPr>
          <w:rFonts w:ascii="Arial" w:cs="Arial" w:eastAsia="Arial" w:hAnsi="Arial"/>
          <w:sz w:val="18"/>
          <w:szCs w:val="18"/>
          <w:b w:val="1"/>
          <w:bCs w:val="1"/>
          <w:u w:val="single" w:color="auto"/>
          <w:color w:val="auto"/>
        </w:rPr>
        <w:t>Note 16 –Segment and Geographic Data</w:t>
      </w:r>
    </w:p>
    <w:p>
      <w:pPr>
        <w:spacing w:after="0" w:line="231"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Vishay designs, manufactures, and markets electronic components that cover a wide range of products and technologies. The Company has two reportable segments: Semiconductors (formerly referred to as the “Active Components” segment) consisting principally of diodes, transistors, power MOSFETs, power conversion, motor control integrated circuits, optoelectronic components and IRDCs, and Passive Electronic Components consisting principally of fixed resistors, solid tantalum surface mount chip capacitors, solid tantalum leaded capacitors, wet/foil tantalum capacitors, multi-layer ceramic chip capacitors, film capacitors, inductors, transducers, strain gages, and load cells.</w:t>
      </w:r>
    </w:p>
    <w:p>
      <w:pPr>
        <w:spacing w:after="0" w:line="19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The Company evaluates business segment performance on operating income, exclusive of certain items. Management believes that evaluating segment performance excluding items such as restructuring and severance, asset write-downs, inventory write-downs, gains or losses on purchase commitments, charges for in-process research and development, and other items is meaningful because its provides insight with respect to intrinsic operating results of the Company. The accounting policies of the business segments are the same as those described in the summary of significant accounting policies (see Note 1). Business segment assets are the owned or allocated assets used by each business. The following table sets forth business segment information as of and for the years ended December 31, 2005, 2004, and 2003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54"/>
              <w:spacing w:after="0"/>
              <w:rPr>
                <w:sz w:val="20"/>
                <w:szCs w:val="20"/>
                <w:color w:val="auto"/>
              </w:rPr>
            </w:pPr>
            <w:r>
              <w:rPr>
                <w:rFonts w:ascii="Arial" w:cs="Arial" w:eastAsia="Arial" w:hAnsi="Arial"/>
                <w:sz w:val="14"/>
                <w:szCs w:val="14"/>
                <w:b w:val="1"/>
                <w:bCs w:val="1"/>
                <w:color w:val="auto"/>
              </w:rPr>
              <w:t>Semi-</w:t>
            </w:r>
          </w:p>
        </w:tc>
        <w:tc>
          <w:tcPr>
            <w:tcW w:w="1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jc w:val="right"/>
              <w:ind w:right="314"/>
              <w:spacing w:after="0"/>
              <w:rPr>
                <w:sz w:val="20"/>
                <w:szCs w:val="20"/>
                <w:color w:val="auto"/>
              </w:rPr>
            </w:pPr>
            <w:r>
              <w:rPr>
                <w:rFonts w:ascii="Arial" w:cs="Arial" w:eastAsia="Arial" w:hAnsi="Arial"/>
                <w:sz w:val="14"/>
                <w:szCs w:val="14"/>
                <w:b w:val="1"/>
                <w:bCs w:val="1"/>
                <w:color w:val="auto"/>
              </w:rPr>
              <w:t>Passive</w:t>
            </w: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2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8"/>
              </w:rPr>
              <w:t>Corporate/</w:t>
            </w:r>
          </w:p>
        </w:tc>
        <w:tc>
          <w:tcPr>
            <w:tcW w:w="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94"/>
              <w:spacing w:after="0"/>
              <w:rPr>
                <w:sz w:val="20"/>
                <w:szCs w:val="20"/>
                <w:color w:val="auto"/>
              </w:rPr>
            </w:pPr>
            <w:r>
              <w:rPr>
                <w:rFonts w:ascii="Arial" w:cs="Arial" w:eastAsia="Arial" w:hAnsi="Arial"/>
                <w:sz w:val="14"/>
                <w:szCs w:val="14"/>
                <w:b w:val="1"/>
                <w:bCs w:val="1"/>
                <w:color w:val="auto"/>
                <w:w w:val="94"/>
              </w:rPr>
              <w:t>conductors</w:t>
            </w: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jc w:val="right"/>
              <w:ind w:right="154"/>
              <w:spacing w:after="0"/>
              <w:rPr>
                <w:sz w:val="20"/>
                <w:szCs w:val="20"/>
                <w:color w:val="auto"/>
              </w:rPr>
            </w:pPr>
            <w:r>
              <w:rPr>
                <w:rFonts w:ascii="Arial" w:cs="Arial" w:eastAsia="Arial" w:hAnsi="Arial"/>
                <w:sz w:val="14"/>
                <w:szCs w:val="14"/>
                <w:b w:val="1"/>
                <w:bCs w:val="1"/>
                <w:color w:val="auto"/>
                <w:w w:val="88"/>
              </w:rPr>
              <w:t>Components</w:t>
            </w: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gridSpan w:val="2"/>
          </w:tcPr>
          <w:p>
            <w:pPr>
              <w:jc w:val="right"/>
              <w:ind w:right="540"/>
              <w:spacing w:after="0"/>
              <w:rPr>
                <w:sz w:val="20"/>
                <w:szCs w:val="20"/>
                <w:color w:val="auto"/>
              </w:rPr>
            </w:pPr>
            <w:r>
              <w:rPr>
                <w:rFonts w:ascii="Arial" w:cs="Arial" w:eastAsia="Arial" w:hAnsi="Arial"/>
                <w:sz w:val="14"/>
                <w:szCs w:val="14"/>
                <w:b w:val="1"/>
                <w:bCs w:val="1"/>
                <w:color w:val="auto"/>
              </w:rPr>
              <w:t>Other</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gridSpan w:val="2"/>
          </w:tcPr>
          <w:p>
            <w:pPr>
              <w:ind w:left="1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40" w:type="dxa"/>
            <w:vAlign w:val="bottom"/>
          </w:tcPr>
          <w:p>
            <w:pPr>
              <w:spacing w:after="0"/>
              <w:rPr>
                <w:sz w:val="8"/>
                <w:szCs w:val="8"/>
                <w:color w:val="auto"/>
              </w:rPr>
            </w:pPr>
          </w:p>
        </w:tc>
        <w:tc>
          <w:tcPr>
            <w:tcW w:w="3620" w:type="dxa"/>
            <w:vAlign w:val="bottom"/>
          </w:tcPr>
          <w:p>
            <w:pPr>
              <w:spacing w:after="0"/>
              <w:rPr>
                <w:sz w:val="8"/>
                <w:szCs w:val="8"/>
                <w:color w:val="auto"/>
              </w:rPr>
            </w:pPr>
          </w:p>
        </w:tc>
        <w:tc>
          <w:tcPr>
            <w:tcW w:w="204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00" w:type="dxa"/>
            <w:vAlign w:val="bottom"/>
          </w:tcPr>
          <w:p>
            <w:pPr>
              <w:spacing w:after="0"/>
              <w:rPr>
                <w:sz w:val="8"/>
                <w:szCs w:val="8"/>
                <w:color w:val="auto"/>
              </w:rPr>
            </w:pPr>
          </w:p>
        </w:tc>
        <w:tc>
          <w:tcPr>
            <w:tcW w:w="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2005</w:t>
            </w:r>
          </w:p>
        </w:tc>
        <w:tc>
          <w:tcPr>
            <w:tcW w:w="36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1,142,492</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1,154,029</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2,296,521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127,348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48,738</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(80,125)</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95,961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Restructuring and severance costs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8,861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20,911</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29,772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write-downs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543</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10,873</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11,416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87,238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85,713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1,488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174,439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345</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31,383</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33,590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89,323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45,367</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2,024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136,714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2,239,569</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2,210,715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77,307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4,527,591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3960" w:type="dxa"/>
            <w:vAlign w:val="bottom"/>
            <w:gridSpan w:val="2"/>
          </w:tcPr>
          <w:p>
            <w:pPr>
              <w:spacing w:after="0" w:line="176" w:lineRule="exact"/>
              <w:rPr>
                <w:sz w:val="20"/>
                <w:szCs w:val="20"/>
                <w:color w:val="auto"/>
              </w:rPr>
            </w:pPr>
            <w:r>
              <w:rPr>
                <w:rFonts w:ascii="Arial" w:cs="Arial" w:eastAsia="Arial" w:hAnsi="Arial"/>
                <w:sz w:val="18"/>
                <w:szCs w:val="18"/>
                <w:b w:val="1"/>
                <w:bCs w:val="1"/>
                <w:color w:val="auto"/>
              </w:rPr>
              <w:t>2004</w:t>
            </w:r>
          </w:p>
        </w:tc>
        <w:tc>
          <w:tcPr>
            <w:tcW w:w="2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sales</w:t>
            </w:r>
          </w:p>
        </w:tc>
        <w:tc>
          <w:tcPr>
            <w:tcW w:w="2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1,204,094</w:t>
            </w:r>
          </w:p>
        </w:tc>
        <w:tc>
          <w:tcPr>
            <w:tcW w:w="3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1,210,560</w:t>
            </w:r>
          </w:p>
        </w:tc>
        <w:tc>
          <w:tcPr>
            <w:tcW w:w="3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2,414,654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Segment operating income (loss)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155,756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54,618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(116,805)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93,569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Restructuring and severance costs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31,088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16,162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47,250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Asset write-downs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4,553</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22,743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27,296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Depreciation expense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91,720</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98,181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191,132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Interest expense</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326</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2,418</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31,508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34,252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104,094</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52,605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1,928</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158,627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2,317,668</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2,240,889</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80,033</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4,638,590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79"/>
              </w:rPr>
              <w:t>2003</w:t>
            </w:r>
          </w:p>
        </w:tc>
        <w:tc>
          <w:tcPr>
            <w:tcW w:w="3620" w:type="dxa"/>
            <w:vAlign w:val="bottom"/>
            <w:tcBorders>
              <w:bottom w:val="single" w:sz="8" w:color="CCEEFF"/>
            </w:tcBorders>
            <w:shd w:val="clear" w:color="auto" w:fill="CCEEFF"/>
          </w:tcPr>
          <w:p>
            <w:pPr>
              <w:spacing w:after="0"/>
              <w:rPr>
                <w:sz w:val="17"/>
                <w:szCs w:val="17"/>
                <w:color w:val="auto"/>
              </w:rPr>
            </w:pPr>
          </w:p>
        </w:tc>
        <w:tc>
          <w:tcPr>
            <w:tcW w:w="204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Net sales</w:t>
            </w:r>
          </w:p>
        </w:tc>
        <w:tc>
          <w:tcPr>
            <w:tcW w:w="22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1,065,741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1,104,856</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2,170,597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Segment operating income (loss)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114,498</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13,767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(68,898)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59,367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Restructuring and severance costs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3,272</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25,274</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28,546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write-downs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Depreciation expense</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85,821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90,133</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4,752</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180,706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7,452</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28,797</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39,226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tcPr>
          <w:p>
            <w:pPr>
              <w:spacing w:after="0"/>
              <w:rPr>
                <w:sz w:val="20"/>
                <w:szCs w:val="20"/>
                <w:color w:val="auto"/>
              </w:rPr>
            </w:pPr>
            <w:r>
              <w:rPr>
                <w:rFonts w:ascii="Arial" w:cs="Arial" w:eastAsia="Arial" w:hAnsi="Arial"/>
                <w:sz w:val="18"/>
                <w:szCs w:val="18"/>
                <w:color w:val="auto"/>
              </w:rPr>
              <w:t>Capital expenditures</w:t>
            </w:r>
          </w:p>
        </w:tc>
        <w:tc>
          <w:tcPr>
            <w:tcW w:w="2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72,051</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53,500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126,635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assets</w:t>
            </w:r>
          </w:p>
        </w:tc>
        <w:tc>
          <w:tcPr>
            <w:tcW w:w="20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2,280,737</w:t>
            </w:r>
          </w:p>
        </w:tc>
        <w:tc>
          <w:tcPr>
            <w:tcW w:w="1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2,163,952</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121,671</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4,566,360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2200" w:type="dxa"/>
            <w:vAlign w:val="bottom"/>
            <w:gridSpan w:val="2"/>
          </w:tcPr>
          <w:p>
            <w:pPr>
              <w:jc w:val="right"/>
              <w:ind w:right="300"/>
              <w:spacing w:after="0"/>
              <w:rPr>
                <w:sz w:val="20"/>
                <w:szCs w:val="20"/>
                <w:color w:val="auto"/>
              </w:rPr>
            </w:pPr>
            <w:r>
              <w:rPr>
                <w:rFonts w:ascii="Arial" w:cs="Arial" w:eastAsia="Arial" w:hAnsi="Arial"/>
                <w:sz w:val="18"/>
                <w:szCs w:val="18"/>
                <w:color w:val="auto"/>
              </w:rPr>
              <w:t>F-53</w:t>
            </w: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4"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u w:val="single" w:color="auto"/>
          <w:color w:val="auto"/>
        </w:rPr>
        <w:t>Note 16 –Segment and Geographic Data (continued)</w:t>
      </w:r>
    </w:p>
    <w:p>
      <w:pPr>
        <w:spacing w:after="0" w:line="231" w:lineRule="exact"/>
        <w:rPr>
          <w:sz w:val="20"/>
          <w:szCs w:val="20"/>
          <w:color w:val="auto"/>
        </w:rPr>
      </w:pPr>
    </w:p>
    <w:p>
      <w:pPr>
        <w:jc w:val="both"/>
        <w:ind w:right="280"/>
        <w:spacing w:after="0" w:line="259" w:lineRule="auto"/>
        <w:rPr>
          <w:sz w:val="20"/>
          <w:szCs w:val="20"/>
          <w:color w:val="auto"/>
        </w:rPr>
      </w:pPr>
      <w:r>
        <w:rPr>
          <w:rFonts w:ascii="Arial" w:cs="Arial" w:eastAsia="Arial" w:hAnsi="Arial"/>
          <w:sz w:val="18"/>
          <w:szCs w:val="18"/>
          <w:color w:val="auto"/>
        </w:rPr>
        <w:t xml:space="preserve">Corporate assets include corporate cash, property and equipment, and certain other assets. The “Corporate/Other” column for segment operating income (loss) includes corporate selling, general, and administrative expenses and certain items which management excludes from segment results when evaluating segment performance, as follows </w:t>
      </w:r>
      <w:r>
        <w:rPr>
          <w:rFonts w:ascii="Arial" w:cs="Arial" w:eastAsia="Arial" w:hAnsi="Arial"/>
          <w:sz w:val="18"/>
          <w:szCs w:val="18"/>
          <w:i w:val="1"/>
          <w:i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56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w w:val="84"/>
              </w:rPr>
              <w:t>Years ended December 31,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Corporate selling, general, and administrative expenses</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(26,455)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(23,746)</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(20,955)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Gain (loss) on purchase commitments</w:t>
            </w:r>
          </w:p>
        </w:tc>
        <w:tc>
          <w:tcPr>
            <w:tcW w:w="26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rPr>
              <w:t>963</w:t>
            </w:r>
          </w:p>
        </w:tc>
        <w:tc>
          <w:tcPr>
            <w:tcW w:w="1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(16,613)</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(11,392)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Write-downs of tantalum and palladium</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32"/>
              <w:spacing w:after="0"/>
              <w:rPr>
                <w:sz w:val="20"/>
                <w:szCs w:val="20"/>
                <w:color w:val="auto"/>
              </w:rPr>
            </w:pPr>
            <w:r>
              <w:rPr>
                <w:rFonts w:ascii="Arial" w:cs="Arial" w:eastAsia="Arial" w:hAnsi="Arial"/>
                <w:sz w:val="18"/>
                <w:szCs w:val="18"/>
                <w:b w:val="1"/>
                <w:bCs w:val="1"/>
                <w:color w:val="auto"/>
              </w:rPr>
              <w:t>—</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Siliconix transaction-related expenses</w:t>
            </w:r>
          </w:p>
        </w:tc>
        <w:tc>
          <w:tcPr>
            <w:tcW w:w="26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(3,751)</w:t>
            </w:r>
          </w:p>
        </w:tc>
        <w:tc>
          <w:tcPr>
            <w:tcW w:w="260" w:type="dxa"/>
            <w:vAlign w:val="bottom"/>
          </w:tcPr>
          <w:p>
            <w:pPr>
              <w:spacing w:after="0"/>
              <w:rPr>
                <w:sz w:val="18"/>
                <w:szCs w:val="18"/>
                <w:color w:val="auto"/>
              </w:rPr>
            </w:pPr>
          </w:p>
        </w:tc>
        <w:tc>
          <w:tcPr>
            <w:tcW w:w="1120" w:type="dxa"/>
            <w:vAlign w:val="bottom"/>
            <w:gridSpan w:val="3"/>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Purchased in-process research and development</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(9,694)</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(1,500)</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Restructuring and severance costs</w:t>
            </w:r>
          </w:p>
        </w:tc>
        <w:tc>
          <w:tcPr>
            <w:tcW w:w="260" w:type="dxa"/>
            <w:vAlign w:val="bottom"/>
          </w:tcPr>
          <w:p>
            <w:pPr>
              <w:spacing w:after="0"/>
              <w:rPr>
                <w:sz w:val="18"/>
                <w:szCs w:val="18"/>
                <w:color w:val="auto"/>
              </w:rPr>
            </w:pPr>
          </w:p>
        </w:tc>
        <w:tc>
          <w:tcPr>
            <w:tcW w:w="1100" w:type="dxa"/>
            <w:vAlign w:val="bottom"/>
            <w:gridSpan w:val="2"/>
          </w:tcPr>
          <w:p>
            <w:pPr>
              <w:jc w:val="right"/>
              <w:ind w:right="92"/>
              <w:spacing w:after="0"/>
              <w:rPr>
                <w:sz w:val="20"/>
                <w:szCs w:val="20"/>
                <w:color w:val="auto"/>
              </w:rPr>
            </w:pPr>
            <w:r>
              <w:rPr>
                <w:rFonts w:ascii="Arial" w:cs="Arial" w:eastAsia="Arial" w:hAnsi="Arial"/>
                <w:sz w:val="18"/>
                <w:szCs w:val="18"/>
                <w:b w:val="1"/>
                <w:bCs w:val="1"/>
                <w:color w:val="auto"/>
              </w:rPr>
              <w:t>(29,772)</w:t>
            </w:r>
          </w:p>
        </w:tc>
        <w:tc>
          <w:tcPr>
            <w:tcW w:w="260" w:type="dxa"/>
            <w:vAlign w:val="bottom"/>
          </w:tcPr>
          <w:p>
            <w:pPr>
              <w:spacing w:after="0"/>
              <w:rPr>
                <w:sz w:val="18"/>
                <w:szCs w:val="18"/>
                <w:color w:val="auto"/>
              </w:rPr>
            </w:pPr>
          </w:p>
        </w:tc>
        <w:tc>
          <w:tcPr>
            <w:tcW w:w="1120" w:type="dxa"/>
            <w:vAlign w:val="bottom"/>
            <w:gridSpan w:val="3"/>
          </w:tcPr>
          <w:p>
            <w:pPr>
              <w:jc w:val="right"/>
              <w:ind w:right="160"/>
              <w:spacing w:after="0"/>
              <w:rPr>
                <w:sz w:val="20"/>
                <w:szCs w:val="20"/>
                <w:color w:val="auto"/>
              </w:rPr>
            </w:pPr>
            <w:r>
              <w:rPr>
                <w:rFonts w:ascii="Arial" w:cs="Arial" w:eastAsia="Arial" w:hAnsi="Arial"/>
                <w:sz w:val="18"/>
                <w:szCs w:val="18"/>
                <w:color w:val="auto"/>
              </w:rPr>
              <w:t>(47,250)</w:t>
            </w:r>
          </w:p>
        </w:tc>
        <w:tc>
          <w:tcPr>
            <w:tcW w:w="140" w:type="dxa"/>
            <w:vAlign w:val="bottom"/>
          </w:tcPr>
          <w:p>
            <w:pPr>
              <w:spacing w:after="0"/>
              <w:rPr>
                <w:sz w:val="18"/>
                <w:szCs w:val="18"/>
                <w:color w:val="auto"/>
              </w:rPr>
            </w:pPr>
          </w:p>
        </w:tc>
        <w:tc>
          <w:tcPr>
            <w:tcW w:w="1140" w:type="dxa"/>
            <w:vAlign w:val="bottom"/>
            <w:gridSpan w:val="2"/>
          </w:tcPr>
          <w:p>
            <w:pPr>
              <w:jc w:val="right"/>
              <w:ind w:right="60"/>
              <w:spacing w:after="0"/>
              <w:rPr>
                <w:sz w:val="20"/>
                <w:szCs w:val="20"/>
                <w:color w:val="auto"/>
              </w:rPr>
            </w:pPr>
            <w:r>
              <w:rPr>
                <w:rFonts w:ascii="Arial" w:cs="Arial" w:eastAsia="Arial" w:hAnsi="Arial"/>
                <w:sz w:val="18"/>
                <w:szCs w:val="18"/>
                <w:color w:val="auto"/>
              </w:rPr>
              <w:t>(28,546)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Asset write-downs</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(11,416)</w:t>
            </w:r>
          </w:p>
        </w:tc>
        <w:tc>
          <w:tcPr>
            <w:tcW w:w="2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(27,296)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6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b w:val="1"/>
                <w:bCs w:val="1"/>
                <w:color w:val="auto"/>
                <w:w w:val="71"/>
              </w:rPr>
              <w:t>$</w:t>
            </w:r>
          </w:p>
        </w:tc>
        <w:tc>
          <w:tcPr>
            <w:tcW w:w="1100" w:type="dxa"/>
            <w:vAlign w:val="bottom"/>
            <w:gridSpan w:val="2"/>
            <w:shd w:val="clear" w:color="auto" w:fill="CCEEFF"/>
          </w:tcPr>
          <w:p>
            <w:pPr>
              <w:jc w:val="right"/>
              <w:ind w:right="92"/>
              <w:spacing w:after="0"/>
              <w:rPr>
                <w:sz w:val="20"/>
                <w:szCs w:val="20"/>
                <w:color w:val="auto"/>
              </w:rPr>
            </w:pPr>
            <w:r>
              <w:rPr>
                <w:rFonts w:ascii="Arial" w:cs="Arial" w:eastAsia="Arial" w:hAnsi="Arial"/>
                <w:sz w:val="18"/>
                <w:szCs w:val="18"/>
                <w:b w:val="1"/>
                <w:bCs w:val="1"/>
                <w:color w:val="auto"/>
              </w:rPr>
              <w:t>(80,125)</w:t>
            </w:r>
          </w:p>
        </w:tc>
        <w:tc>
          <w:tcPr>
            <w:tcW w:w="260" w:type="dxa"/>
            <w:vAlign w:val="bottom"/>
            <w:shd w:val="clear" w:color="auto" w:fill="CCEEFF"/>
          </w:tcPr>
          <w:p>
            <w:pPr>
              <w:jc w:val="right"/>
              <w:ind w:right="103"/>
              <w:spacing w:after="0"/>
              <w:rPr>
                <w:sz w:val="20"/>
                <w:szCs w:val="20"/>
                <w:color w:val="auto"/>
              </w:rPr>
            </w:pPr>
            <w:r>
              <w:rPr>
                <w:rFonts w:ascii="Arial" w:cs="Arial" w:eastAsia="Arial" w:hAnsi="Arial"/>
                <w:sz w:val="15"/>
                <w:szCs w:val="15"/>
                <w:color w:val="auto"/>
                <w:w w:val="71"/>
              </w:rPr>
              <w:t>$</w:t>
            </w:r>
          </w:p>
        </w:tc>
        <w:tc>
          <w:tcPr>
            <w:tcW w:w="11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(116,805)</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(68,898)</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260" w:type="dxa"/>
            <w:vAlign w:val="bottom"/>
            <w:tcBorders>
              <w:bottom w:val="single" w:sz="8" w:color="auto"/>
            </w:tcBorders>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-29210</wp:posOffset>
            </wp:positionV>
            <wp:extent cx="12700"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12700"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56464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564640" cy="29845"/>
                    </a:xfrm>
                    <a:prstGeom prst="rect">
                      <a:avLst/>
                    </a:prstGeom>
                    <a:noFill/>
                  </pic:spPr>
                </pic:pic>
              </a:graphicData>
            </a:graphic>
          </wp:anchor>
        </w:drawing>
      </w:r>
    </w:p>
    <w:p>
      <w:pPr>
        <w:spacing w:after="0" w:line="293"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color w:val="auto"/>
        </w:rPr>
        <w:t xml:space="preserve">The following geographic data include net sales based on revenues generated by subsidiaries located within that geographic area and property and equipment based on physical location </w:t>
      </w:r>
      <w:r>
        <w:rPr>
          <w:rFonts w:ascii="Arial" w:cs="Arial" w:eastAsia="Arial" w:hAnsi="Arial"/>
          <w:sz w:val="18"/>
          <w:szCs w:val="18"/>
          <w:i w:val="1"/>
          <w:iCs w:val="1"/>
          <w:color w:val="auto"/>
        </w:rPr>
        <w:t>(in thousands)</w:t>
      </w:r>
      <w:r>
        <w:rPr>
          <w:rFonts w:ascii="Arial" w:cs="Arial" w:eastAsia="Arial" w:hAnsi="Arial"/>
          <w:sz w:val="18"/>
          <w:szCs w:val="18"/>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Revenues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3860" w:type="dxa"/>
            <w:vAlign w:val="bottom"/>
          </w:tcPr>
          <w:p>
            <w:pPr>
              <w:spacing w:after="0"/>
              <w:rPr>
                <w:sz w:val="15"/>
                <w:szCs w:val="15"/>
                <w:color w:val="auto"/>
              </w:rPr>
            </w:pPr>
          </w:p>
        </w:tc>
        <w:tc>
          <w:tcPr>
            <w:tcW w:w="35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gridSpan w:val="6"/>
          </w:tcPr>
          <w:p>
            <w:pPr>
              <w:spacing w:after="0"/>
              <w:rPr>
                <w:sz w:val="20"/>
                <w:szCs w:val="20"/>
                <w:color w:val="auto"/>
              </w:rPr>
            </w:pPr>
            <w:r>
              <w:rPr>
                <w:rFonts w:ascii="Arial" w:cs="Arial" w:eastAsia="Arial" w:hAnsi="Arial"/>
                <w:sz w:val="14"/>
                <w:szCs w:val="14"/>
                <w:b w:val="1"/>
                <w:bCs w:val="1"/>
                <w:color w:val="auto"/>
                <w:w w:val="85"/>
              </w:rPr>
              <w:t>Years ended December 31,</w:t>
            </w:r>
          </w:p>
        </w:tc>
        <w:tc>
          <w:tcPr>
            <w:tcW w:w="105" w:type="dxa"/>
            <w:vAlign w:val="bottom"/>
          </w:tcPr>
          <w:p>
            <w:pPr>
              <w:spacing w:after="0"/>
              <w:rPr>
                <w:sz w:val="15"/>
                <w:szCs w:val="15"/>
                <w:color w:val="auto"/>
              </w:rPr>
            </w:pPr>
          </w:p>
        </w:tc>
        <w:tc>
          <w:tcPr>
            <w:tcW w:w="1055"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5" w:type="dxa"/>
            <w:vAlign w:val="bottom"/>
          </w:tcPr>
          <w:p>
            <w:pPr>
              <w:spacing w:after="0"/>
              <w:rPr>
                <w:sz w:val="22"/>
                <w:szCs w:val="22"/>
                <w:color w:val="auto"/>
              </w:rPr>
            </w:pPr>
          </w:p>
        </w:tc>
        <w:tc>
          <w:tcPr>
            <w:tcW w:w="1055" w:type="dxa"/>
            <w:vAlign w:val="bottom"/>
          </w:tcPr>
          <w:p>
            <w:pPr>
              <w:jc w:val="right"/>
              <w:ind w:right="375"/>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Borders>
              <w:bottom w:val="single" w:sz="8" w:color="auto"/>
            </w:tcBorders>
          </w:tcPr>
          <w:p>
            <w:pPr>
              <w:spacing w:after="0"/>
              <w:rPr>
                <w:sz w:val="8"/>
                <w:szCs w:val="8"/>
                <w:color w:val="auto"/>
              </w:rPr>
            </w:pPr>
          </w:p>
        </w:tc>
        <w:tc>
          <w:tcPr>
            <w:tcW w:w="1055"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421,077</w:t>
            </w: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526,569</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5"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444,952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Germany</w:t>
            </w: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540,132</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588,720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534,019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 Europe</w:t>
            </w:r>
          </w:p>
        </w:tc>
        <w:tc>
          <w:tcPr>
            <w:tcW w:w="3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382,734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495,514</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465,533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Israel</w:t>
            </w: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180,115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185,801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jc w:val="right"/>
              <w:spacing w:after="0"/>
              <w:rPr>
                <w:sz w:val="20"/>
                <w:szCs w:val="20"/>
                <w:color w:val="auto"/>
              </w:rPr>
            </w:pPr>
            <w:r>
              <w:rPr>
                <w:rFonts w:ascii="Arial" w:cs="Arial" w:eastAsia="Arial" w:hAnsi="Arial"/>
                <w:sz w:val="18"/>
                <w:szCs w:val="18"/>
                <w:color w:val="auto"/>
              </w:rPr>
              <w:t>130,852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Asia Pacific</w:t>
            </w:r>
          </w:p>
        </w:tc>
        <w:tc>
          <w:tcPr>
            <w:tcW w:w="3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772,463</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618,050</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5" w:type="dxa"/>
            <w:vAlign w:val="bottom"/>
            <w:shd w:val="clear" w:color="auto" w:fill="CCEEFF"/>
          </w:tcPr>
          <w:p>
            <w:pPr>
              <w:spacing w:after="0"/>
              <w:rPr>
                <w:sz w:val="18"/>
                <w:szCs w:val="18"/>
                <w:color w:val="auto"/>
              </w:rPr>
            </w:pP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595,241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352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5" w:type="dxa"/>
            <w:vAlign w:val="bottom"/>
            <w:tcBorders>
              <w:bottom w:val="single" w:sz="8" w:color="auto"/>
            </w:tcBorders>
          </w:tcPr>
          <w:p>
            <w:pPr>
              <w:spacing w:after="0"/>
              <w:rPr>
                <w:sz w:val="9"/>
                <w:szCs w:val="9"/>
                <w:color w:val="auto"/>
              </w:rPr>
            </w:pPr>
          </w:p>
        </w:tc>
        <w:tc>
          <w:tcPr>
            <w:tcW w:w="1055"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2,296,521</w:t>
            </w: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2,414,654</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5"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1055"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2,170,597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388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Property and Equipment - Net</w:t>
            </w:r>
          </w:p>
        </w:tc>
        <w:tc>
          <w:tcPr>
            <w:tcW w:w="35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5" w:type="dxa"/>
            <w:vAlign w:val="bottom"/>
            <w:tcBorders>
              <w:bottom w:val="single" w:sz="8" w:color="auto"/>
            </w:tcBorders>
          </w:tcPr>
          <w:p>
            <w:pPr>
              <w:spacing w:after="0"/>
              <w:rPr>
                <w:sz w:val="11"/>
                <w:szCs w:val="11"/>
                <w:color w:val="auto"/>
              </w:rPr>
            </w:pPr>
          </w:p>
        </w:tc>
        <w:tc>
          <w:tcPr>
            <w:tcW w:w="1055"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3880" w:type="dxa"/>
            <w:vAlign w:val="bottom"/>
            <w:gridSpan w:val="2"/>
            <w:vMerge w:val="continue"/>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gridSpan w:val="5"/>
          </w:tcPr>
          <w:p>
            <w:pPr>
              <w:jc w:val="right"/>
              <w:ind w:right="60"/>
              <w:spacing w:after="0"/>
              <w:rPr>
                <w:sz w:val="20"/>
                <w:szCs w:val="20"/>
                <w:color w:val="auto"/>
              </w:rPr>
            </w:pPr>
            <w:r>
              <w:rPr>
                <w:rFonts w:ascii="Arial" w:cs="Arial" w:eastAsia="Arial" w:hAnsi="Arial"/>
                <w:sz w:val="14"/>
                <w:szCs w:val="14"/>
                <w:b w:val="1"/>
                <w:bCs w:val="1"/>
                <w:color w:val="auto"/>
              </w:rPr>
              <w:t>December 31,</w:t>
            </w: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52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38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40" w:type="dxa"/>
            <w:vAlign w:val="bottom"/>
          </w:tcPr>
          <w:p>
            <w:pPr>
              <w:jc w:val="right"/>
              <w:ind w:right="395"/>
              <w:spacing w:after="0"/>
              <w:rPr>
                <w:sz w:val="20"/>
                <w:szCs w:val="20"/>
                <w:color w:val="auto"/>
              </w:rPr>
            </w:pPr>
            <w:r>
              <w:rPr>
                <w:rFonts w:ascii="Arial" w:cs="Arial" w:eastAsia="Arial" w:hAnsi="Arial"/>
                <w:sz w:val="14"/>
                <w:szCs w:val="14"/>
                <w:b w:val="1"/>
                <w:bCs w:val="1"/>
                <w:color w:val="auto"/>
              </w:rPr>
              <w:t>2005</w:t>
            </w: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82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5" w:type="dxa"/>
            <w:vAlign w:val="bottom"/>
          </w:tcPr>
          <w:p>
            <w:pPr>
              <w:spacing w:after="0"/>
              <w:rPr>
                <w:sz w:val="22"/>
                <w:szCs w:val="22"/>
                <w:color w:val="auto"/>
              </w:rPr>
            </w:pPr>
          </w:p>
        </w:tc>
        <w:tc>
          <w:tcPr>
            <w:tcW w:w="1055"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3880" w:type="dxa"/>
            <w:vAlign w:val="bottom"/>
            <w:gridSpan w:val="2"/>
          </w:tcPr>
          <w:p>
            <w:pPr>
              <w:spacing w:after="0"/>
              <w:rPr>
                <w:sz w:val="8"/>
                <w:szCs w:val="8"/>
                <w:color w:val="auto"/>
              </w:rPr>
            </w:pPr>
          </w:p>
        </w:tc>
        <w:tc>
          <w:tcPr>
            <w:tcW w:w="3540" w:type="dxa"/>
            <w:vAlign w:val="bottom"/>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gridSpan w:val="3"/>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3860" w:type="dxa"/>
            <w:vAlign w:val="bottom"/>
          </w:tcPr>
          <w:p>
            <w:pPr>
              <w:spacing w:after="0"/>
              <w:rPr>
                <w:sz w:val="8"/>
                <w:szCs w:val="8"/>
                <w:color w:val="auto"/>
              </w:rPr>
            </w:pPr>
          </w:p>
        </w:tc>
        <w:tc>
          <w:tcPr>
            <w:tcW w:w="3660" w:type="dxa"/>
            <w:vAlign w:val="bottom"/>
            <w:gridSpan w:val="3"/>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gridSpan w:val="4"/>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3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169,057</w:t>
            </w: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184,570</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Germany</w:t>
            </w: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121,438</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130,811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Czech Republic</w:t>
            </w:r>
          </w:p>
        </w:tc>
        <w:tc>
          <w:tcPr>
            <w:tcW w:w="3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61,891</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74,073</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Europe</w:t>
            </w: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113,619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148,038</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Israel</w:t>
            </w:r>
          </w:p>
        </w:tc>
        <w:tc>
          <w:tcPr>
            <w:tcW w:w="3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242,112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272,186</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People’s Republic of China</w:t>
            </w: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172,395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157,760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Republic of China (Taiwan)</w:t>
            </w:r>
          </w:p>
        </w:tc>
        <w:tc>
          <w:tcPr>
            <w:tcW w:w="3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157,704</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158,420</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Other Asia Pacific</w:t>
            </w:r>
          </w:p>
        </w:tc>
        <w:tc>
          <w:tcPr>
            <w:tcW w:w="3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50,304</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43,534</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3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2,072</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2,423</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860" w:type="dxa"/>
            <w:vAlign w:val="bottom"/>
          </w:tcPr>
          <w:p>
            <w:pPr>
              <w:spacing w:after="0"/>
              <w:rPr>
                <w:sz w:val="9"/>
                <w:szCs w:val="9"/>
                <w:color w:val="auto"/>
              </w:rPr>
            </w:pPr>
          </w:p>
        </w:tc>
        <w:tc>
          <w:tcPr>
            <w:tcW w:w="3540" w:type="dxa"/>
            <w:vAlign w:val="bottom"/>
            <w:gridSpan w:val="2"/>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0" w:type="dxa"/>
            <w:vAlign w:val="bottom"/>
            <w:gridSpan w:val="3"/>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8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5" w:type="dxa"/>
            <w:vAlign w:val="bottom"/>
          </w:tcPr>
          <w:p>
            <w:pPr>
              <w:spacing w:after="0"/>
              <w:rPr>
                <w:sz w:val="9"/>
                <w:szCs w:val="9"/>
                <w:color w:val="auto"/>
              </w:rPr>
            </w:pPr>
          </w:p>
        </w:tc>
        <w:tc>
          <w:tcPr>
            <w:tcW w:w="1055"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3860" w:type="dxa"/>
            <w:vAlign w:val="bottom"/>
          </w:tcPr>
          <w:p>
            <w:pPr>
              <w:spacing w:after="0"/>
              <w:rPr>
                <w:sz w:val="8"/>
                <w:szCs w:val="8"/>
                <w:color w:val="auto"/>
              </w:rPr>
            </w:pPr>
          </w:p>
        </w:tc>
        <w:tc>
          <w:tcPr>
            <w:tcW w:w="3660" w:type="dxa"/>
            <w:vAlign w:val="bottom"/>
            <w:gridSpan w:val="3"/>
          </w:tcPr>
          <w:p>
            <w:pPr>
              <w:spacing w:after="0"/>
              <w:rPr>
                <w:sz w:val="8"/>
                <w:szCs w:val="8"/>
                <w:color w:val="auto"/>
              </w:rPr>
            </w:pPr>
          </w:p>
        </w:tc>
        <w:tc>
          <w:tcPr>
            <w:tcW w:w="1040" w:type="dxa"/>
            <w:vAlign w:val="bottom"/>
          </w:tcPr>
          <w:p>
            <w:pPr>
              <w:spacing w:after="0"/>
              <w:rPr>
                <w:sz w:val="8"/>
                <w:szCs w:val="8"/>
                <w:color w:val="auto"/>
              </w:rPr>
            </w:pPr>
          </w:p>
        </w:tc>
        <w:tc>
          <w:tcPr>
            <w:tcW w:w="540" w:type="dxa"/>
            <w:vAlign w:val="bottom"/>
            <w:gridSpan w:val="4"/>
          </w:tcPr>
          <w:p>
            <w:pPr>
              <w:spacing w:after="0"/>
              <w:rPr>
                <w:sz w:val="8"/>
                <w:szCs w:val="8"/>
                <w:color w:val="auto"/>
              </w:rPr>
            </w:pPr>
          </w:p>
        </w:tc>
        <w:tc>
          <w:tcPr>
            <w:tcW w:w="8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5" w:type="dxa"/>
            <w:vAlign w:val="bottom"/>
          </w:tcPr>
          <w:p>
            <w:pPr>
              <w:spacing w:after="0"/>
              <w:rPr>
                <w:sz w:val="8"/>
                <w:szCs w:val="8"/>
                <w:color w:val="auto"/>
              </w:rPr>
            </w:pPr>
          </w:p>
        </w:tc>
        <w:tc>
          <w:tcPr>
            <w:tcW w:w="1055"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36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1,090,592</w:t>
            </w:r>
          </w:p>
        </w:tc>
        <w:tc>
          <w:tcPr>
            <w:tcW w:w="54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1,171,815</w:t>
            </w:r>
          </w:p>
        </w:tc>
        <w:tc>
          <w:tcPr>
            <w:tcW w:w="20" w:type="dxa"/>
            <w:vAlign w:val="bottom"/>
            <w:shd w:val="clear" w:color="auto" w:fill="CCEEFF"/>
          </w:tcPr>
          <w:p>
            <w:pPr>
              <w:spacing w:after="0"/>
              <w:rPr>
                <w:sz w:val="18"/>
                <w:szCs w:val="18"/>
                <w:color w:val="auto"/>
              </w:rPr>
            </w:pPr>
          </w:p>
        </w:tc>
        <w:tc>
          <w:tcPr>
            <w:tcW w:w="200" w:type="dxa"/>
            <w:vAlign w:val="bottom"/>
            <w:tcBorders>
              <w:right w:val="single" w:sz="8" w:color="CCEEFF"/>
            </w:tcBorders>
            <w:shd w:val="clear" w:color="auto" w:fill="CCEEFF"/>
          </w:tcPr>
          <w:p>
            <w:pPr>
              <w:spacing w:after="0"/>
              <w:rPr>
                <w:sz w:val="18"/>
                <w:szCs w:val="18"/>
                <w:color w:val="auto"/>
              </w:rPr>
            </w:pPr>
          </w:p>
        </w:tc>
        <w:tc>
          <w:tcPr>
            <w:tcW w:w="105" w:type="dxa"/>
            <w:vAlign w:val="bottom"/>
          </w:tcPr>
          <w:p>
            <w:pPr>
              <w:spacing w:after="0"/>
              <w:rPr>
                <w:sz w:val="18"/>
                <w:szCs w:val="18"/>
                <w:color w:val="auto"/>
              </w:rPr>
            </w:pPr>
          </w:p>
        </w:tc>
        <w:tc>
          <w:tcPr>
            <w:tcW w:w="1055"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3860" w:type="dxa"/>
            <w:vAlign w:val="bottom"/>
          </w:tcPr>
          <w:p>
            <w:pPr>
              <w:spacing w:after="0"/>
              <w:rPr>
                <w:sz w:val="11"/>
                <w:szCs w:val="11"/>
                <w:color w:val="auto"/>
              </w:rPr>
            </w:pPr>
          </w:p>
        </w:tc>
        <w:tc>
          <w:tcPr>
            <w:tcW w:w="3520" w:type="dxa"/>
            <w:vAlign w:val="bottom"/>
          </w:tcPr>
          <w:p>
            <w:pPr>
              <w:spacing w:after="0"/>
              <w:rPr>
                <w:sz w:val="11"/>
                <w:szCs w:val="11"/>
                <w:color w:val="auto"/>
              </w:rPr>
            </w:pPr>
          </w:p>
        </w:tc>
        <w:tc>
          <w:tcPr>
            <w:tcW w:w="140" w:type="dxa"/>
            <w:vAlign w:val="bottom"/>
            <w:tcBorders>
              <w:bottom w:val="single" w:sz="8" w:color="auto"/>
            </w:tcBorders>
            <w:gridSpan w:val="2"/>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05" w:type="dxa"/>
            <w:vAlign w:val="bottom"/>
          </w:tcPr>
          <w:p>
            <w:pPr>
              <w:spacing w:after="0"/>
              <w:rPr>
                <w:sz w:val="11"/>
                <w:szCs w:val="11"/>
                <w:color w:val="auto"/>
              </w:rPr>
            </w:pPr>
          </w:p>
        </w:tc>
        <w:tc>
          <w:tcPr>
            <w:tcW w:w="1055"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3660" w:type="dxa"/>
            <w:vAlign w:val="bottom"/>
            <w:gridSpan w:val="3"/>
          </w:tcPr>
          <w:p>
            <w:pPr>
              <w:jc w:val="right"/>
              <w:ind w:right="1660"/>
              <w:spacing w:after="0"/>
              <w:rPr>
                <w:sz w:val="20"/>
                <w:szCs w:val="20"/>
                <w:color w:val="auto"/>
              </w:rPr>
            </w:pPr>
            <w:r>
              <w:rPr>
                <w:rFonts w:ascii="Arial" w:cs="Arial" w:eastAsia="Arial" w:hAnsi="Arial"/>
                <w:sz w:val="18"/>
                <w:szCs w:val="18"/>
                <w:color w:val="auto"/>
              </w:rPr>
              <w:t>F-54</w:t>
            </w: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5" w:type="dxa"/>
            <w:vAlign w:val="bottom"/>
          </w:tcPr>
          <w:p>
            <w:pPr>
              <w:spacing w:after="0"/>
              <w:rPr>
                <w:sz w:val="24"/>
                <w:szCs w:val="24"/>
                <w:color w:val="auto"/>
              </w:rPr>
            </w:pPr>
          </w:p>
        </w:tc>
        <w:tc>
          <w:tcPr>
            <w:tcW w:w="1055"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-2941955</wp:posOffset>
            </wp:positionV>
            <wp:extent cx="1270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-2941955</wp:posOffset>
            </wp:positionV>
            <wp:extent cx="12700"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-2941955</wp:posOffset>
            </wp:positionV>
            <wp:extent cx="12700" cy="298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-2941955</wp:posOffset>
            </wp:positionV>
            <wp:extent cx="12700" cy="298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-2941955</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-2941955</wp:posOffset>
            </wp:positionV>
            <wp:extent cx="1270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6435090</wp:posOffset>
            </wp:positionH>
            <wp:positionV relativeFrom="paragraph">
              <wp:posOffset>-2941955</wp:posOffset>
            </wp:positionV>
            <wp:extent cx="12700"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7181215</wp:posOffset>
            </wp:positionH>
            <wp:positionV relativeFrom="paragraph">
              <wp:posOffset>-2941955</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-2941955</wp:posOffset>
            </wp:positionV>
            <wp:extent cx="1270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-368935</wp:posOffset>
            </wp:positionV>
            <wp:extent cx="12700"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-368935</wp:posOffset>
            </wp:positionV>
            <wp:extent cx="12700" cy="298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-368935</wp:posOffset>
            </wp:positionV>
            <wp:extent cx="12700" cy="298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-368935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6306185</wp:posOffset>
            </wp:positionH>
            <wp:positionV relativeFrom="paragraph">
              <wp:posOffset>-368935</wp:posOffset>
            </wp:positionV>
            <wp:extent cx="1270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-368935</wp:posOffset>
            </wp:positionV>
            <wp:extent cx="12700"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u w:val="single" w:color="auto"/>
          <w:color w:val="auto"/>
        </w:rPr>
        <w:t>Note 17 – Earnings Per Share</w:t>
      </w:r>
    </w:p>
    <w:p>
      <w:pPr>
        <w:spacing w:after="0" w:line="231" w:lineRule="exact"/>
        <w:rPr>
          <w:sz w:val="20"/>
          <w:szCs w:val="20"/>
          <w:color w:val="auto"/>
        </w:rPr>
      </w:pPr>
    </w:p>
    <w:p>
      <w:pPr>
        <w:jc w:val="both"/>
        <w:ind w:right="100"/>
        <w:spacing w:after="0" w:line="306" w:lineRule="auto"/>
        <w:rPr>
          <w:sz w:val="20"/>
          <w:szCs w:val="20"/>
          <w:color w:val="auto"/>
        </w:rPr>
      </w:pPr>
      <w:r>
        <w:rPr>
          <w:rFonts w:ascii="Arial" w:cs="Arial" w:eastAsia="Arial" w:hAnsi="Arial"/>
          <w:sz w:val="16"/>
          <w:szCs w:val="16"/>
          <w:color w:val="auto"/>
        </w:rPr>
        <w:t>Basic earnings per share is computed using the weighted average number of common shares outstanding during the periods presented. Diluted earnings per share is computed using the weighted average number of common shares outstanding adjusted to include the potentially dilutive effect of stock options (see Note 12), warrants (see Note 7), convertible debt instruments (see Note 6), and other potentially dilutive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following table sets forth the computation of basic and diluted earnings per share </w:t>
      </w:r>
      <w:r>
        <w:rPr>
          <w:rFonts w:ascii="Arial" w:cs="Arial" w:eastAsia="Arial" w:hAnsi="Arial"/>
          <w:sz w:val="18"/>
          <w:szCs w:val="18"/>
          <w:i w:val="1"/>
          <w:iCs w:val="1"/>
          <w:color w:val="auto"/>
        </w:rPr>
        <w:t>(in thousands, except per share amounts)</w:t>
      </w:r>
      <w:r>
        <w:rPr>
          <w:rFonts w:ascii="Arial" w:cs="Arial" w:eastAsia="Arial" w:hAnsi="Arial"/>
          <w:sz w:val="18"/>
          <w:szCs w:val="18"/>
          <w:color w:val="auto"/>
        </w:rPr>
        <w:t>:</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560" w:type="dxa"/>
            <w:vAlign w:val="bottom"/>
            <w:gridSpan w:val="5"/>
          </w:tcPr>
          <w:p>
            <w:pPr>
              <w:spacing w:after="0"/>
              <w:rPr>
                <w:sz w:val="20"/>
                <w:szCs w:val="20"/>
                <w:color w:val="auto"/>
              </w:rPr>
            </w:pPr>
            <w:r>
              <w:rPr>
                <w:rFonts w:ascii="Arial" w:cs="Arial" w:eastAsia="Arial" w:hAnsi="Arial"/>
                <w:sz w:val="14"/>
                <w:szCs w:val="14"/>
                <w:b w:val="1"/>
                <w:bCs w:val="1"/>
                <w:color w:val="auto"/>
                <w:w w:val="86"/>
              </w:rPr>
              <w:t>Years ended December 31,</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394"/>
              <w:spacing w:after="0"/>
              <w:rPr>
                <w:sz w:val="20"/>
                <w:szCs w:val="20"/>
                <w:color w:val="auto"/>
              </w:rPr>
            </w:pPr>
            <w:r>
              <w:rPr>
                <w:rFonts w:ascii="Arial" w:cs="Arial" w:eastAsia="Arial" w:hAnsi="Arial"/>
                <w:sz w:val="14"/>
                <w:szCs w:val="14"/>
                <w:b w:val="1"/>
                <w:bCs w:val="1"/>
                <w:color w:val="auto"/>
              </w:rPr>
              <w:t>2005</w:t>
            </w: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2004</w:t>
            </w: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40" w:type="dxa"/>
            <w:vAlign w:val="bottom"/>
          </w:tcPr>
          <w:p>
            <w:pPr>
              <w:jc w:val="right"/>
              <w:ind w:right="374"/>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Numerator for basic earnings per share - net earnings</w:t>
            </w:r>
          </w:p>
        </w:tc>
        <w:tc>
          <w:tcPr>
            <w:tcW w:w="14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62,274</w:t>
            </w:r>
          </w:p>
        </w:tc>
        <w:tc>
          <w:tcPr>
            <w:tcW w:w="3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44,696</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26,842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w w:val="97"/>
              </w:rPr>
              <w:t>Interest savings assuming conversion of dilutive convertible and exchangeable notes, net of tax</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2,722</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Numerator for diluted earnings per share - adjusted net earnings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64,996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26,842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Denominator for basic earnings per share - weighted average shares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177,606</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163,701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159,631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Effect of dilutive securities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Convertible and exchangeable notes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b w:val="1"/>
                <w:bCs w:val="1"/>
                <w:color w:val="auto"/>
              </w:rPr>
              <w:t>10,737</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gridSpan w:val="3"/>
          </w:tcPr>
          <w:p>
            <w:pPr>
              <w:ind w:left="7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140" w:type="dxa"/>
            <w:vAlign w:val="bottom"/>
            <w:gridSpan w:val="2"/>
          </w:tcPr>
          <w:p>
            <w:pPr>
              <w:ind w:left="7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Employee stock options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907</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Warrants</w:t>
            </w:r>
          </w:p>
        </w:tc>
        <w:tc>
          <w:tcPr>
            <w:tcW w:w="140" w:type="dxa"/>
            <w:vAlign w:val="bottom"/>
          </w:tcPr>
          <w:p>
            <w:pPr>
              <w:spacing w:after="0"/>
              <w:rPr>
                <w:sz w:val="18"/>
                <w:szCs w:val="18"/>
                <w:color w:val="auto"/>
              </w:rPr>
            </w:pPr>
          </w:p>
        </w:tc>
        <w:tc>
          <w:tcPr>
            <w:tcW w:w="1040" w:type="dxa"/>
            <w:vAlign w:val="bottom"/>
          </w:tcPr>
          <w:p>
            <w:pPr>
              <w:jc w:val="right"/>
              <w:ind w:right="34"/>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261</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Dilutive potential common shares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11,715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3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Denominator for diluted earnings per share - adjusted weighted average shares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189,321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165,938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160,443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Basic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0.35</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73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Diluted earnings per share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0.34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3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535"/>
        </w:trPr>
        <w:tc>
          <w:tcPr>
            <w:tcW w:w="20" w:type="dxa"/>
            <w:vAlign w:val="bottom"/>
          </w:tcPr>
          <w:p>
            <w:pPr>
              <w:spacing w:after="0"/>
              <w:rPr>
                <w:sz w:val="24"/>
                <w:szCs w:val="24"/>
                <w:color w:val="auto"/>
              </w:rPr>
            </w:pPr>
          </w:p>
        </w:tc>
        <w:tc>
          <w:tcPr>
            <w:tcW w:w="7380" w:type="dxa"/>
            <w:vAlign w:val="bottom"/>
          </w:tcPr>
          <w:p>
            <w:pPr>
              <w:ind w:left="5520"/>
              <w:spacing w:after="0"/>
              <w:rPr>
                <w:sz w:val="20"/>
                <w:szCs w:val="20"/>
                <w:color w:val="auto"/>
              </w:rPr>
            </w:pPr>
            <w:r>
              <w:rPr>
                <w:rFonts w:ascii="Arial" w:cs="Arial" w:eastAsia="Arial" w:hAnsi="Arial"/>
                <w:sz w:val="18"/>
                <w:szCs w:val="18"/>
                <w:color w:val="auto"/>
              </w:rPr>
              <w:t>F-55</w:t>
            </w: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4693920</wp:posOffset>
            </wp:positionH>
            <wp:positionV relativeFrom="paragraph">
              <wp:posOffset>-2658745</wp:posOffset>
            </wp:positionV>
            <wp:extent cx="2499995"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249999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-969010</wp:posOffset>
            </wp:positionV>
            <wp:extent cx="2499995"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49999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-669290</wp:posOffset>
            </wp:positionV>
            <wp:extent cx="249999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2499995" cy="29845"/>
                    </a:xfrm>
                    <a:prstGeom prst="rect">
                      <a:avLst/>
                    </a:prstGeom>
                    <a:noFill/>
                  </pic:spPr>
                </pic:pic>
              </a:graphicData>
            </a:graphic>
          </wp:anchor>
        </w:drawing>
        <w:drawing>
          <wp:anchor simplePos="0" relativeHeight="251657728" behindDoc="1" locked="0" layoutInCell="0" allowOverlap="1">
            <wp:simplePos x="0" y="0"/>
            <wp:positionH relativeFrom="column">
              <wp:posOffset>4693920</wp:posOffset>
            </wp:positionH>
            <wp:positionV relativeFrom="paragraph">
              <wp:posOffset>-368935</wp:posOffset>
            </wp:positionV>
            <wp:extent cx="12700" cy="298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5431790</wp:posOffset>
            </wp:positionH>
            <wp:positionV relativeFrom="paragraph">
              <wp:posOffset>-368935</wp:posOffset>
            </wp:positionV>
            <wp:extent cx="12700" cy="298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4762500</wp:posOffset>
            </wp:positionH>
            <wp:positionV relativeFrom="paragraph">
              <wp:posOffset>-368935</wp:posOffset>
            </wp:positionV>
            <wp:extent cx="12700" cy="298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-368935</wp:posOffset>
            </wp:positionV>
            <wp:extent cx="12700" cy="298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-368935</wp:posOffset>
            </wp:positionV>
            <wp:extent cx="1564640" cy="298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564640" cy="2984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u w:val="single" w:color="auto"/>
          <w:color w:val="auto"/>
        </w:rPr>
        <w:t>Note 17 – Earnings Per Share (continued)</w:t>
      </w:r>
    </w:p>
    <w:p>
      <w:pPr>
        <w:spacing w:after="0" w:line="231"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 xml:space="preserve">Diluted earnings per share for the years presented do not reflect the following weighted-average potential common shares, as the effect would be antidilutive </w:t>
      </w:r>
      <w:r>
        <w:rPr>
          <w:rFonts w:ascii="Arial" w:cs="Arial" w:eastAsia="Arial" w:hAnsi="Arial"/>
          <w:sz w:val="18"/>
          <w:szCs w:val="18"/>
          <w:i w:val="1"/>
          <w:iCs w:val="1"/>
          <w:color w:val="auto"/>
        </w:rPr>
        <w:t>(in</w:t>
      </w:r>
      <w:r>
        <w:rPr>
          <w:rFonts w:ascii="Arial" w:cs="Arial" w:eastAsia="Arial" w:hAnsi="Arial"/>
          <w:sz w:val="18"/>
          <w:szCs w:val="18"/>
          <w:color w:val="auto"/>
        </w:rPr>
        <w:t xml:space="preserve"> </w:t>
      </w:r>
      <w:r>
        <w:rPr>
          <w:rFonts w:ascii="Arial" w:cs="Arial" w:eastAsia="Arial" w:hAnsi="Arial"/>
          <w:sz w:val="18"/>
          <w:szCs w:val="18"/>
          <w:i w:val="1"/>
          <w:iCs w:val="1"/>
          <w:color w:val="auto"/>
        </w:rPr>
        <w:t>thousands)</w:t>
      </w:r>
      <w:r>
        <w:rPr>
          <w:rFonts w:ascii="Arial" w:cs="Arial" w:eastAsia="Arial" w:hAnsi="Arial"/>
          <w:sz w:val="18"/>
          <w:szCs w:val="18"/>
          <w:color w:val="auto"/>
        </w:rPr>
        <w:t>:</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7380" w:type="dxa"/>
            <w:vAlign w:val="bottom"/>
          </w:tcPr>
          <w:p>
            <w:pPr>
              <w:spacing w:after="0"/>
              <w:rPr>
                <w:sz w:val="15"/>
                <w:szCs w:val="15"/>
                <w:color w:val="auto"/>
              </w:rPr>
            </w:pPr>
          </w:p>
        </w:tc>
        <w:tc>
          <w:tcPr>
            <w:tcW w:w="1180" w:type="dxa"/>
            <w:vAlign w:val="bottom"/>
          </w:tcPr>
          <w:p>
            <w:pPr>
              <w:jc w:val="right"/>
              <w:ind w:right="395"/>
              <w:spacing w:after="0"/>
              <w:rPr>
                <w:sz w:val="20"/>
                <w:szCs w:val="20"/>
                <w:color w:val="auto"/>
              </w:rPr>
            </w:pPr>
            <w:r>
              <w:rPr>
                <w:rFonts w:ascii="Arial" w:cs="Arial" w:eastAsia="Arial" w:hAnsi="Arial"/>
                <w:sz w:val="14"/>
                <w:szCs w:val="14"/>
                <w:b w:val="1"/>
                <w:bCs w:val="1"/>
                <w:color w:val="auto"/>
              </w:rPr>
              <w:t>2005</w:t>
            </w:r>
          </w:p>
        </w:tc>
        <w:tc>
          <w:tcPr>
            <w:tcW w:w="1360" w:type="dxa"/>
            <w:vAlign w:val="bottom"/>
            <w:gridSpan w:val="2"/>
          </w:tcPr>
          <w:p>
            <w:pPr>
              <w:jc w:val="right"/>
              <w:ind w:right="372"/>
              <w:spacing w:after="0"/>
              <w:rPr>
                <w:sz w:val="20"/>
                <w:szCs w:val="20"/>
                <w:color w:val="auto"/>
              </w:rPr>
            </w:pPr>
            <w:r>
              <w:rPr>
                <w:rFonts w:ascii="Arial" w:cs="Arial" w:eastAsia="Arial" w:hAnsi="Arial"/>
                <w:sz w:val="14"/>
                <w:szCs w:val="14"/>
                <w:b w:val="1"/>
                <w:bCs w:val="1"/>
                <w:color w:val="auto"/>
              </w:rPr>
              <w:t>2004</w:t>
            </w:r>
          </w:p>
        </w:tc>
        <w:tc>
          <w:tcPr>
            <w:tcW w:w="138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2003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3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73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Convertible and exchangeable notes:</w:t>
            </w:r>
          </w:p>
        </w:tc>
        <w:tc>
          <w:tcPr>
            <w:tcW w:w="1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Convertible Subordinated Notes, due 2023</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23,496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23,496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9,283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LYONs, due 2021</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8,979</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8,544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ind w:left="420"/>
              <w:spacing w:after="0"/>
              <w:rPr>
                <w:sz w:val="20"/>
                <w:szCs w:val="20"/>
                <w:color w:val="auto"/>
              </w:rPr>
            </w:pPr>
            <w:r>
              <w:rPr>
                <w:rFonts w:ascii="Arial" w:cs="Arial" w:eastAsia="Arial" w:hAnsi="Arial"/>
                <w:sz w:val="18"/>
                <w:szCs w:val="18"/>
                <w:color w:val="auto"/>
              </w:rPr>
              <w:t>Exchangeable unsecured notes, due 2102</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6,176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6,176</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6,176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General Semiconductor Notes</w:t>
            </w:r>
          </w:p>
        </w:tc>
        <w:tc>
          <w:tcPr>
            <w:tcW w:w="1180" w:type="dxa"/>
            <w:vAlign w:val="bottom"/>
            <w:shd w:val="clear" w:color="auto" w:fill="CCEEFF"/>
          </w:tcPr>
          <w:p>
            <w:pPr>
              <w:jc w:val="right"/>
              <w:ind w:right="35"/>
              <w:spacing w:after="0"/>
              <w:rPr>
                <w:sz w:val="20"/>
                <w:szCs w:val="20"/>
                <w:color w:val="auto"/>
              </w:rPr>
            </w:pPr>
            <w:r>
              <w:rPr>
                <w:rFonts w:ascii="Arial" w:cs="Arial" w:eastAsia="Arial" w:hAnsi="Arial"/>
                <w:sz w:val="18"/>
                <w:szCs w:val="18"/>
                <w:b w:val="1"/>
                <w:bCs w:val="1"/>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tcPr>
          <w:p>
            <w:pPr>
              <w:spacing w:after="0"/>
              <w:rPr>
                <w:sz w:val="20"/>
                <w:szCs w:val="20"/>
                <w:color w:val="auto"/>
              </w:rPr>
            </w:pPr>
            <w:r>
              <w:rPr>
                <w:rFonts w:ascii="Arial" w:cs="Arial" w:eastAsia="Arial" w:hAnsi="Arial"/>
                <w:sz w:val="18"/>
                <w:szCs w:val="18"/>
                <w:color w:val="auto"/>
              </w:rPr>
              <w:t>Weighted average employee stock options</w:t>
            </w:r>
          </w:p>
        </w:tc>
        <w:tc>
          <w:tcPr>
            <w:tcW w:w="1180" w:type="dxa"/>
            <w:vAlign w:val="bottom"/>
          </w:tcPr>
          <w:p>
            <w:pPr>
              <w:jc w:val="right"/>
              <w:spacing w:after="0"/>
              <w:rPr>
                <w:sz w:val="20"/>
                <w:szCs w:val="20"/>
                <w:color w:val="auto"/>
              </w:rPr>
            </w:pPr>
            <w:r>
              <w:rPr>
                <w:rFonts w:ascii="Arial" w:cs="Arial" w:eastAsia="Arial" w:hAnsi="Arial"/>
                <w:sz w:val="18"/>
                <w:szCs w:val="18"/>
                <w:b w:val="1"/>
                <w:bCs w:val="1"/>
                <w:color w:val="auto"/>
              </w:rPr>
              <w:t>6,300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3,444</w:t>
            </w: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5,663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warrants</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8,824</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7,074</w:t>
            </w: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7,074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The anti-dilutive potential common shares related to convertible and exchangeable notes presented in the table above represent weighted-averages, based on the periods and amounts outstanding in the respective years.</w:t>
      </w:r>
    </w:p>
    <w:p>
      <w:pPr>
        <w:spacing w:after="0" w:line="186"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color w:val="auto"/>
        </w:rPr>
        <w:t>If the potential common shares related to the convertible and exchangeable notes were included in the computation, the related interest savings, net of tax, assuming conversion/exchange would be added to the net earnings used to compute earnings per share.</w:t>
      </w:r>
    </w:p>
    <w:p>
      <w:pPr>
        <w:spacing w:after="0" w:line="186"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As described in Note 6, the Convertible Subordinated Notes, due 2023, were issued in 2003. These notes are only convertible upon the occurrence of certain events. While none of these events have occurred as of December 31, 2005, certain conditions which could trigger conversion have been deemed to be non-substantive, and accordingly, the Company has always assumed the conversion of these notes in its diluted earnings per share computation during periods in which they are dilutive. EITF 04-8 also now requires the inclusion of these notes in the diluted earnings per share computation during periods in which they are dilutive.</w:t>
      </w:r>
    </w:p>
    <w:p>
      <w:pPr>
        <w:spacing w:after="0" w:line="19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As described in Note 6, the Company purchased a portion of the LYONs for stock in 2004 and for cash in 2003. By their terms, the LYONs were convertible into 3,809,000, 3,809,000, and 6,802,000 shares of common stock at December 31, 2005, 2004, and 2003, respectively. Subsequent to the Company’s decision to utilize stock to settle the holders’ put option in June 2004, the Company assumes, for the purposes of the EPS computation, all future put options will be settled in stock based on the settlement formula set forth in the indenture governing the LYONs.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The Company redeemed all notes of its General Semiconductor subsidiary in 2003.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584" w:right="2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u w:val="single" w:color="auto"/>
          <w:color w:val="auto"/>
        </w:rPr>
        <w:t>Note 18 – Summary of Quarterly Financial Information (Unaudited)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 thousands)</w:t>
      </w:r>
    </w:p>
    <w:p>
      <w:pPr>
        <w:spacing w:after="0" w:line="221" w:lineRule="exact"/>
        <w:rPr>
          <w:sz w:val="20"/>
          <w:szCs w:val="20"/>
          <w:color w:val="auto"/>
        </w:rPr>
      </w:pPr>
    </w:p>
    <w:tbl>
      <w:tblPr>
        <w:tblLayout w:type="fixed"/>
        <w:tblInd w:w="4160" w:type="dxa"/>
        <w:tblCellMar>
          <w:top w:w="0" w:type="dxa"/>
          <w:left w:w="0" w:type="dxa"/>
          <w:bottom w:w="0" w:type="dxa"/>
          <w:right w:w="0" w:type="dxa"/>
        </w:tblCellMar>
      </w:tblPr>
      <w:tr>
        <w:trPr>
          <w:trHeight w:val="174"/>
        </w:trPr>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tcPr>
          <w:p>
            <w:pPr>
              <w:jc w:val="right"/>
              <w:ind w:right="672"/>
              <w:spacing w:after="0"/>
              <w:rPr>
                <w:sz w:val="20"/>
                <w:szCs w:val="20"/>
                <w:color w:val="auto"/>
              </w:rPr>
            </w:pPr>
            <w:r>
              <w:rPr>
                <w:rFonts w:ascii="Arial" w:cs="Arial" w:eastAsia="Arial" w:hAnsi="Arial"/>
                <w:sz w:val="14"/>
                <w:szCs w:val="14"/>
                <w:b w:val="1"/>
                <w:bCs w:val="1"/>
                <w:color w:val="auto"/>
              </w:rPr>
              <w:t>2005</w:t>
            </w: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80" w:type="dxa"/>
            <w:vAlign w:val="bottom"/>
          </w:tcPr>
          <w:p>
            <w:pPr>
              <w:jc w:val="right"/>
              <w:ind w:right="692"/>
              <w:spacing w:after="0"/>
              <w:rPr>
                <w:sz w:val="20"/>
                <w:szCs w:val="20"/>
                <w:color w:val="auto"/>
              </w:rPr>
            </w:pPr>
            <w:r>
              <w:rPr>
                <w:rFonts w:ascii="Arial" w:cs="Arial" w:eastAsia="Arial" w:hAnsi="Arial"/>
                <w:sz w:val="14"/>
                <w:szCs w:val="14"/>
                <w:b w:val="1"/>
                <w:bCs w:val="1"/>
                <w:color w:val="auto"/>
                <w:w w:val="96"/>
              </w:rPr>
              <w:t>2004</w:t>
            </w:r>
          </w:p>
        </w:tc>
        <w:tc>
          <w:tcPr>
            <w:tcW w:w="900" w:type="dxa"/>
            <w:vAlign w:val="bottom"/>
          </w:tcPr>
          <w:p>
            <w:pPr>
              <w:spacing w:after="0"/>
              <w:rPr>
                <w:sz w:val="15"/>
                <w:szCs w:val="15"/>
                <w:color w:val="auto"/>
              </w:rPr>
            </w:pPr>
          </w:p>
        </w:tc>
      </w:tr>
      <w:tr>
        <w:trPr>
          <w:trHeight w:val="95"/>
        </w:trPr>
        <w:tc>
          <w:tcPr>
            <w:tcW w:w="8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20" w:type="dxa"/>
            <w:vAlign w:val="bottom"/>
            <w:tcBorders>
              <w:bottom w:val="single" w:sz="8" w:color="auto"/>
            </w:tcBorders>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108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263"/>
        </w:trPr>
        <w:tc>
          <w:tcPr>
            <w:tcW w:w="800" w:type="dxa"/>
            <w:vAlign w:val="bottom"/>
          </w:tcPr>
          <w:p>
            <w:pPr>
              <w:ind w:left="240"/>
              <w:spacing w:after="0"/>
              <w:rPr>
                <w:sz w:val="20"/>
                <w:szCs w:val="20"/>
                <w:color w:val="auto"/>
              </w:rPr>
            </w:pPr>
            <w:r>
              <w:rPr>
                <w:rFonts w:ascii="Arial" w:cs="Arial" w:eastAsia="Arial" w:hAnsi="Arial"/>
                <w:sz w:val="14"/>
                <w:szCs w:val="14"/>
                <w:b w:val="1"/>
                <w:bCs w:val="1"/>
                <w:color w:val="auto"/>
              </w:rPr>
              <w:t>First</w:t>
            </w:r>
          </w:p>
        </w:tc>
        <w:tc>
          <w:tcPr>
            <w:tcW w:w="740" w:type="dxa"/>
            <w:vAlign w:val="bottom"/>
          </w:tcPr>
          <w:p>
            <w:pPr>
              <w:ind w:left="280"/>
              <w:spacing w:after="0"/>
              <w:rPr>
                <w:sz w:val="20"/>
                <w:szCs w:val="20"/>
                <w:color w:val="auto"/>
              </w:rPr>
            </w:pPr>
            <w:r>
              <w:rPr>
                <w:rFonts w:ascii="Arial" w:cs="Arial" w:eastAsia="Arial" w:hAnsi="Arial"/>
                <w:sz w:val="14"/>
                <w:szCs w:val="14"/>
                <w:b w:val="1"/>
                <w:bCs w:val="1"/>
                <w:color w:val="auto"/>
                <w:w w:val="86"/>
              </w:rPr>
              <w:t>Second</w:t>
            </w:r>
          </w:p>
        </w:tc>
        <w:tc>
          <w:tcPr>
            <w:tcW w:w="1080" w:type="dxa"/>
            <w:vAlign w:val="bottom"/>
          </w:tcPr>
          <w:p>
            <w:pPr>
              <w:jc w:val="right"/>
              <w:ind w:right="192"/>
              <w:spacing w:after="0"/>
              <w:rPr>
                <w:sz w:val="20"/>
                <w:szCs w:val="20"/>
                <w:color w:val="auto"/>
              </w:rPr>
            </w:pPr>
            <w:r>
              <w:rPr>
                <w:rFonts w:ascii="Arial" w:cs="Arial" w:eastAsia="Arial" w:hAnsi="Arial"/>
                <w:sz w:val="14"/>
                <w:szCs w:val="14"/>
                <w:b w:val="1"/>
                <w:bCs w:val="1"/>
                <w:color w:val="auto"/>
              </w:rPr>
              <w:t>Third</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Fourth</w:t>
            </w:r>
          </w:p>
        </w:tc>
        <w:tc>
          <w:tcPr>
            <w:tcW w:w="80" w:type="dxa"/>
            <w:vAlign w:val="bottom"/>
          </w:tcPr>
          <w:p>
            <w:pPr>
              <w:spacing w:after="0"/>
              <w:rPr>
                <w:sz w:val="22"/>
                <w:szCs w:val="22"/>
                <w:color w:val="auto"/>
              </w:rPr>
            </w:pPr>
          </w:p>
        </w:tc>
        <w:tc>
          <w:tcPr>
            <w:tcW w:w="820" w:type="dxa"/>
            <w:vAlign w:val="bottom"/>
          </w:tcPr>
          <w:p>
            <w:pPr>
              <w:ind w:left="260"/>
              <w:spacing w:after="0"/>
              <w:rPr>
                <w:sz w:val="20"/>
                <w:szCs w:val="20"/>
                <w:color w:val="auto"/>
              </w:rPr>
            </w:pPr>
            <w:r>
              <w:rPr>
                <w:rFonts w:ascii="Arial" w:cs="Arial" w:eastAsia="Arial" w:hAnsi="Arial"/>
                <w:sz w:val="14"/>
                <w:szCs w:val="14"/>
                <w:b w:val="1"/>
                <w:bCs w:val="1"/>
                <w:color w:val="auto"/>
              </w:rPr>
              <w:t>First</w:t>
            </w:r>
          </w:p>
        </w:tc>
        <w:tc>
          <w:tcPr>
            <w:tcW w:w="760" w:type="dxa"/>
            <w:vAlign w:val="bottom"/>
          </w:tcPr>
          <w:p>
            <w:pPr>
              <w:ind w:left="280"/>
              <w:spacing w:after="0"/>
              <w:rPr>
                <w:sz w:val="20"/>
                <w:szCs w:val="20"/>
                <w:color w:val="auto"/>
              </w:rPr>
            </w:pPr>
            <w:r>
              <w:rPr>
                <w:rFonts w:ascii="Arial" w:cs="Arial" w:eastAsia="Arial" w:hAnsi="Arial"/>
                <w:sz w:val="14"/>
                <w:szCs w:val="14"/>
                <w:b w:val="1"/>
                <w:bCs w:val="1"/>
                <w:color w:val="auto"/>
                <w:w w:val="90"/>
              </w:rPr>
              <w:t>Second</w:t>
            </w:r>
          </w:p>
        </w:tc>
        <w:tc>
          <w:tcPr>
            <w:tcW w:w="1080" w:type="dxa"/>
            <w:vAlign w:val="bottom"/>
          </w:tcPr>
          <w:p>
            <w:pPr>
              <w:jc w:val="right"/>
              <w:ind w:right="212"/>
              <w:spacing w:after="0"/>
              <w:rPr>
                <w:sz w:val="20"/>
                <w:szCs w:val="20"/>
                <w:color w:val="auto"/>
              </w:rPr>
            </w:pPr>
            <w:r>
              <w:rPr>
                <w:rFonts w:ascii="Arial" w:cs="Arial" w:eastAsia="Arial" w:hAnsi="Arial"/>
                <w:sz w:val="14"/>
                <w:szCs w:val="14"/>
                <w:b w:val="1"/>
                <w:bCs w:val="1"/>
                <w:color w:val="auto"/>
              </w:rPr>
              <w:t>Third</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Fourth</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2637790</wp:posOffset>
            </wp:positionH>
            <wp:positionV relativeFrom="paragraph">
              <wp:posOffset>60325</wp:posOffset>
            </wp:positionV>
            <wp:extent cx="455358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553585" cy="8890"/>
                    </a:xfrm>
                    <a:prstGeom prst="rect">
                      <a:avLst/>
                    </a:prstGeom>
                    <a:noFill/>
                  </pic:spPr>
                </pic:pic>
              </a:graphicData>
            </a:graphic>
          </wp:anchor>
        </w:drawing>
      </w:r>
    </w:p>
    <w:p>
      <w:pPr>
        <w:sectPr>
          <w:pgSz w:w="11900" w:h="16838" w:orient="portrait"/>
          <w:cols w:equalWidth="0" w:num="1">
            <w:col w:w="11340"/>
          </w:cols>
          <w:pgMar w:left="240" w:top="584" w:right="319" w:bottom="1440" w:gutter="0" w:footer="0" w:header="0"/>
        </w:sectPr>
      </w:pP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4"/>
          </w:tcPr>
          <w:p>
            <w:pPr>
              <w:spacing w:after="0"/>
              <w:rPr>
                <w:sz w:val="20"/>
                <w:szCs w:val="20"/>
                <w:color w:val="auto"/>
              </w:rPr>
            </w:pPr>
            <w:r>
              <w:rPr>
                <w:rFonts w:ascii="Arial" w:cs="Arial" w:eastAsia="Arial" w:hAnsi="Arial"/>
                <w:sz w:val="14"/>
                <w:szCs w:val="14"/>
                <w:b w:val="1"/>
                <w:bCs w:val="1"/>
                <w:color w:val="auto"/>
              </w:rPr>
              <w:t>Statement of Operations data:</w:t>
            </w:r>
          </w:p>
        </w:tc>
        <w:tc>
          <w:tcPr>
            <w:tcW w:w="9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554,366</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7"/>
        </w:trPr>
        <w:tc>
          <w:tcPr>
            <w:tcW w:w="3400" w:type="dxa"/>
            <w:vAlign w:val="bottom"/>
            <w:gridSpan w:val="4"/>
          </w:tcPr>
          <w:p>
            <w:pPr>
              <w:spacing w:after="0" w:line="147" w:lineRule="exact"/>
              <w:rPr>
                <w:sz w:val="20"/>
                <w:szCs w:val="20"/>
                <w:color w:val="auto"/>
              </w:rPr>
            </w:pPr>
            <w:r>
              <w:rPr>
                <w:rFonts w:ascii="Arial" w:cs="Arial" w:eastAsia="Arial" w:hAnsi="Arial"/>
                <w:sz w:val="14"/>
                <w:szCs w:val="14"/>
                <w:color w:val="auto"/>
              </w:rPr>
              <w:t>Net revenues</w:t>
            </w:r>
          </w:p>
        </w:tc>
        <w:tc>
          <w:tcPr>
            <w:tcW w:w="9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4"/>
          </w:tcPr>
          <w:p>
            <w:pPr>
              <w:spacing w:after="0" w:line="149" w:lineRule="exact"/>
              <w:rPr>
                <w:sz w:val="20"/>
                <w:szCs w:val="20"/>
                <w:color w:val="auto"/>
              </w:rPr>
            </w:pPr>
            <w:r>
              <w:rPr>
                <w:rFonts w:ascii="Arial" w:cs="Arial" w:eastAsia="Arial" w:hAnsi="Arial"/>
                <w:sz w:val="14"/>
                <w:szCs w:val="14"/>
                <w:color w:val="auto"/>
              </w:rPr>
              <w:t>Gross profit</w:t>
            </w:r>
          </w:p>
        </w:tc>
        <w:tc>
          <w:tcPr>
            <w:tcW w:w="9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116,819</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4"/>
          </w:tcPr>
          <w:p>
            <w:pPr>
              <w:spacing w:after="0" w:line="149" w:lineRule="exact"/>
              <w:rPr>
                <w:sz w:val="20"/>
                <w:szCs w:val="20"/>
                <w:color w:val="auto"/>
              </w:rPr>
            </w:pPr>
            <w:r>
              <w:rPr>
                <w:rFonts w:ascii="Arial" w:cs="Arial" w:eastAsia="Arial" w:hAnsi="Arial"/>
                <w:sz w:val="14"/>
                <w:szCs w:val="14"/>
                <w:color w:val="auto"/>
              </w:rPr>
              <w:t>Operating income (loss)</w:t>
            </w:r>
          </w:p>
        </w:tc>
        <w:tc>
          <w:tcPr>
            <w:tcW w:w="9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15,452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4"/>
          </w:tcPr>
          <w:p>
            <w:pPr>
              <w:spacing w:after="0" w:line="149" w:lineRule="exact"/>
              <w:rPr>
                <w:sz w:val="20"/>
                <w:szCs w:val="20"/>
                <w:color w:val="auto"/>
              </w:rPr>
            </w:pPr>
            <w:r>
              <w:rPr>
                <w:rFonts w:ascii="Arial" w:cs="Arial" w:eastAsia="Arial" w:hAnsi="Arial"/>
                <w:sz w:val="14"/>
                <w:szCs w:val="14"/>
                <w:color w:val="auto"/>
              </w:rPr>
              <w:t>Net earnings (loss)</w:t>
            </w:r>
          </w:p>
        </w:tc>
        <w:tc>
          <w:tcPr>
            <w:tcW w:w="9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5,712</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0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Per Share Data</w:t>
            </w:r>
          </w:p>
        </w:tc>
        <w:tc>
          <w:tcPr>
            <w:tcW w:w="9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12"/>
              <w:spacing w:after="0"/>
              <w:rPr>
                <w:sz w:val="20"/>
                <w:szCs w:val="20"/>
                <w:color w:val="auto"/>
              </w:rPr>
            </w:pPr>
            <w:r>
              <w:rPr>
                <w:rFonts w:ascii="Arial" w:cs="Arial" w:eastAsia="Arial" w:hAnsi="Arial"/>
                <w:sz w:val="14"/>
                <w:szCs w:val="14"/>
                <w:b w:val="1"/>
                <w:bCs w:val="1"/>
                <w:color w:val="auto"/>
              </w:rPr>
              <w:t>0.03</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47"/>
        </w:trPr>
        <w:tc>
          <w:tcPr>
            <w:tcW w:w="3400" w:type="dxa"/>
            <w:vAlign w:val="bottom"/>
            <w:gridSpan w:val="4"/>
          </w:tcPr>
          <w:p>
            <w:pPr>
              <w:spacing w:after="0" w:line="147" w:lineRule="exact"/>
              <w:rPr>
                <w:sz w:val="20"/>
                <w:szCs w:val="20"/>
                <w:color w:val="auto"/>
              </w:rPr>
            </w:pPr>
            <w:r>
              <w:rPr>
                <w:rFonts w:ascii="Arial" w:cs="Arial" w:eastAsia="Arial" w:hAnsi="Arial"/>
                <w:sz w:val="14"/>
                <w:szCs w:val="14"/>
                <w:color w:val="auto"/>
              </w:rPr>
              <w:t>Earnings (loss) per share - Basic</w:t>
            </w:r>
          </w:p>
        </w:tc>
        <w:tc>
          <w:tcPr>
            <w:tcW w:w="960" w:type="dxa"/>
            <w:vAlign w:val="bottom"/>
            <w:vMerge w:val="continue"/>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4"/>
          </w:tcPr>
          <w:p>
            <w:pPr>
              <w:spacing w:after="0" w:line="149" w:lineRule="exact"/>
              <w:rPr>
                <w:sz w:val="20"/>
                <w:szCs w:val="20"/>
                <w:color w:val="auto"/>
              </w:rPr>
            </w:pPr>
            <w:r>
              <w:rPr>
                <w:rFonts w:ascii="Arial" w:cs="Arial" w:eastAsia="Arial" w:hAnsi="Arial"/>
                <w:sz w:val="14"/>
                <w:szCs w:val="14"/>
                <w:color w:val="auto"/>
              </w:rPr>
              <w:t>Earnings (loss) per share - Diluted</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0.03</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1"/>
        </w:trPr>
        <w:tc>
          <w:tcPr>
            <w:tcW w:w="3400" w:type="dxa"/>
            <w:vAlign w:val="bottom"/>
            <w:gridSpan w:val="4"/>
          </w:tcPr>
          <w:p>
            <w:pPr>
              <w:spacing w:after="0" w:line="151" w:lineRule="exact"/>
              <w:rPr>
                <w:sz w:val="20"/>
                <w:szCs w:val="20"/>
                <w:color w:val="auto"/>
              </w:rPr>
            </w:pPr>
            <w:r>
              <w:rPr>
                <w:rFonts w:ascii="Arial" w:cs="Arial" w:eastAsia="Arial" w:hAnsi="Arial"/>
                <w:sz w:val="14"/>
                <w:szCs w:val="14"/>
                <w:b w:val="1"/>
                <w:bCs w:val="1"/>
                <w:color w:val="auto"/>
              </w:rPr>
              <w:t>Certain Items Recorded during the Quarters:</w:t>
            </w:r>
          </w:p>
        </w:tc>
        <w:tc>
          <w:tcPr>
            <w:tcW w:w="9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700" w:type="dxa"/>
            <w:vAlign w:val="bottom"/>
            <w:tcBorders>
              <w:bottom w:val="single" w:sz="8" w:color="auto"/>
            </w:tcBorders>
          </w:tcPr>
          <w:p>
            <w:pPr>
              <w:spacing w:after="0" w:line="146" w:lineRule="exact"/>
              <w:rPr>
                <w:sz w:val="20"/>
                <w:szCs w:val="20"/>
                <w:color w:val="auto"/>
              </w:rPr>
            </w:pPr>
            <w:r>
              <w:rPr>
                <w:rFonts w:ascii="Arial" w:cs="Arial" w:eastAsia="Arial" w:hAnsi="Arial"/>
                <w:sz w:val="14"/>
                <w:szCs w:val="14"/>
                <w:color w:val="auto"/>
                <w:w w:val="89"/>
              </w:rPr>
              <w:t>Gross profit:</w:t>
            </w:r>
          </w:p>
        </w:tc>
        <w:tc>
          <w:tcPr>
            <w:tcW w:w="2700" w:type="dxa"/>
            <w:vAlign w:val="bottom"/>
            <w:gridSpan w:val="3"/>
          </w:tcPr>
          <w:p>
            <w:pPr>
              <w:spacing w:after="0"/>
              <w:rPr>
                <w:sz w:val="12"/>
                <w:szCs w:val="12"/>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(2,277)</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9"/>
        </w:trPr>
        <w:tc>
          <w:tcPr>
            <w:tcW w:w="3400" w:type="dxa"/>
            <w:vAlign w:val="bottom"/>
            <w:gridSpan w:val="4"/>
          </w:tcPr>
          <w:p>
            <w:pPr>
              <w:spacing w:after="0" w:line="129" w:lineRule="exact"/>
              <w:rPr>
                <w:sz w:val="20"/>
                <w:szCs w:val="20"/>
                <w:color w:val="auto"/>
              </w:rPr>
            </w:pPr>
            <w:r>
              <w:rPr>
                <w:rFonts w:ascii="Arial" w:cs="Arial" w:eastAsia="Arial" w:hAnsi="Arial"/>
                <w:sz w:val="14"/>
                <w:szCs w:val="14"/>
                <w:color w:val="auto"/>
              </w:rPr>
              <w:t>Gain (loss) on purchase commitments</w:t>
            </w:r>
          </w:p>
        </w:tc>
        <w:tc>
          <w:tcPr>
            <w:tcW w:w="9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1"/>
        </w:trPr>
        <w:tc>
          <w:tcPr>
            <w:tcW w:w="3400" w:type="dxa"/>
            <w:vAlign w:val="bottom"/>
            <w:gridSpan w:val="4"/>
          </w:tcPr>
          <w:p>
            <w:pPr>
              <w:spacing w:after="0" w:line="151" w:lineRule="exact"/>
              <w:rPr>
                <w:sz w:val="20"/>
                <w:szCs w:val="20"/>
                <w:color w:val="auto"/>
              </w:rPr>
            </w:pPr>
            <w:r>
              <w:rPr>
                <w:rFonts w:ascii="Arial" w:cs="Arial" w:eastAsia="Arial" w:hAnsi="Arial"/>
                <w:sz w:val="14"/>
                <w:szCs w:val="14"/>
                <w:color w:val="auto"/>
              </w:rPr>
              <w:t>Write-downs of tantalum and palladium</w:t>
            </w:r>
          </w:p>
        </w:tc>
        <w:tc>
          <w:tcPr>
            <w:tcW w:w="960" w:type="dxa"/>
            <w:vAlign w:val="bottom"/>
          </w:tcPr>
          <w:p>
            <w:pPr>
              <w:spacing w:after="0"/>
              <w:rPr>
                <w:sz w:val="13"/>
                <w:szCs w:val="13"/>
                <w:color w:val="auto"/>
              </w:rPr>
            </w:pPr>
          </w:p>
        </w:tc>
        <w:tc>
          <w:tcPr>
            <w:tcW w:w="660" w:type="dxa"/>
            <w:vAlign w:val="bottom"/>
          </w:tcPr>
          <w:p>
            <w:pPr>
              <w:jc w:val="right"/>
              <w:ind w:right="72"/>
              <w:spacing w:after="0" w:line="151"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20" w:type="dxa"/>
            <w:vAlign w:val="bottom"/>
            <w:tcBorders>
              <w:bottom w:val="single" w:sz="8" w:color="auto"/>
            </w:tcBorders>
            <w:gridSpan w:val="2"/>
          </w:tcPr>
          <w:p>
            <w:pPr>
              <w:spacing w:after="0" w:line="146" w:lineRule="exact"/>
              <w:rPr>
                <w:sz w:val="20"/>
                <w:szCs w:val="20"/>
                <w:color w:val="auto"/>
              </w:rPr>
            </w:pPr>
            <w:r>
              <w:rPr>
                <w:rFonts w:ascii="Arial" w:cs="Arial" w:eastAsia="Arial" w:hAnsi="Arial"/>
                <w:sz w:val="14"/>
                <w:szCs w:val="14"/>
                <w:color w:val="auto"/>
                <w:w w:val="89"/>
              </w:rPr>
              <w:t>Operating profit:</w:t>
            </w:r>
          </w:p>
        </w:tc>
        <w:tc>
          <w:tcPr>
            <w:tcW w:w="2480" w:type="dxa"/>
            <w:vAlign w:val="bottom"/>
            <w:gridSpan w:val="2"/>
          </w:tcPr>
          <w:p>
            <w:pPr>
              <w:spacing w:after="0"/>
              <w:rPr>
                <w:sz w:val="12"/>
                <w:szCs w:val="12"/>
                <w:color w:val="auto"/>
              </w:rPr>
            </w:pPr>
          </w:p>
        </w:tc>
        <w:tc>
          <w:tcPr>
            <w:tcW w:w="9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(5,027)</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29"/>
        </w:trPr>
        <w:tc>
          <w:tcPr>
            <w:tcW w:w="3400" w:type="dxa"/>
            <w:vAlign w:val="bottom"/>
            <w:gridSpan w:val="4"/>
          </w:tcPr>
          <w:p>
            <w:pPr>
              <w:spacing w:after="0" w:line="129" w:lineRule="exact"/>
              <w:rPr>
                <w:sz w:val="20"/>
                <w:szCs w:val="20"/>
                <w:color w:val="auto"/>
              </w:rPr>
            </w:pPr>
            <w:r>
              <w:rPr>
                <w:rFonts w:ascii="Arial" w:cs="Arial" w:eastAsia="Arial" w:hAnsi="Arial"/>
                <w:sz w:val="14"/>
                <w:szCs w:val="14"/>
                <w:color w:val="auto"/>
              </w:rPr>
              <w:t>Restructuring and severance costs</w:t>
            </w:r>
          </w:p>
        </w:tc>
        <w:tc>
          <w:tcPr>
            <w:tcW w:w="9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gridSpan w:val="4"/>
          </w:tcPr>
          <w:p>
            <w:pPr>
              <w:spacing w:after="0" w:line="149" w:lineRule="exact"/>
              <w:rPr>
                <w:sz w:val="20"/>
                <w:szCs w:val="20"/>
                <w:color w:val="auto"/>
              </w:rPr>
            </w:pPr>
            <w:r>
              <w:rPr>
                <w:rFonts w:ascii="Arial" w:cs="Arial" w:eastAsia="Arial" w:hAnsi="Arial"/>
                <w:sz w:val="14"/>
                <w:szCs w:val="14"/>
                <w:color w:val="auto"/>
              </w:rPr>
              <w:t>Asset write-downs</w:t>
            </w:r>
          </w:p>
        </w:tc>
        <w:tc>
          <w:tcPr>
            <w:tcW w:w="9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4"/>
          </w:tcPr>
          <w:p>
            <w:pPr>
              <w:spacing w:after="0" w:line="149" w:lineRule="exact"/>
              <w:rPr>
                <w:sz w:val="20"/>
                <w:szCs w:val="20"/>
                <w:color w:val="auto"/>
              </w:rPr>
            </w:pPr>
            <w:r>
              <w:rPr>
                <w:rFonts w:ascii="Arial" w:cs="Arial" w:eastAsia="Arial" w:hAnsi="Arial"/>
                <w:sz w:val="14"/>
                <w:szCs w:val="14"/>
                <w:color w:val="auto"/>
              </w:rPr>
              <w:t>Siliconix acquisition-related costs</w:t>
            </w:r>
          </w:p>
        </w:tc>
        <w:tc>
          <w:tcPr>
            <w:tcW w:w="9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1"/>
        </w:trPr>
        <w:tc>
          <w:tcPr>
            <w:tcW w:w="3400" w:type="dxa"/>
            <w:vAlign w:val="bottom"/>
            <w:gridSpan w:val="4"/>
          </w:tcPr>
          <w:p>
            <w:pPr>
              <w:spacing w:after="0" w:line="151" w:lineRule="exact"/>
              <w:rPr>
                <w:sz w:val="20"/>
                <w:szCs w:val="20"/>
                <w:color w:val="auto"/>
              </w:rPr>
            </w:pPr>
            <w:r>
              <w:rPr>
                <w:rFonts w:ascii="Arial" w:cs="Arial" w:eastAsia="Arial" w:hAnsi="Arial"/>
                <w:sz w:val="14"/>
                <w:szCs w:val="14"/>
                <w:color w:val="auto"/>
              </w:rPr>
              <w:t>Purchased in-process research and development</w:t>
            </w:r>
          </w:p>
        </w:tc>
        <w:tc>
          <w:tcPr>
            <w:tcW w:w="960" w:type="dxa"/>
            <w:vAlign w:val="bottom"/>
          </w:tcPr>
          <w:p>
            <w:pPr>
              <w:spacing w:after="0"/>
              <w:rPr>
                <w:sz w:val="13"/>
                <w:szCs w:val="13"/>
                <w:color w:val="auto"/>
              </w:rPr>
            </w:pPr>
          </w:p>
        </w:tc>
        <w:tc>
          <w:tcPr>
            <w:tcW w:w="660" w:type="dxa"/>
            <w:vAlign w:val="bottom"/>
          </w:tcPr>
          <w:p>
            <w:pPr>
              <w:jc w:val="right"/>
              <w:ind w:right="72"/>
              <w:spacing w:after="0" w:line="151"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3400" w:type="dxa"/>
            <w:vAlign w:val="bottom"/>
            <w:gridSpan w:val="4"/>
          </w:tcPr>
          <w:p>
            <w:pPr>
              <w:spacing w:after="0" w:line="146" w:lineRule="exact"/>
              <w:rPr>
                <w:sz w:val="20"/>
                <w:szCs w:val="20"/>
                <w:color w:val="auto"/>
              </w:rPr>
            </w:pPr>
            <w:r>
              <w:rPr>
                <w:rFonts w:ascii="Arial" w:cs="Arial" w:eastAsia="Arial" w:hAnsi="Arial"/>
                <w:sz w:val="14"/>
                <w:szCs w:val="14"/>
                <w:color w:val="auto"/>
              </w:rPr>
              <w:t>Other income (expense):</w:t>
            </w:r>
          </w:p>
        </w:tc>
        <w:tc>
          <w:tcPr>
            <w:tcW w:w="9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vMerge w:val="restart"/>
          </w:tcPr>
          <w:p>
            <w:pPr>
              <w:jc w:val="right"/>
              <w:ind w:right="72"/>
              <w:spacing w:after="0"/>
              <w:rPr>
                <w:sz w:val="20"/>
                <w:szCs w:val="20"/>
                <w:color w:val="auto"/>
              </w:rPr>
            </w:pPr>
            <w:r>
              <w:rPr>
                <w:rFonts w:ascii="Arial" w:cs="Arial" w:eastAsia="Arial" w:hAnsi="Arial"/>
                <w:sz w:val="14"/>
                <w:szCs w:val="14"/>
                <w:b w:val="1"/>
                <w:bCs w:val="1"/>
                <w:color w:val="auto"/>
              </w:rPr>
              <w:t>—</w:t>
            </w:r>
          </w:p>
        </w:tc>
        <w:tc>
          <w:tcPr>
            <w:tcW w:w="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
        </w:trPr>
        <w:tc>
          <w:tcPr>
            <w:tcW w:w="1340" w:type="dxa"/>
            <w:vAlign w:val="bottom"/>
            <w:gridSpan w:val="3"/>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960" w:type="dxa"/>
            <w:vAlign w:val="bottom"/>
            <w:vMerge w:val="continue"/>
          </w:tcPr>
          <w:p>
            <w:pPr>
              <w:spacing w:after="0" w:line="20" w:lineRule="exact"/>
              <w:rPr>
                <w:sz w:val="1"/>
                <w:szCs w:val="1"/>
                <w:color w:val="auto"/>
              </w:rPr>
            </w:pPr>
          </w:p>
        </w:tc>
        <w:tc>
          <w:tcPr>
            <w:tcW w:w="66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400" w:type="dxa"/>
            <w:vAlign w:val="bottom"/>
            <w:gridSpan w:val="4"/>
          </w:tcPr>
          <w:p>
            <w:pPr>
              <w:spacing w:after="0" w:line="129" w:lineRule="exact"/>
              <w:rPr>
                <w:sz w:val="20"/>
                <w:szCs w:val="20"/>
                <w:color w:val="auto"/>
              </w:rPr>
            </w:pPr>
            <w:r>
              <w:rPr>
                <w:rFonts w:ascii="Arial" w:cs="Arial" w:eastAsia="Arial" w:hAnsi="Arial"/>
                <w:sz w:val="14"/>
                <w:szCs w:val="14"/>
                <w:color w:val="auto"/>
              </w:rPr>
              <w:t>Gain on settlement of note receivable</w:t>
            </w:r>
          </w:p>
        </w:tc>
        <w:tc>
          <w:tcPr>
            <w:tcW w:w="96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1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400" w:type="dxa"/>
            <w:vAlign w:val="bottom"/>
            <w:gridSpan w:val="4"/>
          </w:tcPr>
          <w:p>
            <w:pPr>
              <w:spacing w:after="0" w:line="149" w:lineRule="exact"/>
              <w:rPr>
                <w:sz w:val="20"/>
                <w:szCs w:val="20"/>
                <w:color w:val="auto"/>
              </w:rPr>
            </w:pPr>
            <w:r>
              <w:rPr>
                <w:rFonts w:ascii="Arial" w:cs="Arial" w:eastAsia="Arial" w:hAnsi="Arial"/>
                <w:sz w:val="14"/>
                <w:szCs w:val="14"/>
                <w:color w:val="auto"/>
              </w:rPr>
              <w:t>Gain on sale of land</w:t>
            </w:r>
          </w:p>
        </w:tc>
        <w:tc>
          <w:tcPr>
            <w:tcW w:w="96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00" w:type="dxa"/>
            <w:vAlign w:val="bottom"/>
            <w:gridSpan w:val="4"/>
          </w:tcPr>
          <w:p>
            <w:pPr>
              <w:spacing w:after="0" w:line="149" w:lineRule="exact"/>
              <w:rPr>
                <w:sz w:val="20"/>
                <w:szCs w:val="20"/>
                <w:color w:val="auto"/>
              </w:rPr>
            </w:pPr>
            <w:r>
              <w:rPr>
                <w:rFonts w:ascii="Arial" w:cs="Arial" w:eastAsia="Arial" w:hAnsi="Arial"/>
                <w:sz w:val="14"/>
                <w:szCs w:val="14"/>
                <w:color w:val="auto"/>
              </w:rPr>
              <w:t>One-time tax benefits</w:t>
            </w:r>
          </w:p>
        </w:tc>
        <w:tc>
          <w:tcPr>
            <w:tcW w:w="9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74"/>
        </w:trPr>
        <w:tc>
          <w:tcPr>
            <w:tcW w:w="3400" w:type="dxa"/>
            <w:vAlign w:val="bottom"/>
            <w:gridSpan w:val="4"/>
          </w:tcPr>
          <w:p>
            <w:pPr>
              <w:spacing w:after="0"/>
              <w:rPr>
                <w:sz w:val="20"/>
                <w:szCs w:val="20"/>
                <w:color w:val="auto"/>
              </w:rPr>
            </w:pPr>
            <w:r>
              <w:rPr>
                <w:rFonts w:ascii="Arial" w:cs="Arial" w:eastAsia="Arial" w:hAnsi="Arial"/>
                <w:sz w:val="14"/>
                <w:szCs w:val="14"/>
                <w:b w:val="1"/>
                <w:bCs w:val="1"/>
                <w:color w:val="auto"/>
              </w:rPr>
              <w:t>Quarter end date*</w:t>
            </w:r>
          </w:p>
        </w:tc>
        <w:tc>
          <w:tcPr>
            <w:tcW w:w="9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Apr. 2</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214630</wp:posOffset>
            </wp:positionV>
            <wp:extent cx="18268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w w:val="82"/>
              </w:rPr>
              <w:t>582,388</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566,077</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593,690</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640,921</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646,699</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584,320</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542,714</w:t>
            </w:r>
          </w:p>
        </w:tc>
      </w:tr>
      <w:tr>
        <w:trPr>
          <w:trHeight w:val="149"/>
        </w:trPr>
        <w:tc>
          <w:tcPr>
            <w:tcW w:w="5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82"/>
              </w:rPr>
              <w:t>132,047</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135,793</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142,847</w:t>
            </w:r>
          </w:p>
        </w:tc>
        <w:tc>
          <w:tcPr>
            <w:tcW w:w="2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159,711</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168,924</w:t>
            </w:r>
          </w:p>
        </w:tc>
        <w:tc>
          <w:tcPr>
            <w:tcW w:w="24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140,978</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86,348</w:t>
            </w:r>
          </w:p>
        </w:tc>
      </w:tr>
      <w:tr>
        <w:trPr>
          <w:trHeight w:val="149"/>
        </w:trPr>
        <w:tc>
          <w:tcPr>
            <w:tcW w:w="5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7"/>
              </w:rPr>
              <w:t>13,899</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33,013</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33,597</w:t>
            </w:r>
          </w:p>
        </w:tc>
        <w:tc>
          <w:tcPr>
            <w:tcW w:w="26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62,081</w:t>
            </w:r>
          </w:p>
        </w:tc>
        <w:tc>
          <w:tcPr>
            <w:tcW w:w="240" w:type="dxa"/>
            <w:vAlign w:val="bottom"/>
          </w:tcPr>
          <w:p>
            <w:pPr>
              <w:spacing w:after="0"/>
              <w:rPr>
                <w:sz w:val="12"/>
                <w:szCs w:val="12"/>
                <w:color w:val="auto"/>
              </w:rPr>
            </w:pPr>
          </w:p>
        </w:tc>
        <w:tc>
          <w:tcPr>
            <w:tcW w:w="660" w:type="dxa"/>
            <w:vAlign w:val="bottom"/>
          </w:tcPr>
          <w:p>
            <w:pPr>
              <w:jc w:val="right"/>
              <w:ind w:right="12"/>
              <w:spacing w:after="0" w:line="149" w:lineRule="exact"/>
              <w:rPr>
                <w:sz w:val="20"/>
                <w:szCs w:val="20"/>
                <w:color w:val="auto"/>
              </w:rPr>
            </w:pPr>
            <w:r>
              <w:rPr>
                <w:rFonts w:ascii="Arial" w:cs="Arial" w:eastAsia="Arial" w:hAnsi="Arial"/>
                <w:sz w:val="14"/>
                <w:szCs w:val="14"/>
                <w:color w:val="auto"/>
              </w:rPr>
              <w:t>67,803</w:t>
            </w:r>
          </w:p>
        </w:tc>
        <w:tc>
          <w:tcPr>
            <w:tcW w:w="240" w:type="dxa"/>
            <w:vAlign w:val="bottom"/>
          </w:tcPr>
          <w:p>
            <w:pPr>
              <w:spacing w:after="0"/>
              <w:rPr>
                <w:sz w:val="12"/>
                <w:szCs w:val="12"/>
                <w:color w:val="auto"/>
              </w:rPr>
            </w:pPr>
          </w:p>
        </w:tc>
        <w:tc>
          <w:tcPr>
            <w:tcW w:w="680" w:type="dxa"/>
            <w:vAlign w:val="bottom"/>
          </w:tcPr>
          <w:p>
            <w:pPr>
              <w:jc w:val="right"/>
              <w:ind w:right="12"/>
              <w:spacing w:after="0" w:line="149" w:lineRule="exact"/>
              <w:rPr>
                <w:sz w:val="20"/>
                <w:szCs w:val="20"/>
                <w:color w:val="auto"/>
              </w:rPr>
            </w:pPr>
            <w:r>
              <w:rPr>
                <w:rFonts w:ascii="Arial" w:cs="Arial" w:eastAsia="Arial" w:hAnsi="Arial"/>
                <w:sz w:val="14"/>
                <w:szCs w:val="14"/>
                <w:color w:val="auto"/>
              </w:rPr>
              <w:t>38,602</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(74,917)</w:t>
            </w:r>
          </w:p>
        </w:tc>
      </w:tr>
      <w:tr>
        <w:trPr>
          <w:trHeight w:val="174"/>
        </w:trPr>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rPr>
              <w:t>9,716</w:t>
            </w:r>
          </w:p>
        </w:tc>
        <w:tc>
          <w:tcPr>
            <w:tcW w:w="24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19,956</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26,890</w:t>
            </w:r>
          </w:p>
        </w:tc>
        <w:tc>
          <w:tcPr>
            <w:tcW w:w="2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35,966</w:t>
            </w:r>
          </w:p>
        </w:tc>
        <w:tc>
          <w:tcPr>
            <w:tcW w:w="24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41,118</w:t>
            </w:r>
          </w:p>
        </w:tc>
        <w:tc>
          <w:tcPr>
            <w:tcW w:w="24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22,070</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(54,458)</w:t>
            </w:r>
          </w:p>
        </w:tc>
      </w:tr>
      <w:tr>
        <w:trPr>
          <w:trHeight w:val="271"/>
        </w:trPr>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rPr>
              <w:t>0.06</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0.11</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0.15</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0.22</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0.25</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0.13</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(0.33)</w:t>
            </w:r>
          </w:p>
        </w:tc>
      </w:tr>
      <w:tr>
        <w:trPr>
          <w:trHeight w:val="174"/>
        </w:trPr>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rPr>
              <w:t>0.05</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0.11</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0.14</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0.20</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0.22</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0.13</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(0.33)</w:t>
            </w:r>
          </w:p>
        </w:tc>
      </w:tr>
      <w:tr>
        <w:trPr>
          <w:trHeight w:val="420"/>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(1,323)</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1,146</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3,417</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(16,613)</w:t>
            </w:r>
          </w:p>
        </w:tc>
      </w:tr>
      <w:tr>
        <w:trPr>
          <w:trHeight w:val="174"/>
        </w:trPr>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8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(400)</w:t>
            </w:r>
          </w:p>
        </w:tc>
      </w:tr>
      <w:tr>
        <w:trPr>
          <w:trHeight w:val="271"/>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(9,227)</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(3,924)</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(11,594)</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(301)</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(1,759)</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(4,997)</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(40,193)</w:t>
            </w:r>
          </w:p>
        </w:tc>
      </w:tr>
      <w:tr>
        <w:trPr>
          <w:trHeight w:val="149"/>
        </w:trPr>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(131)</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(4,682)</w:t>
            </w:r>
          </w:p>
        </w:tc>
        <w:tc>
          <w:tcPr>
            <w:tcW w:w="240" w:type="dxa"/>
            <w:vAlign w:val="bottom"/>
          </w:tcPr>
          <w:p>
            <w:pPr>
              <w:spacing w:after="0"/>
              <w:rPr>
                <w:sz w:val="12"/>
                <w:szCs w:val="12"/>
                <w:color w:val="auto"/>
              </w:rPr>
            </w:pP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(6,603)</w:t>
            </w:r>
          </w:p>
        </w:tc>
        <w:tc>
          <w:tcPr>
            <w:tcW w:w="26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(27,296)</w:t>
            </w:r>
          </w:p>
        </w:tc>
      </w:tr>
      <w:tr>
        <w:trPr>
          <w:trHeight w:val="149"/>
        </w:trPr>
        <w:tc>
          <w:tcPr>
            <w:tcW w:w="52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(3,751)</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74"/>
        </w:trPr>
        <w:tc>
          <w:tcPr>
            <w:tcW w:w="520" w:type="dxa"/>
            <w:vAlign w:val="bottom"/>
          </w:tcPr>
          <w:p>
            <w:pPr>
              <w:jc w:val="right"/>
              <w:spacing w:after="0"/>
              <w:rPr>
                <w:sz w:val="20"/>
                <w:szCs w:val="20"/>
                <w:color w:val="auto"/>
              </w:rPr>
            </w:pPr>
            <w:r>
              <w:rPr>
                <w:rFonts w:ascii="Arial" w:cs="Arial" w:eastAsia="Arial" w:hAnsi="Arial"/>
                <w:sz w:val="14"/>
                <w:szCs w:val="14"/>
                <w:b w:val="1"/>
                <w:bCs w:val="1"/>
                <w:color w:val="auto"/>
              </w:rPr>
              <w:t>(9,201)</w:t>
            </w:r>
          </w:p>
        </w:tc>
        <w:tc>
          <w:tcPr>
            <w:tcW w:w="24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(493)</w:t>
            </w:r>
          </w:p>
        </w:tc>
        <w:tc>
          <w:tcPr>
            <w:tcW w:w="260" w:type="dxa"/>
            <w:vAlign w:val="bottom"/>
          </w:tcPr>
          <w:p>
            <w:pPr>
              <w:spacing w:after="0"/>
              <w:rPr>
                <w:sz w:val="15"/>
                <w:szCs w:val="15"/>
                <w:color w:val="auto"/>
              </w:rPr>
            </w:pP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(1,500)</w:t>
            </w:r>
          </w:p>
        </w:tc>
        <w:tc>
          <w:tcPr>
            <w:tcW w:w="240" w:type="dxa"/>
            <w:vAlign w:val="bottom"/>
          </w:tcPr>
          <w:p>
            <w:pPr>
              <w:spacing w:after="0"/>
              <w:rPr>
                <w:sz w:val="15"/>
                <w:szCs w:val="15"/>
                <w:color w:val="auto"/>
              </w:rPr>
            </w:pP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271"/>
        </w:trPr>
        <w:tc>
          <w:tcPr>
            <w:tcW w:w="52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72"/>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3,100</w:t>
            </w:r>
          </w:p>
        </w:tc>
        <w:tc>
          <w:tcPr>
            <w:tcW w:w="240" w:type="dxa"/>
            <w:vAlign w:val="bottom"/>
          </w:tcPr>
          <w:p>
            <w:pPr>
              <w:jc w:val="right"/>
              <w:ind w:right="72"/>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32"/>
              <w:spacing w:after="0"/>
              <w:rPr>
                <w:sz w:val="20"/>
                <w:szCs w:val="20"/>
                <w:color w:val="auto"/>
              </w:rPr>
            </w:pPr>
            <w:r>
              <w:rPr>
                <w:rFonts w:ascii="Arial" w:cs="Arial" w:eastAsia="Arial" w:hAnsi="Arial"/>
                <w:sz w:val="14"/>
                <w:szCs w:val="14"/>
                <w:color w:val="auto"/>
              </w:rPr>
              <w:t>—</w:t>
            </w:r>
          </w:p>
        </w:tc>
      </w:tr>
      <w:tr>
        <w:trPr>
          <w:trHeight w:val="149"/>
        </w:trPr>
        <w:tc>
          <w:tcPr>
            <w:tcW w:w="5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2,120</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640" w:type="dxa"/>
            <w:vAlign w:val="bottom"/>
          </w:tcPr>
          <w:p>
            <w:pPr>
              <w:jc w:val="right"/>
              <w:ind w:right="32"/>
              <w:spacing w:after="0" w:line="149" w:lineRule="exact"/>
              <w:rPr>
                <w:sz w:val="20"/>
                <w:szCs w:val="20"/>
                <w:color w:val="auto"/>
              </w:rPr>
            </w:pPr>
            <w:r>
              <w:rPr>
                <w:rFonts w:ascii="Arial" w:cs="Arial" w:eastAsia="Arial" w:hAnsi="Arial"/>
                <w:sz w:val="14"/>
                <w:szCs w:val="14"/>
                <w:color w:val="auto"/>
              </w:rPr>
              <w:t>—</w:t>
            </w:r>
          </w:p>
        </w:tc>
      </w:tr>
      <w:tr>
        <w:trPr>
          <w:trHeight w:val="149"/>
        </w:trPr>
        <w:tc>
          <w:tcPr>
            <w:tcW w:w="52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rPr>
              <w:t>3,698</w:t>
            </w:r>
          </w:p>
        </w:tc>
        <w:tc>
          <w:tcPr>
            <w:tcW w:w="2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24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w:t>
            </w:r>
          </w:p>
        </w:tc>
        <w:tc>
          <w:tcPr>
            <w:tcW w:w="660" w:type="dxa"/>
            <w:vAlign w:val="bottom"/>
          </w:tcPr>
          <w:p>
            <w:pPr>
              <w:jc w:val="right"/>
              <w:spacing w:after="0" w:line="149" w:lineRule="exact"/>
              <w:rPr>
                <w:sz w:val="20"/>
                <w:szCs w:val="20"/>
                <w:color w:val="auto"/>
              </w:rPr>
            </w:pPr>
            <w:r>
              <w:rPr>
                <w:rFonts w:ascii="Arial" w:cs="Arial" w:eastAsia="Arial" w:hAnsi="Arial"/>
                <w:sz w:val="14"/>
                <w:szCs w:val="14"/>
                <w:b w:val="1"/>
                <w:bCs w:val="1"/>
                <w:color w:val="auto"/>
              </w:rPr>
              <w:t>5,279</w:t>
            </w:r>
          </w:p>
        </w:tc>
        <w:tc>
          <w:tcPr>
            <w:tcW w:w="2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9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6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jc w:val="right"/>
              <w:ind w:right="72"/>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10,550</w:t>
            </w:r>
          </w:p>
        </w:tc>
      </w:tr>
      <w:tr>
        <w:trPr>
          <w:trHeight w:val="174"/>
        </w:trPr>
        <w:tc>
          <w:tcPr>
            <w:tcW w:w="520" w:type="dxa"/>
            <w:vAlign w:val="bottom"/>
          </w:tcPr>
          <w:p>
            <w:pPr>
              <w:jc w:val="right"/>
              <w:ind w:right="12"/>
              <w:spacing w:after="0"/>
              <w:rPr>
                <w:sz w:val="20"/>
                <w:szCs w:val="20"/>
                <w:color w:val="auto"/>
              </w:rPr>
            </w:pPr>
            <w:r>
              <w:rPr>
                <w:rFonts w:ascii="Arial" w:cs="Arial" w:eastAsia="Arial" w:hAnsi="Arial"/>
                <w:sz w:val="14"/>
                <w:szCs w:val="14"/>
                <w:b w:val="1"/>
                <w:bCs w:val="1"/>
                <w:color w:val="auto"/>
              </w:rPr>
              <w:t>Jul. 2</w:t>
            </w:r>
          </w:p>
        </w:tc>
        <w:tc>
          <w:tcPr>
            <w:tcW w:w="24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b w:val="1"/>
                <w:bCs w:val="1"/>
                <w:color w:val="auto"/>
              </w:rPr>
              <w:t>Oct. 1</w:t>
            </w:r>
          </w:p>
        </w:tc>
        <w:tc>
          <w:tcPr>
            <w:tcW w:w="240" w:type="dxa"/>
            <w:vAlign w:val="bottom"/>
          </w:tcPr>
          <w:p>
            <w:pPr>
              <w:spacing w:after="0"/>
              <w:rPr>
                <w:sz w:val="15"/>
                <w:szCs w:val="15"/>
                <w:color w:val="auto"/>
              </w:rPr>
            </w:pPr>
          </w:p>
        </w:tc>
        <w:tc>
          <w:tcPr>
            <w:tcW w:w="660" w:type="dxa"/>
            <w:vAlign w:val="bottom"/>
          </w:tcPr>
          <w:p>
            <w:pPr>
              <w:jc w:val="right"/>
              <w:spacing w:after="0"/>
              <w:rPr>
                <w:sz w:val="20"/>
                <w:szCs w:val="20"/>
                <w:color w:val="auto"/>
              </w:rPr>
            </w:pPr>
            <w:r>
              <w:rPr>
                <w:rFonts w:ascii="Arial" w:cs="Arial" w:eastAsia="Arial" w:hAnsi="Arial"/>
                <w:sz w:val="14"/>
                <w:szCs w:val="14"/>
                <w:b w:val="1"/>
                <w:bCs w:val="1"/>
                <w:color w:val="auto"/>
              </w:rPr>
              <w:t>Dec. 31</w:t>
            </w:r>
          </w:p>
        </w:tc>
        <w:tc>
          <w:tcPr>
            <w:tcW w:w="26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Apr. 3</w:t>
            </w:r>
          </w:p>
        </w:tc>
        <w:tc>
          <w:tcPr>
            <w:tcW w:w="240" w:type="dxa"/>
            <w:vAlign w:val="bottom"/>
          </w:tcPr>
          <w:p>
            <w:pPr>
              <w:spacing w:after="0"/>
              <w:rPr>
                <w:sz w:val="15"/>
                <w:szCs w:val="15"/>
                <w:color w:val="auto"/>
              </w:rPr>
            </w:pPr>
          </w:p>
        </w:tc>
        <w:tc>
          <w:tcPr>
            <w:tcW w:w="660" w:type="dxa"/>
            <w:vAlign w:val="bottom"/>
          </w:tcPr>
          <w:p>
            <w:pPr>
              <w:jc w:val="right"/>
              <w:ind w:right="12"/>
              <w:spacing w:after="0"/>
              <w:rPr>
                <w:sz w:val="20"/>
                <w:szCs w:val="20"/>
                <w:color w:val="auto"/>
              </w:rPr>
            </w:pPr>
            <w:r>
              <w:rPr>
                <w:rFonts w:ascii="Arial" w:cs="Arial" w:eastAsia="Arial" w:hAnsi="Arial"/>
                <w:sz w:val="14"/>
                <w:szCs w:val="14"/>
                <w:color w:val="auto"/>
              </w:rPr>
              <w:t>Jul. 3</w:t>
            </w:r>
          </w:p>
        </w:tc>
        <w:tc>
          <w:tcPr>
            <w:tcW w:w="240" w:type="dxa"/>
            <w:vAlign w:val="bottom"/>
          </w:tcPr>
          <w:p>
            <w:pPr>
              <w:spacing w:after="0"/>
              <w:rPr>
                <w:sz w:val="15"/>
                <w:szCs w:val="15"/>
                <w:color w:val="auto"/>
              </w:rPr>
            </w:pPr>
          </w:p>
        </w:tc>
        <w:tc>
          <w:tcPr>
            <w:tcW w:w="680" w:type="dxa"/>
            <w:vAlign w:val="bottom"/>
          </w:tcPr>
          <w:p>
            <w:pPr>
              <w:jc w:val="right"/>
              <w:ind w:right="12"/>
              <w:spacing w:after="0"/>
              <w:rPr>
                <w:sz w:val="20"/>
                <w:szCs w:val="20"/>
                <w:color w:val="auto"/>
              </w:rPr>
            </w:pPr>
            <w:r>
              <w:rPr>
                <w:rFonts w:ascii="Arial" w:cs="Arial" w:eastAsia="Arial" w:hAnsi="Arial"/>
                <w:sz w:val="14"/>
                <w:szCs w:val="14"/>
                <w:color w:val="auto"/>
              </w:rPr>
              <w:t>Oct. 2</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Dec. 31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-2082800</wp:posOffset>
            </wp:positionV>
            <wp:extent cx="7246620" cy="9461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-1894205</wp:posOffset>
            </wp:positionV>
            <wp:extent cx="7246620" cy="9461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-1705610</wp:posOffset>
            </wp:positionV>
            <wp:extent cx="7246620" cy="9461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-1517015</wp:posOffset>
            </wp:positionV>
            <wp:extent cx="7246620" cy="9461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-1328420</wp:posOffset>
            </wp:positionV>
            <wp:extent cx="7246620" cy="9461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-1139825</wp:posOffset>
            </wp:positionV>
            <wp:extent cx="7246620" cy="9461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-951230</wp:posOffset>
            </wp:positionV>
            <wp:extent cx="7246620" cy="9461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-762000</wp:posOffset>
            </wp:positionV>
            <wp:extent cx="7246620" cy="9461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-573405</wp:posOffset>
            </wp:positionV>
            <wp:extent cx="7246620" cy="9461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-384810</wp:posOffset>
            </wp:positionV>
            <wp:extent cx="7246620" cy="9461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94615"/>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-196215</wp:posOffset>
            </wp:positionV>
            <wp:extent cx="7246620" cy="9461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9461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20" w:space="280"/>
            <w:col w:w="5940"/>
          </w:cols>
          <w:pgMar w:left="240" w:top="584" w:right="319" w:bottom="1440" w:gutter="0" w:footer="0" w:header="0"/>
          <w:type w:val="continuous"/>
        </w:sectPr>
      </w:pPr>
    </w:p>
    <w:p>
      <w:pPr>
        <w:spacing w:after="0" w:line="251" w:lineRule="exact"/>
        <w:rPr>
          <w:sz w:val="20"/>
          <w:szCs w:val="20"/>
          <w:color w:val="auto"/>
        </w:rPr>
      </w:pPr>
    </w:p>
    <w:p>
      <w:pPr>
        <w:ind w:right="120" w:firstLine="8"/>
        <w:spacing w:after="0" w:line="268" w:lineRule="auto"/>
        <w:tabs>
          <w:tab w:leader="none" w:pos="132" w:val="left"/>
        </w:tabs>
        <w:numPr>
          <w:ilvl w:val="0"/>
          <w:numId w:val="18"/>
        </w:numPr>
        <w:rPr>
          <w:rFonts w:ascii="Arial" w:cs="Arial" w:eastAsia="Arial" w:hAnsi="Arial"/>
          <w:sz w:val="18"/>
          <w:szCs w:val="18"/>
          <w:color w:val="auto"/>
        </w:rPr>
      </w:pPr>
      <w:r>
        <w:rPr>
          <w:rFonts w:ascii="Arial" w:cs="Arial" w:eastAsia="Arial" w:hAnsi="Arial"/>
          <w:sz w:val="18"/>
          <w:szCs w:val="18"/>
          <w:color w:val="auto"/>
        </w:rPr>
        <w:t>- The Company reports interim financial information for 13-week periods beginning on a Sunday and ending on a Saturday, except for the first quarter, which always begins on January 1, and the fourth quarter, which always ends on December 31.</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340"/>
          </w:cols>
          <w:pgMar w:left="240" w:top="584" w:right="319" w:bottom="1440" w:gutter="0" w:footer="0" w:header="0"/>
          <w:type w:val="continuous"/>
        </w:sectPr>
      </w:pPr>
    </w:p>
    <w:bookmarkStart w:id="117" w:name="page118"/>
    <w:bookmarkEnd w:id="117"/>
    <w:p>
      <w:pPr>
        <w:jc w:val="right"/>
        <w:spacing w:after="0"/>
        <w:rPr>
          <w:sz w:val="20"/>
          <w:szCs w:val="20"/>
          <w:color w:val="auto"/>
        </w:rPr>
      </w:pPr>
      <w:r>
        <w:rPr>
          <w:rFonts w:ascii="Arial" w:cs="Arial" w:eastAsia="Arial" w:hAnsi="Arial"/>
          <w:sz w:val="18"/>
          <w:szCs w:val="18"/>
          <w:color w:val="auto"/>
        </w:rPr>
        <w:t>Exhibit 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SUBSIDIARIES OF THE REGISTRANT</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Note: Names of Subsidiaries are indented under name of Parent. Subsidiaries are wholly owned unless otherwise noted. (Directors’ or other shares required by statute in foreign jurisdictions and totaling less than 1% of equity are omitted.)</w:t>
      </w:r>
    </w:p>
    <w:p>
      <w:pPr>
        <w:sectPr>
          <w:pgSz w:w="11900" w:h="16838" w:orient="portrait"/>
          <w:cols w:equalWidth="0" w:num="1">
            <w:col w:w="11420"/>
          </w:cols>
          <w:pgMar w:left="240" w:top="131" w:right="239" w:bottom="1440" w:gutter="0" w:footer="0" w:header="0"/>
        </w:sectPr>
      </w:pP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Vishay Americas,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Vishay Cera-Mite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Vishay EFI,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Vishay Infrared Components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Spectec Logistics,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Vishay MIC Technology,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Vishay SI Technologies,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Meadowgrip Limited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Selectaid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Revere Transducers Europe, BV</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Vishay Intertechnology Asia Pte Ltd.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Vishay Japan K.K.</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Vishay Hong Kong Ltd.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Vishay Korea Co. Ltd.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Vishay (Taiwan) Ltd.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Vishay (Thailand) Limited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BCcomponents Taiwan Limited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General Semiconductor (Singapore) Pte. Ltd.</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Vishay Temic Semiconductor Acquisition Holding Corporation</w:t>
      </w:r>
    </w:p>
    <w:p>
      <w:pPr>
        <w:spacing w:after="0" w:line="32"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Siliconix incorporated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Siliconix Technology C.V.</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Siliconix Technology B.V.</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Siliconix Israel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Siliconix Holding GmbH</w:t>
      </w:r>
    </w:p>
    <w:p>
      <w:pPr>
        <w:spacing w:after="0" w:line="9" w:lineRule="exact"/>
        <w:rPr>
          <w:sz w:val="20"/>
          <w:szCs w:val="20"/>
          <w:color w:val="auto"/>
        </w:rPr>
      </w:pPr>
    </w:p>
    <w:p>
      <w:pPr>
        <w:ind w:left="1740"/>
        <w:spacing w:after="0"/>
        <w:rPr>
          <w:sz w:val="20"/>
          <w:szCs w:val="20"/>
          <w:color w:val="auto"/>
        </w:rPr>
      </w:pPr>
      <w:r>
        <w:rPr>
          <w:rFonts w:ascii="Arial" w:cs="Arial" w:eastAsia="Arial" w:hAnsi="Arial"/>
          <w:sz w:val="18"/>
          <w:szCs w:val="18"/>
          <w:color w:val="auto"/>
        </w:rPr>
        <w:t>Vishay Siliconix Itzehoe GmbH</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Shanghai Simconix Electronic Company Ltd.</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Siliconix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Vishay Siliconix (Taiwan) Ltd.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Vishay Siliconix Electronic Co. Ltd.</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Vishay Siliconix,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Siliconix Sales Corp.</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Siliconix Semiconductor, Inc.</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Wisconsin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Rhode Island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United Kingdom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Japan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Hong Kong</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Korea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Israel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Germany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England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U.S. Virgin Islands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(a)</w:t>
      </w:r>
    </w:p>
    <w:p>
      <w:pPr>
        <w:sectPr>
          <w:pgSz w:w="11900" w:h="16838" w:orient="portrait"/>
          <w:cols w:equalWidth="0" w:num="3">
            <w:col w:w="6720" w:space="720"/>
            <w:col w:w="2120" w:space="720"/>
            <w:col w:w="1140"/>
          </w:cols>
          <w:pgMar w:left="240" w:top="131" w:right="239" w:bottom="1440" w:gutter="0" w:footer="0" w:header="0"/>
          <w:type w:val="continuous"/>
        </w:sectPr>
      </w:pPr>
    </w:p>
    <w:bookmarkStart w:id="118" w:name="page119"/>
    <w:bookmarkEnd w:id="118"/>
    <w:tbl>
      <w:tblPr>
        <w:tblLayout w:type="fixed"/>
        <w:tblInd w:w="0" w:type="dxa"/>
        <w:tblCellMar>
          <w:top w:w="0" w:type="dxa"/>
          <w:left w:w="0" w:type="dxa"/>
          <w:bottom w:w="0" w:type="dxa"/>
          <w:right w:w="0" w:type="dxa"/>
        </w:tblCellMar>
      </w:tblPr>
      <w:tr>
        <w:trPr>
          <w:trHeight w:val="228"/>
        </w:trPr>
        <w:tc>
          <w:tcPr>
            <w:tcW w:w="6040" w:type="dxa"/>
            <w:vAlign w:val="bottom"/>
          </w:tcPr>
          <w:p>
            <w:pPr>
              <w:spacing w:after="0"/>
              <w:rPr>
                <w:sz w:val="20"/>
                <w:szCs w:val="20"/>
                <w:color w:val="auto"/>
              </w:rPr>
            </w:pPr>
            <w:r>
              <w:rPr>
                <w:rFonts w:ascii="Arial" w:cs="Arial" w:eastAsia="Arial" w:hAnsi="Arial"/>
                <w:sz w:val="18"/>
                <w:szCs w:val="18"/>
                <w:b w:val="1"/>
                <w:bCs w:val="1"/>
                <w:color w:val="auto"/>
              </w:rPr>
              <w:t>Subsidiaries of the Registrant (continued)</w:t>
            </w:r>
          </w:p>
        </w:tc>
        <w:tc>
          <w:tcPr>
            <w:tcW w:w="342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426"/>
        </w:trPr>
        <w:tc>
          <w:tcPr>
            <w:tcW w:w="6040" w:type="dxa"/>
            <w:vAlign w:val="bottom"/>
          </w:tcPr>
          <w:p>
            <w:pPr>
              <w:spacing w:after="0"/>
              <w:rPr>
                <w:sz w:val="20"/>
                <w:szCs w:val="20"/>
                <w:color w:val="auto"/>
              </w:rPr>
            </w:pPr>
            <w:r>
              <w:rPr>
                <w:rFonts w:ascii="Arial" w:cs="Arial" w:eastAsia="Arial" w:hAnsi="Arial"/>
                <w:sz w:val="18"/>
                <w:szCs w:val="18"/>
                <w:color w:val="auto"/>
              </w:rPr>
              <w:t>Vishay GSI, Inc.</w:t>
            </w:r>
          </w:p>
        </w:tc>
        <w:tc>
          <w:tcPr>
            <w:tcW w:w="3420" w:type="dxa"/>
            <w:vAlign w:val="bottom"/>
          </w:tcPr>
          <w:p>
            <w:pPr>
              <w:ind w:left="1400"/>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24"/>
                <w:szCs w:val="24"/>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Vishay GSI Holdings, LLC</w:t>
            </w:r>
          </w:p>
        </w:tc>
        <w:tc>
          <w:tcPr>
            <w:tcW w:w="3420" w:type="dxa"/>
            <w:vAlign w:val="bottom"/>
          </w:tcPr>
          <w:p>
            <w:pPr>
              <w:ind w:left="1400"/>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Vishay General Semiconductor, L.P.</w:t>
            </w:r>
          </w:p>
        </w:tc>
        <w:tc>
          <w:tcPr>
            <w:tcW w:w="3420" w:type="dxa"/>
            <w:vAlign w:val="bottom"/>
          </w:tcPr>
          <w:p>
            <w:pPr>
              <w:ind w:left="1400"/>
              <w:spacing w:after="0"/>
              <w:rPr>
                <w:sz w:val="20"/>
                <w:szCs w:val="20"/>
                <w:color w:val="auto"/>
              </w:rPr>
            </w:pPr>
            <w:r>
              <w:rPr>
                <w:rFonts w:ascii="Arial" w:cs="Arial" w:eastAsia="Arial" w:hAnsi="Arial"/>
                <w:sz w:val="18"/>
                <w:szCs w:val="18"/>
                <w:color w:val="auto"/>
              </w:rPr>
              <w:t>Cayman Islands</w:t>
            </w:r>
          </w:p>
        </w:tc>
        <w:tc>
          <w:tcPr>
            <w:tcW w:w="1040" w:type="dxa"/>
            <w:vAlign w:val="bottom"/>
          </w:tcPr>
          <w:p>
            <w:pPr>
              <w:ind w:left="820"/>
              <w:spacing w:after="0"/>
              <w:rPr>
                <w:sz w:val="20"/>
                <w:szCs w:val="20"/>
                <w:color w:val="auto"/>
              </w:rPr>
            </w:pPr>
            <w:r>
              <w:rPr>
                <w:rFonts w:ascii="Arial" w:cs="Arial" w:eastAsia="Arial" w:hAnsi="Arial"/>
                <w:sz w:val="18"/>
                <w:szCs w:val="18"/>
                <w:color w:val="auto"/>
                <w:w w:val="90"/>
              </w:rPr>
              <w:t>(b)</w:t>
            </w: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Vishay General Semiconductor, LLC</w:t>
            </w:r>
          </w:p>
        </w:tc>
        <w:tc>
          <w:tcPr>
            <w:tcW w:w="3420" w:type="dxa"/>
            <w:vAlign w:val="bottom"/>
          </w:tcPr>
          <w:p>
            <w:pPr>
              <w:ind w:left="1400"/>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r>
      <w:tr>
        <w:trPr>
          <w:trHeight w:val="216"/>
        </w:trPr>
        <w:tc>
          <w:tcPr>
            <w:tcW w:w="6040" w:type="dxa"/>
            <w:vAlign w:val="bottom"/>
          </w:tcPr>
          <w:p>
            <w:pPr>
              <w:ind w:left="1300"/>
              <w:spacing w:after="0"/>
              <w:rPr>
                <w:sz w:val="20"/>
                <w:szCs w:val="20"/>
                <w:color w:val="auto"/>
              </w:rPr>
            </w:pPr>
            <w:r>
              <w:rPr>
                <w:rFonts w:ascii="Arial" w:cs="Arial" w:eastAsia="Arial" w:hAnsi="Arial"/>
                <w:sz w:val="18"/>
                <w:szCs w:val="18"/>
                <w:color w:val="auto"/>
              </w:rPr>
              <w:t>General Semiconductor of Taiwan, Ltd.</w:t>
            </w:r>
          </w:p>
        </w:tc>
        <w:tc>
          <w:tcPr>
            <w:tcW w:w="3420" w:type="dxa"/>
            <w:vAlign w:val="bottom"/>
          </w:tcPr>
          <w:p>
            <w:pPr>
              <w:ind w:left="1400"/>
              <w:spacing w:after="0"/>
              <w:rPr>
                <w:sz w:val="20"/>
                <w:szCs w:val="20"/>
                <w:color w:val="auto"/>
              </w:rPr>
            </w:pPr>
            <w:r>
              <w:rPr>
                <w:rFonts w:ascii="Arial" w:cs="Arial" w:eastAsia="Arial" w:hAnsi="Arial"/>
                <w:sz w:val="18"/>
                <w:szCs w:val="18"/>
                <w:color w:val="auto"/>
              </w:rPr>
              <w:t>Taiwan</w:t>
            </w:r>
          </w:p>
        </w:tc>
        <w:tc>
          <w:tcPr>
            <w:tcW w:w="1040" w:type="dxa"/>
            <w:vAlign w:val="bottom"/>
          </w:tcPr>
          <w:p>
            <w:pPr>
              <w:spacing w:after="0"/>
              <w:rPr>
                <w:sz w:val="18"/>
                <w:szCs w:val="18"/>
                <w:color w:val="auto"/>
              </w:rPr>
            </w:pPr>
          </w:p>
        </w:tc>
      </w:tr>
      <w:tr>
        <w:trPr>
          <w:trHeight w:val="216"/>
        </w:trPr>
        <w:tc>
          <w:tcPr>
            <w:tcW w:w="6040" w:type="dxa"/>
            <w:vAlign w:val="bottom"/>
          </w:tcPr>
          <w:p>
            <w:pPr>
              <w:ind w:left="1300"/>
              <w:spacing w:after="0"/>
              <w:rPr>
                <w:sz w:val="20"/>
                <w:szCs w:val="20"/>
                <w:color w:val="auto"/>
              </w:rPr>
            </w:pPr>
            <w:r>
              <w:rPr>
                <w:rFonts w:ascii="Arial" w:cs="Arial" w:eastAsia="Arial" w:hAnsi="Arial"/>
                <w:sz w:val="18"/>
                <w:szCs w:val="18"/>
                <w:color w:val="auto"/>
              </w:rPr>
              <w:t>General Semiconductor (China) Holdings, LLC</w:t>
            </w:r>
          </w:p>
        </w:tc>
        <w:tc>
          <w:tcPr>
            <w:tcW w:w="3420" w:type="dxa"/>
            <w:vAlign w:val="bottom"/>
          </w:tcPr>
          <w:p>
            <w:pPr>
              <w:ind w:left="1400"/>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r>
      <w:tr>
        <w:trPr>
          <w:trHeight w:val="216"/>
        </w:trPr>
        <w:tc>
          <w:tcPr>
            <w:tcW w:w="6040" w:type="dxa"/>
            <w:vAlign w:val="bottom"/>
          </w:tcPr>
          <w:p>
            <w:pPr>
              <w:ind w:left="1740"/>
              <w:spacing w:after="0"/>
              <w:rPr>
                <w:sz w:val="20"/>
                <w:szCs w:val="20"/>
                <w:color w:val="auto"/>
              </w:rPr>
            </w:pPr>
            <w:r>
              <w:rPr>
                <w:rFonts w:ascii="Arial" w:cs="Arial" w:eastAsia="Arial" w:hAnsi="Arial"/>
                <w:sz w:val="18"/>
                <w:szCs w:val="18"/>
                <w:color w:val="auto"/>
              </w:rPr>
              <w:t>General Semiconductor (China) Co., Ltd.</w:t>
            </w:r>
          </w:p>
        </w:tc>
        <w:tc>
          <w:tcPr>
            <w:tcW w:w="3420" w:type="dxa"/>
            <w:vAlign w:val="bottom"/>
          </w:tcPr>
          <w:p>
            <w:pPr>
              <w:ind w:left="1400"/>
              <w:spacing w:after="0"/>
              <w:rPr>
                <w:sz w:val="20"/>
                <w:szCs w:val="20"/>
                <w:color w:val="auto"/>
              </w:rPr>
            </w:pPr>
            <w:r>
              <w:rPr>
                <w:rFonts w:ascii="Arial" w:cs="Arial" w:eastAsia="Arial" w:hAnsi="Arial"/>
                <w:sz w:val="18"/>
                <w:szCs w:val="18"/>
                <w:color w:val="auto"/>
              </w:rPr>
              <w:t>China</w:t>
            </w:r>
          </w:p>
        </w:tc>
        <w:tc>
          <w:tcPr>
            <w:tcW w:w="1040" w:type="dxa"/>
            <w:vAlign w:val="bottom"/>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General Semiconductor International Corp.</w:t>
            </w:r>
          </w:p>
        </w:tc>
        <w:tc>
          <w:tcPr>
            <w:tcW w:w="3420" w:type="dxa"/>
            <w:vAlign w:val="bottom"/>
          </w:tcPr>
          <w:p>
            <w:pPr>
              <w:ind w:left="1400"/>
              <w:spacing w:after="0"/>
              <w:rPr>
                <w:sz w:val="20"/>
                <w:szCs w:val="20"/>
                <w:color w:val="auto"/>
              </w:rPr>
            </w:pPr>
            <w:r>
              <w:rPr>
                <w:rFonts w:ascii="Arial" w:cs="Arial" w:eastAsia="Arial" w:hAnsi="Arial"/>
                <w:sz w:val="18"/>
                <w:szCs w:val="18"/>
                <w:color w:val="auto"/>
              </w:rPr>
              <w:t>New York</w:t>
            </w:r>
          </w:p>
        </w:tc>
        <w:tc>
          <w:tcPr>
            <w:tcW w:w="1040" w:type="dxa"/>
            <w:vAlign w:val="bottom"/>
          </w:tcPr>
          <w:p>
            <w:pPr>
              <w:spacing w:after="0"/>
              <w:rPr>
                <w:sz w:val="18"/>
                <w:szCs w:val="18"/>
                <w:color w:val="auto"/>
              </w:rPr>
            </w:pP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General Semiconductor Japan, Ltd.</w:t>
            </w:r>
          </w:p>
        </w:tc>
        <w:tc>
          <w:tcPr>
            <w:tcW w:w="3420" w:type="dxa"/>
            <w:vAlign w:val="bottom"/>
          </w:tcPr>
          <w:p>
            <w:pPr>
              <w:ind w:left="1400"/>
              <w:spacing w:after="0"/>
              <w:rPr>
                <w:sz w:val="20"/>
                <w:szCs w:val="20"/>
                <w:color w:val="auto"/>
              </w:rPr>
            </w:pPr>
            <w:r>
              <w:rPr>
                <w:rFonts w:ascii="Arial" w:cs="Arial" w:eastAsia="Arial" w:hAnsi="Arial"/>
                <w:sz w:val="18"/>
                <w:szCs w:val="18"/>
                <w:color w:val="auto"/>
              </w:rPr>
              <w:t>Japan</w:t>
            </w:r>
          </w:p>
        </w:tc>
        <w:tc>
          <w:tcPr>
            <w:tcW w:w="1040" w:type="dxa"/>
            <w:vAlign w:val="bottom"/>
          </w:tcPr>
          <w:p>
            <w:pPr>
              <w:ind w:left="820"/>
              <w:spacing w:after="0"/>
              <w:rPr>
                <w:sz w:val="20"/>
                <w:szCs w:val="20"/>
                <w:color w:val="auto"/>
              </w:rPr>
            </w:pPr>
            <w:r>
              <w:rPr>
                <w:rFonts w:ascii="Arial" w:cs="Arial" w:eastAsia="Arial" w:hAnsi="Arial"/>
                <w:sz w:val="18"/>
                <w:szCs w:val="18"/>
                <w:color w:val="auto"/>
                <w:w w:val="95"/>
              </w:rPr>
              <w:t>(c)</w:t>
            </w: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ATC Corp.</w:t>
            </w:r>
          </w:p>
        </w:tc>
        <w:tc>
          <w:tcPr>
            <w:tcW w:w="3420" w:type="dxa"/>
            <w:vAlign w:val="bottom"/>
          </w:tcPr>
          <w:p>
            <w:pPr>
              <w:ind w:left="1400"/>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GSI-General Semiconductor Ireland</w:t>
            </w:r>
          </w:p>
        </w:tc>
        <w:tc>
          <w:tcPr>
            <w:tcW w:w="3420" w:type="dxa"/>
            <w:vAlign w:val="bottom"/>
          </w:tcPr>
          <w:p>
            <w:pPr>
              <w:ind w:left="1400"/>
              <w:spacing w:after="0"/>
              <w:rPr>
                <w:sz w:val="20"/>
                <w:szCs w:val="20"/>
                <w:color w:val="auto"/>
              </w:rPr>
            </w:pPr>
            <w:r>
              <w:rPr>
                <w:rFonts w:ascii="Arial" w:cs="Arial" w:eastAsia="Arial" w:hAnsi="Arial"/>
                <w:sz w:val="18"/>
                <w:szCs w:val="18"/>
                <w:color w:val="auto"/>
              </w:rPr>
              <w:t>Ireland</w:t>
            </w:r>
          </w:p>
        </w:tc>
        <w:tc>
          <w:tcPr>
            <w:tcW w:w="1040" w:type="dxa"/>
            <w:vAlign w:val="bottom"/>
          </w:tcPr>
          <w:p>
            <w:pPr>
              <w:spacing w:after="0"/>
              <w:rPr>
                <w:sz w:val="18"/>
                <w:szCs w:val="18"/>
                <w:color w:val="auto"/>
              </w:rPr>
            </w:pP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GSI-General Semiconductor (Europe) Ltd.</w:t>
            </w:r>
          </w:p>
        </w:tc>
        <w:tc>
          <w:tcPr>
            <w:tcW w:w="3420" w:type="dxa"/>
            <w:vAlign w:val="bottom"/>
          </w:tcPr>
          <w:p>
            <w:pPr>
              <w:ind w:left="1400"/>
              <w:spacing w:after="0"/>
              <w:rPr>
                <w:sz w:val="20"/>
                <w:szCs w:val="20"/>
                <w:color w:val="auto"/>
              </w:rPr>
            </w:pPr>
            <w:r>
              <w:rPr>
                <w:rFonts w:ascii="Arial" w:cs="Arial" w:eastAsia="Arial" w:hAnsi="Arial"/>
                <w:sz w:val="18"/>
                <w:szCs w:val="18"/>
                <w:color w:val="auto"/>
              </w:rPr>
              <w:t>Ireland</w:t>
            </w:r>
          </w:p>
        </w:tc>
        <w:tc>
          <w:tcPr>
            <w:tcW w:w="1040" w:type="dxa"/>
            <w:vAlign w:val="bottom"/>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General Semiconductor Korea Co., Ltd.</w:t>
            </w:r>
          </w:p>
        </w:tc>
        <w:tc>
          <w:tcPr>
            <w:tcW w:w="3420" w:type="dxa"/>
            <w:vAlign w:val="bottom"/>
          </w:tcPr>
          <w:p>
            <w:pPr>
              <w:ind w:left="1400"/>
              <w:spacing w:after="0"/>
              <w:rPr>
                <w:sz w:val="20"/>
                <w:szCs w:val="20"/>
                <w:color w:val="auto"/>
              </w:rPr>
            </w:pPr>
            <w:r>
              <w:rPr>
                <w:rFonts w:ascii="Arial" w:cs="Arial" w:eastAsia="Arial" w:hAnsi="Arial"/>
                <w:sz w:val="18"/>
                <w:szCs w:val="18"/>
                <w:color w:val="auto"/>
              </w:rPr>
              <w:t>Korea</w:t>
            </w:r>
          </w:p>
        </w:tc>
        <w:tc>
          <w:tcPr>
            <w:tcW w:w="1040" w:type="dxa"/>
            <w:vAlign w:val="bottom"/>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Vishay General Semiconductor France S.A.S.</w:t>
            </w:r>
          </w:p>
        </w:tc>
        <w:tc>
          <w:tcPr>
            <w:tcW w:w="3420" w:type="dxa"/>
            <w:vAlign w:val="bottom"/>
          </w:tcPr>
          <w:p>
            <w:pPr>
              <w:ind w:left="1400"/>
              <w:spacing w:after="0"/>
              <w:rPr>
                <w:sz w:val="20"/>
                <w:szCs w:val="20"/>
                <w:color w:val="auto"/>
              </w:rPr>
            </w:pPr>
            <w:r>
              <w:rPr>
                <w:rFonts w:ascii="Arial" w:cs="Arial" w:eastAsia="Arial" w:hAnsi="Arial"/>
                <w:sz w:val="18"/>
                <w:szCs w:val="18"/>
                <w:color w:val="auto"/>
              </w:rPr>
              <w:t>France</w:t>
            </w:r>
          </w:p>
        </w:tc>
        <w:tc>
          <w:tcPr>
            <w:tcW w:w="1040" w:type="dxa"/>
            <w:vAlign w:val="bottom"/>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General Semiconductor Hong Kong Ltd.</w:t>
            </w:r>
          </w:p>
        </w:tc>
        <w:tc>
          <w:tcPr>
            <w:tcW w:w="3420" w:type="dxa"/>
            <w:vAlign w:val="bottom"/>
          </w:tcPr>
          <w:p>
            <w:pPr>
              <w:ind w:left="1400"/>
              <w:spacing w:after="0"/>
              <w:rPr>
                <w:sz w:val="20"/>
                <w:szCs w:val="20"/>
                <w:color w:val="auto"/>
              </w:rPr>
            </w:pPr>
            <w:r>
              <w:rPr>
                <w:rFonts w:ascii="Arial" w:cs="Arial" w:eastAsia="Arial" w:hAnsi="Arial"/>
                <w:sz w:val="18"/>
                <w:szCs w:val="18"/>
                <w:color w:val="auto"/>
              </w:rPr>
              <w:t>Hong Kong</w:t>
            </w:r>
          </w:p>
        </w:tc>
        <w:tc>
          <w:tcPr>
            <w:tcW w:w="1040" w:type="dxa"/>
            <w:vAlign w:val="bottom"/>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General Semiconductor (UK) Ltd.</w:t>
            </w:r>
          </w:p>
        </w:tc>
        <w:tc>
          <w:tcPr>
            <w:tcW w:w="3420" w:type="dxa"/>
            <w:vAlign w:val="bottom"/>
          </w:tcPr>
          <w:p>
            <w:pPr>
              <w:ind w:left="1400"/>
              <w:spacing w:after="0"/>
              <w:rPr>
                <w:sz w:val="20"/>
                <w:szCs w:val="20"/>
                <w:color w:val="auto"/>
              </w:rPr>
            </w:pPr>
            <w:r>
              <w:rPr>
                <w:rFonts w:ascii="Arial" w:cs="Arial" w:eastAsia="Arial" w:hAnsi="Arial"/>
                <w:sz w:val="18"/>
                <w:szCs w:val="18"/>
                <w:color w:val="auto"/>
              </w:rPr>
              <w:t>United Kingdom</w:t>
            </w:r>
          </w:p>
        </w:tc>
        <w:tc>
          <w:tcPr>
            <w:tcW w:w="1040" w:type="dxa"/>
            <w:vAlign w:val="bottom"/>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General Semiconductor (Deutschland) GmbH</w:t>
            </w:r>
          </w:p>
        </w:tc>
        <w:tc>
          <w:tcPr>
            <w:tcW w:w="3420" w:type="dxa"/>
            <w:vAlign w:val="bottom"/>
          </w:tcPr>
          <w:p>
            <w:pPr>
              <w:ind w:left="1400"/>
              <w:spacing w:after="0"/>
              <w:rPr>
                <w:sz w:val="20"/>
                <w:szCs w:val="20"/>
                <w:color w:val="auto"/>
              </w:rPr>
            </w:pPr>
            <w:r>
              <w:rPr>
                <w:rFonts w:ascii="Arial" w:cs="Arial" w:eastAsia="Arial" w:hAnsi="Arial"/>
                <w:sz w:val="18"/>
                <w:szCs w:val="18"/>
                <w:color w:val="auto"/>
              </w:rPr>
              <w:t>Germany</w:t>
            </w:r>
          </w:p>
        </w:tc>
        <w:tc>
          <w:tcPr>
            <w:tcW w:w="104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Vishay BCcomponents Holdings Ltd.</w:t>
            </w:r>
          </w:p>
        </w:tc>
        <w:tc>
          <w:tcPr>
            <w:tcW w:w="3420" w:type="dxa"/>
            <w:vAlign w:val="bottom"/>
          </w:tcPr>
          <w:p>
            <w:pPr>
              <w:ind w:left="1400"/>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Vishay BCcomponents B.V.</w:t>
            </w:r>
          </w:p>
        </w:tc>
        <w:tc>
          <w:tcPr>
            <w:tcW w:w="3420" w:type="dxa"/>
            <w:vAlign w:val="bottom"/>
          </w:tcPr>
          <w:p>
            <w:pPr>
              <w:ind w:left="1400"/>
              <w:spacing w:after="0"/>
              <w:rPr>
                <w:sz w:val="20"/>
                <w:szCs w:val="20"/>
                <w:color w:val="auto"/>
              </w:rPr>
            </w:pPr>
            <w:r>
              <w:rPr>
                <w:rFonts w:ascii="Arial" w:cs="Arial" w:eastAsia="Arial" w:hAnsi="Arial"/>
                <w:sz w:val="18"/>
                <w:szCs w:val="18"/>
                <w:color w:val="auto"/>
              </w:rPr>
              <w:t>Netherlands</w:t>
            </w:r>
          </w:p>
        </w:tc>
        <w:tc>
          <w:tcPr>
            <w:tcW w:w="1040" w:type="dxa"/>
            <w:vAlign w:val="bottom"/>
          </w:tcPr>
          <w:p>
            <w:pPr>
              <w:spacing w:after="0"/>
              <w:rPr>
                <w:sz w:val="18"/>
                <w:szCs w:val="18"/>
                <w:color w:val="auto"/>
              </w:rPr>
            </w:pP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Vishay BCcomponents SAS</w:t>
            </w:r>
          </w:p>
        </w:tc>
        <w:tc>
          <w:tcPr>
            <w:tcW w:w="3420" w:type="dxa"/>
            <w:vAlign w:val="bottom"/>
          </w:tcPr>
          <w:p>
            <w:pPr>
              <w:ind w:left="1400"/>
              <w:spacing w:after="0"/>
              <w:rPr>
                <w:sz w:val="20"/>
                <w:szCs w:val="20"/>
                <w:color w:val="auto"/>
              </w:rPr>
            </w:pPr>
            <w:r>
              <w:rPr>
                <w:rFonts w:ascii="Arial" w:cs="Arial" w:eastAsia="Arial" w:hAnsi="Arial"/>
                <w:sz w:val="18"/>
                <w:szCs w:val="18"/>
                <w:color w:val="auto"/>
              </w:rPr>
              <w:t>France</w:t>
            </w:r>
          </w:p>
        </w:tc>
        <w:tc>
          <w:tcPr>
            <w:tcW w:w="1040" w:type="dxa"/>
            <w:vAlign w:val="bottom"/>
          </w:tcPr>
          <w:p>
            <w:pPr>
              <w:spacing w:after="0"/>
              <w:rPr>
                <w:sz w:val="18"/>
                <w:szCs w:val="18"/>
                <w:color w:val="auto"/>
              </w:rPr>
            </w:pP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BCcomponents Estate NV</w:t>
            </w:r>
          </w:p>
        </w:tc>
        <w:tc>
          <w:tcPr>
            <w:tcW w:w="3420" w:type="dxa"/>
            <w:vAlign w:val="bottom"/>
          </w:tcPr>
          <w:p>
            <w:pPr>
              <w:ind w:left="1400"/>
              <w:spacing w:after="0"/>
              <w:rPr>
                <w:sz w:val="20"/>
                <w:szCs w:val="20"/>
                <w:color w:val="auto"/>
              </w:rPr>
            </w:pPr>
            <w:r>
              <w:rPr>
                <w:rFonts w:ascii="Arial" w:cs="Arial" w:eastAsia="Arial" w:hAnsi="Arial"/>
                <w:sz w:val="18"/>
                <w:szCs w:val="18"/>
                <w:color w:val="auto"/>
              </w:rPr>
              <w:t>Belgium</w:t>
            </w:r>
          </w:p>
        </w:tc>
        <w:tc>
          <w:tcPr>
            <w:tcW w:w="1040" w:type="dxa"/>
            <w:vAlign w:val="bottom"/>
          </w:tcPr>
          <w:p>
            <w:pPr>
              <w:spacing w:after="0"/>
              <w:rPr>
                <w:sz w:val="18"/>
                <w:szCs w:val="18"/>
                <w:color w:val="auto"/>
              </w:rPr>
            </w:pP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BCcomponents BVBA</w:t>
            </w:r>
          </w:p>
        </w:tc>
        <w:tc>
          <w:tcPr>
            <w:tcW w:w="3420" w:type="dxa"/>
            <w:vAlign w:val="bottom"/>
          </w:tcPr>
          <w:p>
            <w:pPr>
              <w:ind w:left="1400"/>
              <w:spacing w:after="0"/>
              <w:rPr>
                <w:sz w:val="20"/>
                <w:szCs w:val="20"/>
                <w:color w:val="auto"/>
              </w:rPr>
            </w:pPr>
            <w:r>
              <w:rPr>
                <w:rFonts w:ascii="Arial" w:cs="Arial" w:eastAsia="Arial" w:hAnsi="Arial"/>
                <w:sz w:val="18"/>
                <w:szCs w:val="18"/>
                <w:color w:val="auto"/>
              </w:rPr>
              <w:t>Belgium</w:t>
            </w:r>
          </w:p>
        </w:tc>
        <w:tc>
          <w:tcPr>
            <w:tcW w:w="1040" w:type="dxa"/>
            <w:vAlign w:val="bottom"/>
          </w:tcPr>
          <w:p>
            <w:pPr>
              <w:spacing w:after="0"/>
              <w:rPr>
                <w:sz w:val="18"/>
                <w:szCs w:val="18"/>
                <w:color w:val="auto"/>
              </w:rPr>
            </w:pP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Vishay BCcomponents UK Ltd</w:t>
            </w:r>
          </w:p>
        </w:tc>
        <w:tc>
          <w:tcPr>
            <w:tcW w:w="3420" w:type="dxa"/>
            <w:vAlign w:val="bottom"/>
          </w:tcPr>
          <w:p>
            <w:pPr>
              <w:ind w:left="1400"/>
              <w:spacing w:after="0"/>
              <w:rPr>
                <w:sz w:val="20"/>
                <w:szCs w:val="20"/>
                <w:color w:val="auto"/>
              </w:rPr>
            </w:pPr>
            <w:r>
              <w:rPr>
                <w:rFonts w:ascii="Arial" w:cs="Arial" w:eastAsia="Arial" w:hAnsi="Arial"/>
                <w:sz w:val="18"/>
                <w:szCs w:val="18"/>
                <w:color w:val="auto"/>
              </w:rPr>
              <w:t>United Kingdom</w:t>
            </w:r>
          </w:p>
        </w:tc>
        <w:tc>
          <w:tcPr>
            <w:tcW w:w="1040" w:type="dxa"/>
            <w:vAlign w:val="bottom"/>
          </w:tcPr>
          <w:p>
            <w:pPr>
              <w:spacing w:after="0"/>
              <w:rPr>
                <w:sz w:val="18"/>
                <w:szCs w:val="18"/>
                <w:color w:val="auto"/>
              </w:rPr>
            </w:pP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Valen Ltd.</w:t>
            </w:r>
          </w:p>
        </w:tc>
        <w:tc>
          <w:tcPr>
            <w:tcW w:w="3420" w:type="dxa"/>
            <w:vAlign w:val="bottom"/>
          </w:tcPr>
          <w:p>
            <w:pPr>
              <w:ind w:left="1400"/>
              <w:spacing w:after="0"/>
              <w:rPr>
                <w:sz w:val="20"/>
                <w:szCs w:val="20"/>
                <w:color w:val="auto"/>
              </w:rPr>
            </w:pPr>
            <w:r>
              <w:rPr>
                <w:rFonts w:ascii="Arial" w:cs="Arial" w:eastAsia="Arial" w:hAnsi="Arial"/>
                <w:sz w:val="18"/>
                <w:szCs w:val="18"/>
                <w:color w:val="auto"/>
              </w:rPr>
              <w:t>Hong Kong</w:t>
            </w:r>
          </w:p>
        </w:tc>
        <w:tc>
          <w:tcPr>
            <w:tcW w:w="1040" w:type="dxa"/>
            <w:vAlign w:val="bottom"/>
          </w:tcPr>
          <w:p>
            <w:pPr>
              <w:spacing w:after="0"/>
              <w:rPr>
                <w:sz w:val="18"/>
                <w:szCs w:val="18"/>
                <w:color w:val="auto"/>
              </w:rPr>
            </w:pPr>
          </w:p>
        </w:tc>
      </w:tr>
      <w:tr>
        <w:trPr>
          <w:trHeight w:val="216"/>
        </w:trPr>
        <w:tc>
          <w:tcPr>
            <w:tcW w:w="6040" w:type="dxa"/>
            <w:vAlign w:val="bottom"/>
          </w:tcPr>
          <w:p>
            <w:pPr>
              <w:ind w:left="1300"/>
              <w:spacing w:after="0"/>
              <w:rPr>
                <w:sz w:val="20"/>
                <w:szCs w:val="20"/>
                <w:color w:val="auto"/>
              </w:rPr>
            </w:pPr>
            <w:r>
              <w:rPr>
                <w:rFonts w:ascii="Arial" w:cs="Arial" w:eastAsia="Arial" w:hAnsi="Arial"/>
                <w:sz w:val="18"/>
                <w:szCs w:val="18"/>
                <w:color w:val="auto"/>
              </w:rPr>
              <w:t>Vishay Passives Shanghai Co., Ltd</w:t>
            </w:r>
          </w:p>
        </w:tc>
        <w:tc>
          <w:tcPr>
            <w:tcW w:w="3420" w:type="dxa"/>
            <w:vAlign w:val="bottom"/>
          </w:tcPr>
          <w:p>
            <w:pPr>
              <w:ind w:left="1400"/>
              <w:spacing w:after="0"/>
              <w:rPr>
                <w:sz w:val="20"/>
                <w:szCs w:val="20"/>
                <w:color w:val="auto"/>
              </w:rPr>
            </w:pPr>
            <w:r>
              <w:rPr>
                <w:rFonts w:ascii="Arial" w:cs="Arial" w:eastAsia="Arial" w:hAnsi="Arial"/>
                <w:sz w:val="18"/>
                <w:szCs w:val="18"/>
                <w:color w:val="auto"/>
              </w:rPr>
              <w:t>China</w:t>
            </w:r>
          </w:p>
        </w:tc>
        <w:tc>
          <w:tcPr>
            <w:tcW w:w="1040" w:type="dxa"/>
            <w:vAlign w:val="bottom"/>
          </w:tcPr>
          <w:p>
            <w:pPr>
              <w:spacing w:after="0"/>
              <w:rPr>
                <w:sz w:val="18"/>
                <w:szCs w:val="18"/>
                <w:color w:val="auto"/>
              </w:rPr>
            </w:pP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BCcomponents South Europe SRL</w:t>
            </w:r>
          </w:p>
        </w:tc>
        <w:tc>
          <w:tcPr>
            <w:tcW w:w="3420" w:type="dxa"/>
            <w:vAlign w:val="bottom"/>
          </w:tcPr>
          <w:p>
            <w:pPr>
              <w:ind w:left="1400"/>
              <w:spacing w:after="0"/>
              <w:rPr>
                <w:sz w:val="20"/>
                <w:szCs w:val="20"/>
                <w:color w:val="auto"/>
              </w:rPr>
            </w:pPr>
            <w:r>
              <w:rPr>
                <w:rFonts w:ascii="Arial" w:cs="Arial" w:eastAsia="Arial" w:hAnsi="Arial"/>
                <w:sz w:val="18"/>
                <w:szCs w:val="18"/>
                <w:color w:val="auto"/>
              </w:rPr>
              <w:t>Italy</w:t>
            </w:r>
          </w:p>
        </w:tc>
        <w:tc>
          <w:tcPr>
            <w:tcW w:w="1040" w:type="dxa"/>
            <w:vAlign w:val="bottom"/>
          </w:tcPr>
          <w:p>
            <w:pPr>
              <w:spacing w:after="0"/>
              <w:rPr>
                <w:sz w:val="18"/>
                <w:szCs w:val="18"/>
                <w:color w:val="auto"/>
              </w:rPr>
            </w:pP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Vishay Components India Pvt Ltd</w:t>
            </w:r>
          </w:p>
        </w:tc>
        <w:tc>
          <w:tcPr>
            <w:tcW w:w="3420" w:type="dxa"/>
            <w:vAlign w:val="bottom"/>
          </w:tcPr>
          <w:p>
            <w:pPr>
              <w:ind w:left="1400"/>
              <w:spacing w:after="0"/>
              <w:rPr>
                <w:sz w:val="20"/>
                <w:szCs w:val="20"/>
                <w:color w:val="auto"/>
              </w:rPr>
            </w:pPr>
            <w:r>
              <w:rPr>
                <w:rFonts w:ascii="Arial" w:cs="Arial" w:eastAsia="Arial" w:hAnsi="Arial"/>
                <w:sz w:val="18"/>
                <w:szCs w:val="18"/>
                <w:color w:val="auto"/>
              </w:rPr>
              <w:t>India</w:t>
            </w:r>
          </w:p>
        </w:tc>
        <w:tc>
          <w:tcPr>
            <w:tcW w:w="1040" w:type="dxa"/>
            <w:vAlign w:val="bottom"/>
          </w:tcPr>
          <w:p>
            <w:pPr>
              <w:spacing w:after="0"/>
              <w:rPr>
                <w:sz w:val="18"/>
                <w:szCs w:val="18"/>
                <w:color w:val="auto"/>
              </w:rPr>
            </w:pPr>
          </w:p>
        </w:tc>
      </w:tr>
      <w:tr>
        <w:trPr>
          <w:trHeight w:val="216"/>
        </w:trPr>
        <w:tc>
          <w:tcPr>
            <w:tcW w:w="6040" w:type="dxa"/>
            <w:vAlign w:val="bottom"/>
          </w:tcPr>
          <w:p>
            <w:pPr>
              <w:ind w:left="880"/>
              <w:spacing w:after="0"/>
              <w:rPr>
                <w:sz w:val="20"/>
                <w:szCs w:val="20"/>
                <w:color w:val="auto"/>
              </w:rPr>
            </w:pPr>
            <w:r>
              <w:rPr>
                <w:rFonts w:ascii="Arial" w:cs="Arial" w:eastAsia="Arial" w:hAnsi="Arial"/>
                <w:sz w:val="18"/>
                <w:szCs w:val="18"/>
                <w:color w:val="auto"/>
              </w:rPr>
              <w:t>BCcomponents Hong Kong Ltd.</w:t>
            </w:r>
          </w:p>
        </w:tc>
        <w:tc>
          <w:tcPr>
            <w:tcW w:w="3420" w:type="dxa"/>
            <w:vAlign w:val="bottom"/>
          </w:tcPr>
          <w:p>
            <w:pPr>
              <w:ind w:left="1400"/>
              <w:spacing w:after="0"/>
              <w:rPr>
                <w:sz w:val="20"/>
                <w:szCs w:val="20"/>
                <w:color w:val="auto"/>
              </w:rPr>
            </w:pPr>
            <w:r>
              <w:rPr>
                <w:rFonts w:ascii="Arial" w:cs="Arial" w:eastAsia="Arial" w:hAnsi="Arial"/>
                <w:sz w:val="18"/>
                <w:szCs w:val="18"/>
                <w:color w:val="auto"/>
              </w:rPr>
              <w:t>Hong Kong</w:t>
            </w:r>
          </w:p>
        </w:tc>
        <w:tc>
          <w:tcPr>
            <w:tcW w:w="1040" w:type="dxa"/>
            <w:vAlign w:val="bottom"/>
          </w:tcPr>
          <w:p>
            <w:pPr>
              <w:spacing w:after="0"/>
              <w:rPr>
                <w:sz w:val="18"/>
                <w:szCs w:val="18"/>
                <w:color w:val="auto"/>
              </w:rPr>
            </w:pPr>
          </w:p>
        </w:tc>
      </w:tr>
      <w:tr>
        <w:trPr>
          <w:trHeight w:val="216"/>
        </w:trPr>
        <w:tc>
          <w:tcPr>
            <w:tcW w:w="6040" w:type="dxa"/>
            <w:vAlign w:val="bottom"/>
          </w:tcPr>
          <w:p>
            <w:pPr>
              <w:ind w:left="1300"/>
              <w:spacing w:after="0"/>
              <w:rPr>
                <w:sz w:val="20"/>
                <w:szCs w:val="20"/>
                <w:color w:val="auto"/>
              </w:rPr>
            </w:pPr>
            <w:r>
              <w:rPr>
                <w:rFonts w:ascii="Arial" w:cs="Arial" w:eastAsia="Arial" w:hAnsi="Arial"/>
                <w:sz w:val="18"/>
                <w:szCs w:val="18"/>
                <w:color w:val="auto"/>
              </w:rPr>
              <w:t>BCcomponents China Ltd</w:t>
            </w:r>
          </w:p>
        </w:tc>
        <w:tc>
          <w:tcPr>
            <w:tcW w:w="3420" w:type="dxa"/>
            <w:vAlign w:val="bottom"/>
          </w:tcPr>
          <w:p>
            <w:pPr>
              <w:ind w:left="1400"/>
              <w:spacing w:after="0"/>
              <w:rPr>
                <w:sz w:val="20"/>
                <w:szCs w:val="20"/>
                <w:color w:val="auto"/>
              </w:rPr>
            </w:pPr>
            <w:r>
              <w:rPr>
                <w:rFonts w:ascii="Arial" w:cs="Arial" w:eastAsia="Arial" w:hAnsi="Arial"/>
                <w:sz w:val="18"/>
                <w:szCs w:val="18"/>
                <w:color w:val="auto"/>
              </w:rPr>
              <w:t>Hong Kong</w:t>
            </w:r>
          </w:p>
        </w:tc>
        <w:tc>
          <w:tcPr>
            <w:tcW w:w="1040" w:type="dxa"/>
            <w:vAlign w:val="bottom"/>
          </w:tcPr>
          <w:p>
            <w:pPr>
              <w:spacing w:after="0"/>
              <w:rPr>
                <w:sz w:val="18"/>
                <w:szCs w:val="18"/>
                <w:color w:val="auto"/>
              </w:rPr>
            </w:pPr>
          </w:p>
        </w:tc>
      </w:tr>
      <w:tr>
        <w:trPr>
          <w:trHeight w:val="216"/>
        </w:trPr>
        <w:tc>
          <w:tcPr>
            <w:tcW w:w="6040" w:type="dxa"/>
            <w:vAlign w:val="bottom"/>
          </w:tcPr>
          <w:p>
            <w:pPr>
              <w:ind w:left="1300"/>
              <w:spacing w:after="0"/>
              <w:rPr>
                <w:sz w:val="20"/>
                <w:szCs w:val="20"/>
                <w:color w:val="auto"/>
              </w:rPr>
            </w:pPr>
            <w:r>
              <w:rPr>
                <w:rFonts w:ascii="Arial" w:cs="Arial" w:eastAsia="Arial" w:hAnsi="Arial"/>
                <w:sz w:val="18"/>
                <w:szCs w:val="18"/>
                <w:color w:val="auto"/>
              </w:rPr>
              <w:t>BCcomponents Singapore Pte Ltd.</w:t>
            </w:r>
          </w:p>
        </w:tc>
        <w:tc>
          <w:tcPr>
            <w:tcW w:w="3420" w:type="dxa"/>
            <w:vAlign w:val="bottom"/>
          </w:tcPr>
          <w:p>
            <w:pPr>
              <w:ind w:left="1400"/>
              <w:spacing w:after="0"/>
              <w:rPr>
                <w:sz w:val="20"/>
                <w:szCs w:val="20"/>
                <w:color w:val="auto"/>
              </w:rPr>
            </w:pPr>
            <w:r>
              <w:rPr>
                <w:rFonts w:ascii="Arial" w:cs="Arial" w:eastAsia="Arial" w:hAnsi="Arial"/>
                <w:sz w:val="18"/>
                <w:szCs w:val="18"/>
                <w:color w:val="auto"/>
              </w:rPr>
              <w:t>Singapore</w:t>
            </w:r>
          </w:p>
        </w:tc>
        <w:tc>
          <w:tcPr>
            <w:tcW w:w="1040" w:type="dxa"/>
            <w:vAlign w:val="bottom"/>
          </w:tcPr>
          <w:p>
            <w:pPr>
              <w:spacing w:after="0"/>
              <w:rPr>
                <w:sz w:val="18"/>
                <w:szCs w:val="18"/>
                <w:color w:val="auto"/>
              </w:rPr>
            </w:pPr>
          </w:p>
        </w:tc>
      </w:tr>
      <w:tr>
        <w:trPr>
          <w:trHeight w:val="216"/>
        </w:trPr>
        <w:tc>
          <w:tcPr>
            <w:tcW w:w="6040" w:type="dxa"/>
            <w:vAlign w:val="bottom"/>
          </w:tcPr>
          <w:p>
            <w:pPr>
              <w:ind w:left="1300"/>
              <w:spacing w:after="0"/>
              <w:rPr>
                <w:sz w:val="20"/>
                <w:szCs w:val="20"/>
                <w:color w:val="auto"/>
              </w:rPr>
            </w:pPr>
            <w:r>
              <w:rPr>
                <w:rFonts w:ascii="Arial" w:cs="Arial" w:eastAsia="Arial" w:hAnsi="Arial"/>
                <w:sz w:val="18"/>
                <w:szCs w:val="18"/>
                <w:color w:val="auto"/>
              </w:rPr>
              <w:t>Vishay Trading (Shanghai) Co. Ltd</w:t>
            </w:r>
          </w:p>
        </w:tc>
        <w:tc>
          <w:tcPr>
            <w:tcW w:w="3420" w:type="dxa"/>
            <w:vAlign w:val="bottom"/>
          </w:tcPr>
          <w:p>
            <w:pPr>
              <w:ind w:left="1400"/>
              <w:spacing w:after="0"/>
              <w:rPr>
                <w:sz w:val="20"/>
                <w:szCs w:val="20"/>
                <w:color w:val="auto"/>
              </w:rPr>
            </w:pPr>
            <w:r>
              <w:rPr>
                <w:rFonts w:ascii="Arial" w:cs="Arial" w:eastAsia="Arial" w:hAnsi="Arial"/>
                <w:sz w:val="18"/>
                <w:szCs w:val="18"/>
                <w:color w:val="auto"/>
              </w:rPr>
              <w:t>China</w:t>
            </w:r>
          </w:p>
        </w:tc>
        <w:tc>
          <w:tcPr>
            <w:tcW w:w="104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Nippon Vishay, K.K.</w:t>
            </w:r>
          </w:p>
        </w:tc>
        <w:tc>
          <w:tcPr>
            <w:tcW w:w="3420" w:type="dxa"/>
            <w:vAlign w:val="bottom"/>
          </w:tcPr>
          <w:p>
            <w:pPr>
              <w:ind w:left="1400"/>
              <w:spacing w:after="0"/>
              <w:rPr>
                <w:sz w:val="20"/>
                <w:szCs w:val="20"/>
                <w:color w:val="auto"/>
              </w:rPr>
            </w:pPr>
            <w:r>
              <w:rPr>
                <w:rFonts w:ascii="Arial" w:cs="Arial" w:eastAsia="Arial" w:hAnsi="Arial"/>
                <w:sz w:val="18"/>
                <w:szCs w:val="18"/>
                <w:color w:val="auto"/>
              </w:rPr>
              <w:t>Japan</w:t>
            </w:r>
          </w:p>
        </w:tc>
        <w:tc>
          <w:tcPr>
            <w:tcW w:w="104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Vishay Alpha Electronics K.K.</w:t>
            </w:r>
          </w:p>
        </w:tc>
        <w:tc>
          <w:tcPr>
            <w:tcW w:w="3420" w:type="dxa"/>
            <w:vAlign w:val="bottom"/>
          </w:tcPr>
          <w:p>
            <w:pPr>
              <w:ind w:left="1400"/>
              <w:spacing w:after="0"/>
              <w:rPr>
                <w:sz w:val="20"/>
                <w:szCs w:val="20"/>
                <w:color w:val="auto"/>
              </w:rPr>
            </w:pPr>
            <w:r>
              <w:rPr>
                <w:rFonts w:ascii="Arial" w:cs="Arial" w:eastAsia="Arial" w:hAnsi="Arial"/>
                <w:sz w:val="18"/>
                <w:szCs w:val="18"/>
                <w:color w:val="auto"/>
              </w:rPr>
              <w:t>Japan</w:t>
            </w:r>
          </w:p>
        </w:tc>
        <w:tc>
          <w:tcPr>
            <w:tcW w:w="1040" w:type="dxa"/>
            <w:vAlign w:val="bottom"/>
          </w:tcPr>
          <w:p>
            <w:pPr>
              <w:spacing w:after="0"/>
              <w:rPr>
                <w:sz w:val="18"/>
                <w:szCs w:val="18"/>
                <w:color w:val="auto"/>
              </w:rPr>
            </w:pPr>
          </w:p>
        </w:tc>
      </w:tr>
      <w:tr>
        <w:trPr>
          <w:trHeight w:val="216"/>
        </w:trPr>
        <w:tc>
          <w:tcPr>
            <w:tcW w:w="6040" w:type="dxa"/>
            <w:vAlign w:val="bottom"/>
          </w:tcPr>
          <w:p>
            <w:pPr>
              <w:ind w:left="440"/>
              <w:spacing w:after="0"/>
              <w:rPr>
                <w:sz w:val="20"/>
                <w:szCs w:val="20"/>
                <w:color w:val="auto"/>
              </w:rPr>
            </w:pPr>
            <w:r>
              <w:rPr>
                <w:rFonts w:ascii="Arial" w:cs="Arial" w:eastAsia="Arial" w:hAnsi="Arial"/>
                <w:sz w:val="18"/>
                <w:szCs w:val="18"/>
                <w:color w:val="auto"/>
              </w:rPr>
              <w:t>Alpha Electronics Corporation of America</w:t>
            </w:r>
          </w:p>
        </w:tc>
        <w:tc>
          <w:tcPr>
            <w:tcW w:w="3420" w:type="dxa"/>
            <w:vAlign w:val="bottom"/>
          </w:tcPr>
          <w:p>
            <w:pPr>
              <w:ind w:left="1400"/>
              <w:spacing w:after="0"/>
              <w:rPr>
                <w:sz w:val="20"/>
                <w:szCs w:val="20"/>
                <w:color w:val="auto"/>
              </w:rPr>
            </w:pPr>
            <w:r>
              <w:rPr>
                <w:rFonts w:ascii="Arial" w:cs="Arial" w:eastAsia="Arial" w:hAnsi="Arial"/>
                <w:sz w:val="18"/>
                <w:szCs w:val="18"/>
                <w:color w:val="auto"/>
              </w:rPr>
              <w:t>Minnesota</w:t>
            </w:r>
          </w:p>
        </w:tc>
        <w:tc>
          <w:tcPr>
            <w:tcW w:w="104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Vishay F.S.C., Inc.</w:t>
            </w:r>
          </w:p>
        </w:tc>
        <w:tc>
          <w:tcPr>
            <w:tcW w:w="3420" w:type="dxa"/>
            <w:vAlign w:val="bottom"/>
          </w:tcPr>
          <w:p>
            <w:pPr>
              <w:ind w:left="1400"/>
              <w:spacing w:after="0"/>
              <w:rPr>
                <w:sz w:val="20"/>
                <w:szCs w:val="20"/>
                <w:color w:val="auto"/>
              </w:rPr>
            </w:pPr>
            <w:r>
              <w:rPr>
                <w:rFonts w:ascii="Arial" w:cs="Arial" w:eastAsia="Arial" w:hAnsi="Arial"/>
                <w:sz w:val="18"/>
                <w:szCs w:val="18"/>
                <w:color w:val="auto"/>
              </w:rPr>
              <w:t>Barbados</w:t>
            </w:r>
          </w:p>
        </w:tc>
        <w:tc>
          <w:tcPr>
            <w:tcW w:w="1040" w:type="dxa"/>
            <w:vAlign w:val="bottom"/>
          </w:tcPr>
          <w:p>
            <w:pPr>
              <w:spacing w:after="0"/>
              <w:rPr>
                <w:sz w:val="18"/>
                <w:szCs w:val="18"/>
                <w:color w:val="auto"/>
              </w:rPr>
            </w:pPr>
          </w:p>
        </w:tc>
      </w:tr>
      <w:tr>
        <w:trPr>
          <w:trHeight w:val="216"/>
        </w:trPr>
        <w:tc>
          <w:tcPr>
            <w:tcW w:w="6040" w:type="dxa"/>
            <w:vAlign w:val="bottom"/>
          </w:tcPr>
          <w:p>
            <w:pPr>
              <w:spacing w:after="0"/>
              <w:rPr>
                <w:sz w:val="20"/>
                <w:szCs w:val="20"/>
                <w:color w:val="auto"/>
              </w:rPr>
            </w:pPr>
            <w:r>
              <w:rPr>
                <w:rFonts w:ascii="Arial" w:cs="Arial" w:eastAsia="Arial" w:hAnsi="Arial"/>
                <w:sz w:val="18"/>
                <w:szCs w:val="18"/>
                <w:color w:val="auto"/>
              </w:rPr>
              <w:t>Vishay VSH Holdings, Inc.</w:t>
            </w:r>
          </w:p>
        </w:tc>
        <w:tc>
          <w:tcPr>
            <w:tcW w:w="3420" w:type="dxa"/>
            <w:vAlign w:val="bottom"/>
          </w:tcPr>
          <w:p>
            <w:pPr>
              <w:ind w:left="1400"/>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8"/>
                <w:szCs w:val="18"/>
                <w:color w:val="auto"/>
              </w:rPr>
            </w:pPr>
          </w:p>
        </w:tc>
      </w:tr>
      <w:tr>
        <w:trPr>
          <w:trHeight w:val="222"/>
        </w:trPr>
        <w:tc>
          <w:tcPr>
            <w:tcW w:w="6040" w:type="dxa"/>
            <w:vAlign w:val="bottom"/>
          </w:tcPr>
          <w:p>
            <w:pPr>
              <w:spacing w:after="0"/>
              <w:rPr>
                <w:sz w:val="20"/>
                <w:szCs w:val="20"/>
                <w:color w:val="auto"/>
              </w:rPr>
            </w:pPr>
            <w:r>
              <w:rPr>
                <w:rFonts w:ascii="Arial" w:cs="Arial" w:eastAsia="Arial" w:hAnsi="Arial"/>
                <w:sz w:val="18"/>
                <w:szCs w:val="18"/>
                <w:color w:val="auto"/>
              </w:rPr>
              <w:t>Vishay Roederstein Electronics, Inc.</w:t>
            </w:r>
          </w:p>
        </w:tc>
        <w:tc>
          <w:tcPr>
            <w:tcW w:w="3420" w:type="dxa"/>
            <w:vAlign w:val="bottom"/>
          </w:tcPr>
          <w:p>
            <w:pPr>
              <w:ind w:left="1400"/>
              <w:spacing w:after="0"/>
              <w:rPr>
                <w:sz w:val="20"/>
                <w:szCs w:val="20"/>
                <w:color w:val="auto"/>
              </w:rPr>
            </w:pPr>
            <w:r>
              <w:rPr>
                <w:rFonts w:ascii="Arial" w:cs="Arial" w:eastAsia="Arial" w:hAnsi="Arial"/>
                <w:sz w:val="18"/>
                <w:szCs w:val="18"/>
                <w:color w:val="auto"/>
              </w:rPr>
              <w:t>Delaware</w:t>
            </w:r>
          </w:p>
        </w:tc>
        <w:tc>
          <w:tcPr>
            <w:tcW w:w="1040" w:type="dxa"/>
            <w:vAlign w:val="bottom"/>
          </w:tcPr>
          <w:p>
            <w:pPr>
              <w:spacing w:after="0"/>
              <w:rPr>
                <w:sz w:val="19"/>
                <w:szCs w:val="19"/>
                <w:color w:val="auto"/>
              </w:rPr>
            </w:pPr>
          </w:p>
        </w:tc>
      </w:tr>
    </w:tbl>
    <w:p>
      <w:pPr>
        <w:sectPr>
          <w:pgSz w:w="11900" w:h="16838" w:orient="portrait"/>
          <w:cols w:equalWidth="0" w:num="1">
            <w:col w:w="10500"/>
          </w:cols>
          <w:pgMar w:left="240" w:top="584" w:right="1159" w:bottom="1440" w:gutter="0" w:footer="0" w:header="0"/>
        </w:sectPr>
      </w:pPr>
    </w:p>
    <w:bookmarkStart w:id="119" w:name="page120"/>
    <w:bookmarkEnd w:id="1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060" w:type="dxa"/>
            <w:vAlign w:val="bottom"/>
          </w:tcPr>
          <w:p>
            <w:pPr>
              <w:spacing w:after="0"/>
              <w:rPr>
                <w:sz w:val="20"/>
                <w:szCs w:val="20"/>
                <w:color w:val="auto"/>
              </w:rPr>
            </w:pPr>
            <w:r>
              <w:rPr>
                <w:rFonts w:ascii="Arial" w:cs="Arial" w:eastAsia="Arial" w:hAnsi="Arial"/>
                <w:sz w:val="18"/>
                <w:szCs w:val="18"/>
                <w:b w:val="1"/>
                <w:bCs w:val="1"/>
                <w:color w:val="auto"/>
              </w:rPr>
              <w:t>Subsidiaries of the Registrant (continued)</w:t>
            </w:r>
          </w:p>
        </w:tc>
        <w:tc>
          <w:tcPr>
            <w:tcW w:w="356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426"/>
        </w:trPr>
        <w:tc>
          <w:tcPr>
            <w:tcW w:w="6060" w:type="dxa"/>
            <w:vAlign w:val="bottom"/>
          </w:tcPr>
          <w:p>
            <w:pPr>
              <w:spacing w:after="0"/>
              <w:rPr>
                <w:sz w:val="20"/>
                <w:szCs w:val="20"/>
                <w:color w:val="auto"/>
              </w:rPr>
            </w:pPr>
            <w:r>
              <w:rPr>
                <w:rFonts w:ascii="Arial" w:cs="Arial" w:eastAsia="Arial" w:hAnsi="Arial"/>
                <w:sz w:val="18"/>
                <w:szCs w:val="18"/>
                <w:color w:val="auto"/>
              </w:rPr>
              <w:t>Vishay Measurements Group, Inc.</w:t>
            </w:r>
          </w:p>
        </w:tc>
        <w:tc>
          <w:tcPr>
            <w:tcW w:w="3560" w:type="dxa"/>
            <w:vAlign w:val="bottom"/>
          </w:tcPr>
          <w:p>
            <w:pPr>
              <w:ind w:left="138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24"/>
                <w:szCs w:val="24"/>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Vishay Transducers Ltd.</w:t>
            </w:r>
          </w:p>
        </w:tc>
        <w:tc>
          <w:tcPr>
            <w:tcW w:w="3560" w:type="dxa"/>
            <w:vAlign w:val="bottom"/>
          </w:tcPr>
          <w:p>
            <w:pPr>
              <w:ind w:left="138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Sensortronica de Costa Rica, S.A.</w:t>
            </w:r>
          </w:p>
        </w:tc>
        <w:tc>
          <w:tcPr>
            <w:tcW w:w="3560" w:type="dxa"/>
            <w:vAlign w:val="bottom"/>
          </w:tcPr>
          <w:p>
            <w:pPr>
              <w:ind w:left="1380"/>
              <w:spacing w:after="0"/>
              <w:rPr>
                <w:sz w:val="20"/>
                <w:szCs w:val="20"/>
                <w:color w:val="auto"/>
              </w:rPr>
            </w:pPr>
            <w:r>
              <w:rPr>
                <w:rFonts w:ascii="Arial" w:cs="Arial" w:eastAsia="Arial" w:hAnsi="Arial"/>
                <w:sz w:val="18"/>
                <w:szCs w:val="18"/>
                <w:color w:val="auto"/>
              </w:rPr>
              <w:t>Costa Rica</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Vishay BLH Inc.</w:t>
            </w:r>
          </w:p>
        </w:tc>
        <w:tc>
          <w:tcPr>
            <w:tcW w:w="3560" w:type="dxa"/>
            <w:vAlign w:val="bottom"/>
          </w:tcPr>
          <w:p>
            <w:pPr>
              <w:ind w:left="1380"/>
              <w:spacing w:after="0"/>
              <w:rPr>
                <w:sz w:val="20"/>
                <w:szCs w:val="20"/>
                <w:color w:val="auto"/>
              </w:rPr>
            </w:pPr>
            <w:r>
              <w:rPr>
                <w:rFonts w:ascii="Arial" w:cs="Arial" w:eastAsia="Arial" w:hAnsi="Arial"/>
                <w:sz w:val="18"/>
                <w:szCs w:val="18"/>
                <w:color w:val="auto"/>
              </w:rPr>
              <w:t>Delaware</w:t>
            </w:r>
          </w:p>
        </w:tc>
        <w:tc>
          <w:tcPr>
            <w:tcW w:w="880" w:type="dxa"/>
            <w:vAlign w:val="bottom"/>
          </w:tcPr>
          <w:p>
            <w:pPr>
              <w:spacing w:after="0"/>
              <w:rPr>
                <w:sz w:val="18"/>
                <w:szCs w:val="18"/>
                <w:color w:val="auto"/>
              </w:rPr>
            </w:pPr>
          </w:p>
        </w:tc>
      </w:tr>
      <w:tr>
        <w:trPr>
          <w:trHeight w:val="216"/>
        </w:trPr>
        <w:tc>
          <w:tcPr>
            <w:tcW w:w="6060" w:type="dxa"/>
            <w:vAlign w:val="bottom"/>
          </w:tcPr>
          <w:p>
            <w:pPr>
              <w:ind w:left="1300"/>
              <w:spacing w:after="0"/>
              <w:rPr>
                <w:sz w:val="20"/>
                <w:szCs w:val="20"/>
                <w:color w:val="auto"/>
              </w:rPr>
            </w:pPr>
            <w:r>
              <w:rPr>
                <w:rFonts w:ascii="Arial" w:cs="Arial" w:eastAsia="Arial" w:hAnsi="Arial"/>
                <w:sz w:val="18"/>
                <w:szCs w:val="18"/>
                <w:color w:val="auto"/>
              </w:rPr>
              <w:t>Pharos de Costa Rica S.A.</w:t>
            </w:r>
          </w:p>
        </w:tc>
        <w:tc>
          <w:tcPr>
            <w:tcW w:w="3560" w:type="dxa"/>
            <w:vAlign w:val="bottom"/>
          </w:tcPr>
          <w:p>
            <w:pPr>
              <w:ind w:left="1380"/>
              <w:spacing w:after="0"/>
              <w:rPr>
                <w:sz w:val="20"/>
                <w:szCs w:val="20"/>
                <w:color w:val="auto"/>
              </w:rPr>
            </w:pPr>
            <w:r>
              <w:rPr>
                <w:rFonts w:ascii="Arial" w:cs="Arial" w:eastAsia="Arial" w:hAnsi="Arial"/>
                <w:sz w:val="18"/>
                <w:szCs w:val="18"/>
                <w:color w:val="auto"/>
              </w:rPr>
              <w:t>Costa Rica</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Sensortronics Sanmar Ltd.</w:t>
            </w:r>
          </w:p>
        </w:tc>
        <w:tc>
          <w:tcPr>
            <w:tcW w:w="3560" w:type="dxa"/>
            <w:vAlign w:val="bottom"/>
          </w:tcPr>
          <w:p>
            <w:pPr>
              <w:ind w:left="1380"/>
              <w:spacing w:after="0"/>
              <w:rPr>
                <w:sz w:val="20"/>
                <w:szCs w:val="20"/>
                <w:color w:val="auto"/>
              </w:rPr>
            </w:pPr>
            <w:r>
              <w:rPr>
                <w:rFonts w:ascii="Arial" w:cs="Arial" w:eastAsia="Arial" w:hAnsi="Arial"/>
                <w:sz w:val="18"/>
                <w:szCs w:val="18"/>
                <w:color w:val="auto"/>
              </w:rPr>
              <w:t>India</w:t>
            </w:r>
          </w:p>
        </w:tc>
        <w:tc>
          <w:tcPr>
            <w:tcW w:w="880" w:type="dxa"/>
            <w:vAlign w:val="bottom"/>
          </w:tcPr>
          <w:p>
            <w:pPr>
              <w:ind w:left="660"/>
              <w:spacing w:after="0"/>
              <w:rPr>
                <w:sz w:val="20"/>
                <w:szCs w:val="20"/>
                <w:color w:val="auto"/>
              </w:rPr>
            </w:pPr>
            <w:r>
              <w:rPr>
                <w:rFonts w:ascii="Arial" w:cs="Arial" w:eastAsia="Arial" w:hAnsi="Arial"/>
                <w:sz w:val="18"/>
                <w:szCs w:val="18"/>
                <w:color w:val="auto"/>
                <w:w w:val="90"/>
              </w:rPr>
              <w:t>(d)</w:t>
            </w: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Vishay Celtron Technologies, Inc.</w:t>
            </w:r>
          </w:p>
        </w:tc>
        <w:tc>
          <w:tcPr>
            <w:tcW w:w="3560" w:type="dxa"/>
            <w:vAlign w:val="bottom"/>
          </w:tcPr>
          <w:p>
            <w:pPr>
              <w:ind w:left="1380"/>
              <w:spacing w:after="0"/>
              <w:rPr>
                <w:sz w:val="20"/>
                <w:szCs w:val="20"/>
                <w:color w:val="auto"/>
              </w:rPr>
            </w:pPr>
            <w:r>
              <w:rPr>
                <w:rFonts w:ascii="Arial" w:cs="Arial" w:eastAsia="Arial" w:hAnsi="Arial"/>
                <w:sz w:val="18"/>
                <w:szCs w:val="18"/>
                <w:color w:val="auto"/>
              </w:rPr>
              <w:t>Taiwan</w:t>
            </w:r>
          </w:p>
        </w:tc>
        <w:tc>
          <w:tcPr>
            <w:tcW w:w="880" w:type="dxa"/>
            <w:vAlign w:val="bottom"/>
          </w:tcPr>
          <w:p>
            <w:pPr>
              <w:spacing w:after="0"/>
              <w:rPr>
                <w:sz w:val="18"/>
                <w:szCs w:val="18"/>
                <w:color w:val="auto"/>
              </w:rPr>
            </w:pPr>
          </w:p>
        </w:tc>
      </w:tr>
      <w:tr>
        <w:trPr>
          <w:trHeight w:val="216"/>
        </w:trPr>
        <w:tc>
          <w:tcPr>
            <w:tcW w:w="6060" w:type="dxa"/>
            <w:vAlign w:val="bottom"/>
          </w:tcPr>
          <w:p>
            <w:pPr>
              <w:ind w:left="1300"/>
              <w:spacing w:after="0"/>
              <w:rPr>
                <w:sz w:val="20"/>
                <w:szCs w:val="20"/>
                <w:color w:val="auto"/>
              </w:rPr>
            </w:pPr>
            <w:r>
              <w:rPr>
                <w:rFonts w:ascii="Arial" w:cs="Arial" w:eastAsia="Arial" w:hAnsi="Arial"/>
                <w:sz w:val="18"/>
                <w:szCs w:val="18"/>
                <w:color w:val="auto"/>
              </w:rPr>
              <w:t>High Goals Investments Limited</w:t>
            </w:r>
          </w:p>
        </w:tc>
        <w:tc>
          <w:tcPr>
            <w:tcW w:w="3560" w:type="dxa"/>
            <w:vAlign w:val="bottom"/>
          </w:tcPr>
          <w:p>
            <w:pPr>
              <w:ind w:left="1380"/>
              <w:spacing w:after="0"/>
              <w:rPr>
                <w:sz w:val="20"/>
                <w:szCs w:val="20"/>
                <w:color w:val="auto"/>
              </w:rPr>
            </w:pPr>
            <w:r>
              <w:rPr>
                <w:rFonts w:ascii="Arial" w:cs="Arial" w:eastAsia="Arial" w:hAnsi="Arial"/>
                <w:sz w:val="18"/>
                <w:szCs w:val="18"/>
                <w:color w:val="auto"/>
              </w:rPr>
              <w:t>British Virgin Islands</w:t>
            </w:r>
          </w:p>
        </w:tc>
        <w:tc>
          <w:tcPr>
            <w:tcW w:w="880" w:type="dxa"/>
            <w:vAlign w:val="bottom"/>
          </w:tcPr>
          <w:p>
            <w:pPr>
              <w:spacing w:after="0"/>
              <w:rPr>
                <w:sz w:val="18"/>
                <w:szCs w:val="18"/>
                <w:color w:val="auto"/>
              </w:rPr>
            </w:pPr>
          </w:p>
        </w:tc>
      </w:tr>
      <w:tr>
        <w:trPr>
          <w:trHeight w:val="216"/>
        </w:trPr>
        <w:tc>
          <w:tcPr>
            <w:tcW w:w="6060" w:type="dxa"/>
            <w:vAlign w:val="bottom"/>
          </w:tcPr>
          <w:p>
            <w:pPr>
              <w:ind w:left="1740"/>
              <w:spacing w:after="0"/>
              <w:rPr>
                <w:sz w:val="20"/>
                <w:szCs w:val="20"/>
                <w:color w:val="auto"/>
              </w:rPr>
            </w:pPr>
            <w:r>
              <w:rPr>
                <w:rFonts w:ascii="Arial" w:cs="Arial" w:eastAsia="Arial" w:hAnsi="Arial"/>
                <w:sz w:val="18"/>
                <w:szCs w:val="18"/>
                <w:color w:val="auto"/>
              </w:rPr>
              <w:t>Billion Way Industrial Limited</w:t>
            </w:r>
          </w:p>
        </w:tc>
        <w:tc>
          <w:tcPr>
            <w:tcW w:w="3560" w:type="dxa"/>
            <w:vAlign w:val="bottom"/>
          </w:tcPr>
          <w:p>
            <w:pPr>
              <w:ind w:left="1380"/>
              <w:spacing w:after="0"/>
              <w:rPr>
                <w:sz w:val="20"/>
                <w:szCs w:val="20"/>
                <w:color w:val="auto"/>
              </w:rPr>
            </w:pPr>
            <w:r>
              <w:rPr>
                <w:rFonts w:ascii="Arial" w:cs="Arial" w:eastAsia="Arial" w:hAnsi="Arial"/>
                <w:sz w:val="18"/>
                <w:szCs w:val="18"/>
                <w:color w:val="auto"/>
              </w:rPr>
              <w:t>Samoa</w:t>
            </w:r>
          </w:p>
        </w:tc>
        <w:tc>
          <w:tcPr>
            <w:tcW w:w="880" w:type="dxa"/>
            <w:vAlign w:val="bottom"/>
          </w:tcPr>
          <w:p>
            <w:pPr>
              <w:spacing w:after="0"/>
              <w:rPr>
                <w:sz w:val="18"/>
                <w:szCs w:val="18"/>
                <w:color w:val="auto"/>
              </w:rPr>
            </w:pPr>
          </w:p>
        </w:tc>
      </w:tr>
      <w:tr>
        <w:trPr>
          <w:trHeight w:val="216"/>
        </w:trPr>
        <w:tc>
          <w:tcPr>
            <w:tcW w:w="6060" w:type="dxa"/>
            <w:vAlign w:val="bottom"/>
          </w:tcPr>
          <w:p>
            <w:pPr>
              <w:ind w:left="1740"/>
              <w:spacing w:after="0"/>
              <w:rPr>
                <w:sz w:val="20"/>
                <w:szCs w:val="20"/>
                <w:color w:val="auto"/>
              </w:rPr>
            </w:pPr>
            <w:r>
              <w:rPr>
                <w:rFonts w:ascii="Arial" w:cs="Arial" w:eastAsia="Arial" w:hAnsi="Arial"/>
                <w:sz w:val="18"/>
                <w:szCs w:val="18"/>
                <w:color w:val="auto"/>
              </w:rPr>
              <w:t>UCC Investment Co. Ltd.</w:t>
            </w:r>
          </w:p>
        </w:tc>
        <w:tc>
          <w:tcPr>
            <w:tcW w:w="3560" w:type="dxa"/>
            <w:vAlign w:val="bottom"/>
          </w:tcPr>
          <w:p>
            <w:pPr>
              <w:ind w:left="1380"/>
              <w:spacing w:after="0"/>
              <w:rPr>
                <w:sz w:val="20"/>
                <w:szCs w:val="20"/>
                <w:color w:val="auto"/>
              </w:rPr>
            </w:pPr>
            <w:r>
              <w:rPr>
                <w:rFonts w:ascii="Arial" w:cs="Arial" w:eastAsia="Arial" w:hAnsi="Arial"/>
                <w:sz w:val="18"/>
                <w:szCs w:val="18"/>
                <w:color w:val="auto"/>
              </w:rPr>
              <w:t>Samoa</w:t>
            </w:r>
          </w:p>
        </w:tc>
        <w:tc>
          <w:tcPr>
            <w:tcW w:w="880" w:type="dxa"/>
            <w:vAlign w:val="bottom"/>
          </w:tcPr>
          <w:p>
            <w:pPr>
              <w:spacing w:after="0"/>
              <w:rPr>
                <w:sz w:val="18"/>
                <w:szCs w:val="18"/>
                <w:color w:val="auto"/>
              </w:rPr>
            </w:pPr>
          </w:p>
        </w:tc>
      </w:tr>
      <w:tr>
        <w:trPr>
          <w:trHeight w:val="216"/>
        </w:trPr>
        <w:tc>
          <w:tcPr>
            <w:tcW w:w="6060" w:type="dxa"/>
            <w:vAlign w:val="bottom"/>
          </w:tcPr>
          <w:p>
            <w:pPr>
              <w:ind w:left="1300"/>
              <w:spacing w:after="0"/>
              <w:rPr>
                <w:sz w:val="20"/>
                <w:szCs w:val="20"/>
                <w:color w:val="auto"/>
              </w:rPr>
            </w:pPr>
            <w:r>
              <w:rPr>
                <w:rFonts w:ascii="Arial" w:cs="Arial" w:eastAsia="Arial" w:hAnsi="Arial"/>
                <w:sz w:val="18"/>
                <w:szCs w:val="18"/>
                <w:color w:val="auto"/>
              </w:rPr>
              <w:t>Vishay Celtron (Tianjin) Technologies Co., Ltd.</w:t>
            </w:r>
          </w:p>
        </w:tc>
        <w:tc>
          <w:tcPr>
            <w:tcW w:w="3560" w:type="dxa"/>
            <w:vAlign w:val="bottom"/>
          </w:tcPr>
          <w:p>
            <w:pPr>
              <w:ind w:left="1380"/>
              <w:spacing w:after="0"/>
              <w:rPr>
                <w:sz w:val="20"/>
                <w:szCs w:val="20"/>
                <w:color w:val="auto"/>
              </w:rPr>
            </w:pPr>
            <w:r>
              <w:rPr>
                <w:rFonts w:ascii="Arial" w:cs="Arial" w:eastAsia="Arial" w:hAnsi="Arial"/>
                <w:sz w:val="18"/>
                <w:szCs w:val="18"/>
                <w:color w:val="auto"/>
              </w:rPr>
              <w:t>China</w:t>
            </w:r>
          </w:p>
        </w:tc>
        <w:tc>
          <w:tcPr>
            <w:tcW w:w="880" w:type="dxa"/>
            <w:vAlign w:val="bottom"/>
          </w:tcPr>
          <w:p>
            <w:pPr>
              <w:ind w:left="660"/>
              <w:spacing w:after="0"/>
              <w:rPr>
                <w:sz w:val="20"/>
                <w:szCs w:val="20"/>
                <w:color w:val="auto"/>
              </w:rPr>
            </w:pPr>
            <w:r>
              <w:rPr>
                <w:rFonts w:ascii="Arial" w:cs="Arial" w:eastAsia="Arial" w:hAnsi="Arial"/>
                <w:sz w:val="18"/>
                <w:szCs w:val="18"/>
                <w:color w:val="auto"/>
                <w:w w:val="90"/>
              </w:rPr>
              <w:t>(e)</w:t>
            </w:r>
          </w:p>
        </w:tc>
      </w:tr>
      <w:tr>
        <w:trPr>
          <w:trHeight w:val="216"/>
        </w:trPr>
        <w:tc>
          <w:tcPr>
            <w:tcW w:w="6060" w:type="dxa"/>
            <w:vAlign w:val="bottom"/>
          </w:tcPr>
          <w:p>
            <w:pPr>
              <w:spacing w:after="0"/>
              <w:rPr>
                <w:sz w:val="20"/>
                <w:szCs w:val="20"/>
                <w:color w:val="auto"/>
              </w:rPr>
            </w:pPr>
            <w:r>
              <w:rPr>
                <w:rFonts w:ascii="Arial" w:cs="Arial" w:eastAsia="Arial" w:hAnsi="Arial"/>
                <w:sz w:val="18"/>
                <w:szCs w:val="18"/>
                <w:color w:val="auto"/>
              </w:rPr>
              <w:t>Vishay Israel Limited</w:t>
            </w:r>
          </w:p>
        </w:tc>
        <w:tc>
          <w:tcPr>
            <w:tcW w:w="3560" w:type="dxa"/>
            <w:vAlign w:val="bottom"/>
          </w:tcPr>
          <w:p>
            <w:pPr>
              <w:ind w:left="138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Z.T.R. Electronics Ltd.</w:t>
            </w:r>
          </w:p>
        </w:tc>
        <w:tc>
          <w:tcPr>
            <w:tcW w:w="3560" w:type="dxa"/>
            <w:vAlign w:val="bottom"/>
          </w:tcPr>
          <w:p>
            <w:pPr>
              <w:ind w:left="138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Ecomal Israel Ltd.</w:t>
            </w:r>
          </w:p>
        </w:tc>
        <w:tc>
          <w:tcPr>
            <w:tcW w:w="3560" w:type="dxa"/>
            <w:vAlign w:val="bottom"/>
          </w:tcPr>
          <w:p>
            <w:pPr>
              <w:ind w:left="138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Dale Israel Electronics Industries, Ltd.</w:t>
            </w:r>
          </w:p>
        </w:tc>
        <w:tc>
          <w:tcPr>
            <w:tcW w:w="3560" w:type="dxa"/>
            <w:vAlign w:val="bottom"/>
          </w:tcPr>
          <w:p>
            <w:pPr>
              <w:ind w:left="138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Vishay Components (Huizhou) Co. Ltd.</w:t>
            </w:r>
          </w:p>
        </w:tc>
        <w:tc>
          <w:tcPr>
            <w:tcW w:w="3560" w:type="dxa"/>
            <w:vAlign w:val="bottom"/>
          </w:tcPr>
          <w:p>
            <w:pPr>
              <w:ind w:left="1380"/>
              <w:spacing w:after="0"/>
              <w:rPr>
                <w:sz w:val="20"/>
                <w:szCs w:val="20"/>
                <w:color w:val="auto"/>
              </w:rPr>
            </w:pPr>
            <w:r>
              <w:rPr>
                <w:rFonts w:ascii="Arial" w:cs="Arial" w:eastAsia="Arial" w:hAnsi="Arial"/>
                <w:sz w:val="18"/>
                <w:szCs w:val="18"/>
                <w:color w:val="auto"/>
              </w:rPr>
              <w:t>China</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Draloric Israel Ltd.</w:t>
            </w:r>
          </w:p>
        </w:tc>
        <w:tc>
          <w:tcPr>
            <w:tcW w:w="3560" w:type="dxa"/>
            <w:vAlign w:val="bottom"/>
          </w:tcPr>
          <w:p>
            <w:pPr>
              <w:ind w:left="138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V.I.E.C. Ltd.</w:t>
            </w:r>
          </w:p>
        </w:tc>
        <w:tc>
          <w:tcPr>
            <w:tcW w:w="3560" w:type="dxa"/>
            <w:vAlign w:val="bottom"/>
          </w:tcPr>
          <w:p>
            <w:pPr>
              <w:ind w:left="138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Vishay Advanced Technology, Ltd.</w:t>
            </w:r>
          </w:p>
        </w:tc>
        <w:tc>
          <w:tcPr>
            <w:tcW w:w="3560" w:type="dxa"/>
            <w:vAlign w:val="bottom"/>
          </w:tcPr>
          <w:p>
            <w:pPr>
              <w:ind w:left="1380"/>
              <w:spacing w:after="0"/>
              <w:rPr>
                <w:sz w:val="20"/>
                <w:szCs w:val="20"/>
                <w:color w:val="auto"/>
              </w:rPr>
            </w:pPr>
            <w:r>
              <w:rPr>
                <w:rFonts w:ascii="Arial" w:cs="Arial" w:eastAsia="Arial" w:hAnsi="Arial"/>
                <w:sz w:val="18"/>
                <w:szCs w:val="18"/>
                <w:color w:val="auto"/>
              </w:rPr>
              <w:t>Israel</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Vilna Equities Holding, B.V.</w:t>
            </w:r>
          </w:p>
        </w:tc>
        <w:tc>
          <w:tcPr>
            <w:tcW w:w="3560" w:type="dxa"/>
            <w:vAlign w:val="bottom"/>
          </w:tcPr>
          <w:p>
            <w:pPr>
              <w:ind w:left="1380"/>
              <w:spacing w:after="0"/>
              <w:rPr>
                <w:sz w:val="20"/>
                <w:szCs w:val="20"/>
                <w:color w:val="auto"/>
              </w:rPr>
            </w:pPr>
            <w:r>
              <w:rPr>
                <w:rFonts w:ascii="Arial" w:cs="Arial" w:eastAsia="Arial" w:hAnsi="Arial"/>
                <w:sz w:val="18"/>
                <w:szCs w:val="18"/>
                <w:color w:val="auto"/>
              </w:rPr>
              <w:t>Netherlands</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Tedea-Huntleigh Europe Ltd.</w:t>
            </w:r>
          </w:p>
        </w:tc>
        <w:tc>
          <w:tcPr>
            <w:tcW w:w="3560" w:type="dxa"/>
            <w:vAlign w:val="bottom"/>
          </w:tcPr>
          <w:p>
            <w:pPr>
              <w:ind w:left="1380"/>
              <w:spacing w:after="0"/>
              <w:rPr>
                <w:sz w:val="20"/>
                <w:szCs w:val="20"/>
                <w:color w:val="auto"/>
              </w:rPr>
            </w:pPr>
            <w:r>
              <w:rPr>
                <w:rFonts w:ascii="Arial" w:cs="Arial" w:eastAsia="Arial" w:hAnsi="Arial"/>
                <w:sz w:val="18"/>
                <w:szCs w:val="18"/>
                <w:color w:val="auto"/>
              </w:rPr>
              <w:t>England</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Measurements Group (U.K.) Ltd.</w:t>
            </w:r>
          </w:p>
        </w:tc>
        <w:tc>
          <w:tcPr>
            <w:tcW w:w="3560" w:type="dxa"/>
            <w:vAlign w:val="bottom"/>
          </w:tcPr>
          <w:p>
            <w:pPr>
              <w:ind w:left="1380"/>
              <w:spacing w:after="0"/>
              <w:rPr>
                <w:sz w:val="20"/>
                <w:szCs w:val="20"/>
                <w:color w:val="auto"/>
              </w:rPr>
            </w:pPr>
            <w:r>
              <w:rPr>
                <w:rFonts w:ascii="Arial" w:cs="Arial" w:eastAsia="Arial" w:hAnsi="Arial"/>
                <w:sz w:val="18"/>
                <w:szCs w:val="18"/>
                <w:color w:val="auto"/>
              </w:rPr>
              <w:t>England &amp; Wales</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Vishay Nobel Ltd.</w:t>
            </w:r>
          </w:p>
        </w:tc>
        <w:tc>
          <w:tcPr>
            <w:tcW w:w="3560" w:type="dxa"/>
            <w:vAlign w:val="bottom"/>
          </w:tcPr>
          <w:p>
            <w:pPr>
              <w:ind w:left="1380"/>
              <w:spacing w:after="0"/>
              <w:rPr>
                <w:sz w:val="20"/>
                <w:szCs w:val="20"/>
                <w:color w:val="auto"/>
              </w:rPr>
            </w:pPr>
            <w:r>
              <w:rPr>
                <w:rFonts w:ascii="Arial" w:cs="Arial" w:eastAsia="Arial" w:hAnsi="Arial"/>
                <w:sz w:val="18"/>
                <w:szCs w:val="18"/>
                <w:color w:val="auto"/>
              </w:rPr>
              <w:t>England</w:t>
            </w:r>
          </w:p>
        </w:tc>
        <w:tc>
          <w:tcPr>
            <w:tcW w:w="880" w:type="dxa"/>
            <w:vAlign w:val="bottom"/>
          </w:tcPr>
          <w:p>
            <w:pPr>
              <w:spacing w:after="0"/>
              <w:rPr>
                <w:sz w:val="18"/>
                <w:szCs w:val="18"/>
                <w:color w:val="auto"/>
              </w:rPr>
            </w:pPr>
          </w:p>
        </w:tc>
      </w:tr>
      <w:tr>
        <w:trPr>
          <w:trHeight w:val="216"/>
        </w:trPr>
        <w:tc>
          <w:tcPr>
            <w:tcW w:w="6060" w:type="dxa"/>
            <w:vAlign w:val="bottom"/>
          </w:tcPr>
          <w:p>
            <w:pPr>
              <w:ind w:left="440"/>
              <w:spacing w:after="0"/>
              <w:rPr>
                <w:sz w:val="20"/>
                <w:szCs w:val="20"/>
                <w:color w:val="auto"/>
              </w:rPr>
            </w:pPr>
            <w:r>
              <w:rPr>
                <w:rFonts w:ascii="Arial" w:cs="Arial" w:eastAsia="Arial" w:hAnsi="Arial"/>
                <w:sz w:val="18"/>
                <w:szCs w:val="18"/>
                <w:color w:val="auto"/>
              </w:rPr>
              <w:t>Vishay Europe GmbH</w:t>
            </w:r>
          </w:p>
        </w:tc>
        <w:tc>
          <w:tcPr>
            <w:tcW w:w="3560" w:type="dxa"/>
            <w:vAlign w:val="bottom"/>
          </w:tcPr>
          <w:p>
            <w:pPr>
              <w:ind w:left="1380"/>
              <w:spacing w:after="0"/>
              <w:rPr>
                <w:sz w:val="20"/>
                <w:szCs w:val="20"/>
                <w:color w:val="auto"/>
              </w:rPr>
            </w:pPr>
            <w:r>
              <w:rPr>
                <w:rFonts w:ascii="Arial" w:cs="Arial" w:eastAsia="Arial" w:hAnsi="Arial"/>
                <w:sz w:val="18"/>
                <w:szCs w:val="18"/>
                <w:color w:val="auto"/>
              </w:rPr>
              <w:t>Germany</w:t>
            </w:r>
          </w:p>
        </w:tc>
        <w:tc>
          <w:tcPr>
            <w:tcW w:w="880" w:type="dxa"/>
            <w:vAlign w:val="bottom"/>
          </w:tcPr>
          <w:p>
            <w:pPr>
              <w:ind w:left="660"/>
              <w:spacing w:after="0"/>
              <w:rPr>
                <w:sz w:val="20"/>
                <w:szCs w:val="20"/>
                <w:color w:val="auto"/>
              </w:rPr>
            </w:pPr>
            <w:r>
              <w:rPr>
                <w:rFonts w:ascii="Arial" w:cs="Arial" w:eastAsia="Arial" w:hAnsi="Arial"/>
                <w:sz w:val="18"/>
                <w:szCs w:val="18"/>
                <w:color w:val="auto"/>
              </w:rPr>
              <w:t>(f)</w:t>
            </w: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Vishay Europe Sales GmbH</w:t>
            </w:r>
          </w:p>
        </w:tc>
        <w:tc>
          <w:tcPr>
            <w:tcW w:w="3560" w:type="dxa"/>
            <w:vAlign w:val="bottom"/>
          </w:tcPr>
          <w:p>
            <w:pPr>
              <w:ind w:left="1380"/>
              <w:spacing w:after="0"/>
              <w:rPr>
                <w:sz w:val="20"/>
                <w:szCs w:val="20"/>
                <w:color w:val="auto"/>
              </w:rPr>
            </w:pPr>
            <w:r>
              <w:rPr>
                <w:rFonts w:ascii="Arial" w:cs="Arial" w:eastAsia="Arial" w:hAnsi="Arial"/>
                <w:sz w:val="18"/>
                <w:szCs w:val="18"/>
                <w:color w:val="auto"/>
              </w:rPr>
              <w:t>Germany</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Vishay BCcomponents Austria GmbH</w:t>
            </w:r>
          </w:p>
        </w:tc>
        <w:tc>
          <w:tcPr>
            <w:tcW w:w="3560" w:type="dxa"/>
            <w:vAlign w:val="bottom"/>
          </w:tcPr>
          <w:p>
            <w:pPr>
              <w:ind w:left="1380"/>
              <w:spacing w:after="0"/>
              <w:rPr>
                <w:sz w:val="20"/>
                <w:szCs w:val="20"/>
                <w:color w:val="auto"/>
              </w:rPr>
            </w:pPr>
            <w:r>
              <w:rPr>
                <w:rFonts w:ascii="Arial" w:cs="Arial" w:eastAsia="Arial" w:hAnsi="Arial"/>
                <w:sz w:val="18"/>
                <w:szCs w:val="18"/>
                <w:color w:val="auto"/>
              </w:rPr>
              <w:t>Austria</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Vishay BCcomponents Holding GmbH</w:t>
            </w:r>
          </w:p>
        </w:tc>
        <w:tc>
          <w:tcPr>
            <w:tcW w:w="3560" w:type="dxa"/>
            <w:vAlign w:val="bottom"/>
          </w:tcPr>
          <w:p>
            <w:pPr>
              <w:ind w:left="1380"/>
              <w:spacing w:after="0"/>
              <w:rPr>
                <w:sz w:val="20"/>
                <w:szCs w:val="20"/>
                <w:color w:val="auto"/>
              </w:rPr>
            </w:pPr>
            <w:r>
              <w:rPr>
                <w:rFonts w:ascii="Arial" w:cs="Arial" w:eastAsia="Arial" w:hAnsi="Arial"/>
                <w:sz w:val="18"/>
                <w:szCs w:val="18"/>
                <w:color w:val="auto"/>
              </w:rPr>
              <w:t>Germany</w:t>
            </w:r>
          </w:p>
        </w:tc>
        <w:tc>
          <w:tcPr>
            <w:tcW w:w="880" w:type="dxa"/>
            <w:vAlign w:val="bottom"/>
          </w:tcPr>
          <w:p>
            <w:pPr>
              <w:spacing w:after="0"/>
              <w:rPr>
                <w:sz w:val="18"/>
                <w:szCs w:val="18"/>
                <w:color w:val="auto"/>
              </w:rPr>
            </w:pPr>
          </w:p>
        </w:tc>
      </w:tr>
      <w:tr>
        <w:trPr>
          <w:trHeight w:val="216"/>
        </w:trPr>
        <w:tc>
          <w:tcPr>
            <w:tcW w:w="6060" w:type="dxa"/>
            <w:vAlign w:val="bottom"/>
          </w:tcPr>
          <w:p>
            <w:pPr>
              <w:ind w:left="1300"/>
              <w:spacing w:after="0"/>
              <w:rPr>
                <w:sz w:val="20"/>
                <w:szCs w:val="20"/>
                <w:color w:val="auto"/>
              </w:rPr>
            </w:pPr>
            <w:r>
              <w:rPr>
                <w:rFonts w:ascii="Arial" w:cs="Arial" w:eastAsia="Arial" w:hAnsi="Arial"/>
                <w:sz w:val="18"/>
                <w:szCs w:val="18"/>
                <w:color w:val="auto"/>
              </w:rPr>
              <w:t>Vishay BCcomponents Beyschlag GmbH</w:t>
            </w:r>
          </w:p>
        </w:tc>
        <w:tc>
          <w:tcPr>
            <w:tcW w:w="3560" w:type="dxa"/>
            <w:vAlign w:val="bottom"/>
          </w:tcPr>
          <w:p>
            <w:pPr>
              <w:ind w:left="1380"/>
              <w:spacing w:after="0"/>
              <w:rPr>
                <w:sz w:val="20"/>
                <w:szCs w:val="20"/>
                <w:color w:val="auto"/>
              </w:rPr>
            </w:pPr>
            <w:r>
              <w:rPr>
                <w:rFonts w:ascii="Arial" w:cs="Arial" w:eastAsia="Arial" w:hAnsi="Arial"/>
                <w:sz w:val="18"/>
                <w:szCs w:val="18"/>
                <w:color w:val="auto"/>
              </w:rPr>
              <w:t>Germany</w:t>
            </w:r>
          </w:p>
        </w:tc>
        <w:tc>
          <w:tcPr>
            <w:tcW w:w="880" w:type="dxa"/>
            <w:vAlign w:val="bottom"/>
          </w:tcPr>
          <w:p>
            <w:pPr>
              <w:spacing w:after="0"/>
              <w:rPr>
                <w:sz w:val="18"/>
                <w:szCs w:val="18"/>
                <w:color w:val="auto"/>
              </w:rPr>
            </w:pPr>
          </w:p>
        </w:tc>
      </w:tr>
      <w:tr>
        <w:trPr>
          <w:trHeight w:val="216"/>
        </w:trPr>
        <w:tc>
          <w:tcPr>
            <w:tcW w:w="6060" w:type="dxa"/>
            <w:vAlign w:val="bottom"/>
          </w:tcPr>
          <w:p>
            <w:pPr>
              <w:ind w:left="1300"/>
              <w:spacing w:after="0"/>
              <w:rPr>
                <w:sz w:val="20"/>
                <w:szCs w:val="20"/>
                <w:color w:val="auto"/>
              </w:rPr>
            </w:pPr>
            <w:r>
              <w:rPr>
                <w:rFonts w:ascii="Arial" w:cs="Arial" w:eastAsia="Arial" w:hAnsi="Arial"/>
                <w:sz w:val="18"/>
                <w:szCs w:val="18"/>
                <w:color w:val="auto"/>
              </w:rPr>
              <w:t>Vishay BCcomponents Vertriebs GmbH</w:t>
            </w:r>
          </w:p>
        </w:tc>
        <w:tc>
          <w:tcPr>
            <w:tcW w:w="3560" w:type="dxa"/>
            <w:vAlign w:val="bottom"/>
          </w:tcPr>
          <w:p>
            <w:pPr>
              <w:ind w:left="1380"/>
              <w:spacing w:after="0"/>
              <w:rPr>
                <w:sz w:val="20"/>
                <w:szCs w:val="20"/>
                <w:color w:val="auto"/>
              </w:rPr>
            </w:pPr>
            <w:r>
              <w:rPr>
                <w:rFonts w:ascii="Arial" w:cs="Arial" w:eastAsia="Arial" w:hAnsi="Arial"/>
                <w:sz w:val="18"/>
                <w:szCs w:val="18"/>
                <w:color w:val="auto"/>
              </w:rPr>
              <w:t>Germany</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Vishay Electronic GmbH</w:t>
            </w:r>
          </w:p>
        </w:tc>
        <w:tc>
          <w:tcPr>
            <w:tcW w:w="3560" w:type="dxa"/>
            <w:vAlign w:val="bottom"/>
          </w:tcPr>
          <w:p>
            <w:pPr>
              <w:ind w:left="1380"/>
              <w:spacing w:after="0"/>
              <w:rPr>
                <w:sz w:val="20"/>
                <w:szCs w:val="20"/>
                <w:color w:val="auto"/>
              </w:rPr>
            </w:pPr>
            <w:r>
              <w:rPr>
                <w:rFonts w:ascii="Arial" w:cs="Arial" w:eastAsia="Arial" w:hAnsi="Arial"/>
                <w:sz w:val="18"/>
                <w:szCs w:val="18"/>
                <w:color w:val="auto"/>
              </w:rPr>
              <w:t>Germany</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Roederstein Electronics Portugal Lda.</w:t>
            </w:r>
          </w:p>
        </w:tc>
        <w:tc>
          <w:tcPr>
            <w:tcW w:w="3560" w:type="dxa"/>
            <w:vAlign w:val="bottom"/>
          </w:tcPr>
          <w:p>
            <w:pPr>
              <w:ind w:left="1380"/>
              <w:spacing w:after="0"/>
              <w:rPr>
                <w:sz w:val="20"/>
                <w:szCs w:val="20"/>
                <w:color w:val="auto"/>
              </w:rPr>
            </w:pPr>
            <w:r>
              <w:rPr>
                <w:rFonts w:ascii="Arial" w:cs="Arial" w:eastAsia="Arial" w:hAnsi="Arial"/>
                <w:sz w:val="18"/>
                <w:szCs w:val="18"/>
                <w:color w:val="auto"/>
              </w:rPr>
              <w:t>Portugal</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ECOMAL Deutschland GmbH</w:t>
            </w:r>
          </w:p>
        </w:tc>
        <w:tc>
          <w:tcPr>
            <w:tcW w:w="3560" w:type="dxa"/>
            <w:vAlign w:val="bottom"/>
          </w:tcPr>
          <w:p>
            <w:pPr>
              <w:ind w:left="1380"/>
              <w:spacing w:after="0"/>
              <w:rPr>
                <w:sz w:val="20"/>
                <w:szCs w:val="20"/>
                <w:color w:val="auto"/>
              </w:rPr>
            </w:pPr>
            <w:r>
              <w:rPr>
                <w:rFonts w:ascii="Arial" w:cs="Arial" w:eastAsia="Arial" w:hAnsi="Arial"/>
                <w:sz w:val="18"/>
                <w:szCs w:val="18"/>
                <w:color w:val="auto"/>
              </w:rPr>
              <w:t>Germany</w:t>
            </w:r>
          </w:p>
        </w:tc>
        <w:tc>
          <w:tcPr>
            <w:tcW w:w="880" w:type="dxa"/>
            <w:vAlign w:val="bottom"/>
          </w:tcPr>
          <w:p>
            <w:pPr>
              <w:spacing w:after="0"/>
              <w:rPr>
                <w:sz w:val="18"/>
                <w:szCs w:val="18"/>
                <w:color w:val="auto"/>
              </w:rPr>
            </w:pPr>
          </w:p>
        </w:tc>
      </w:tr>
      <w:tr>
        <w:trPr>
          <w:trHeight w:val="216"/>
        </w:trPr>
        <w:tc>
          <w:tcPr>
            <w:tcW w:w="6060" w:type="dxa"/>
            <w:vAlign w:val="bottom"/>
          </w:tcPr>
          <w:p>
            <w:pPr>
              <w:ind w:left="1300"/>
              <w:spacing w:after="0"/>
              <w:rPr>
                <w:sz w:val="20"/>
                <w:szCs w:val="20"/>
                <w:color w:val="auto"/>
              </w:rPr>
            </w:pPr>
            <w:r>
              <w:rPr>
                <w:rFonts w:ascii="Arial" w:cs="Arial" w:eastAsia="Arial" w:hAnsi="Arial"/>
                <w:sz w:val="18"/>
                <w:szCs w:val="18"/>
                <w:color w:val="auto"/>
              </w:rPr>
              <w:t>Grupo De Medidas Iberica S.L.</w:t>
            </w:r>
          </w:p>
        </w:tc>
        <w:tc>
          <w:tcPr>
            <w:tcW w:w="3560" w:type="dxa"/>
            <w:vAlign w:val="bottom"/>
          </w:tcPr>
          <w:p>
            <w:pPr>
              <w:ind w:left="1380"/>
              <w:spacing w:after="0"/>
              <w:rPr>
                <w:sz w:val="20"/>
                <w:szCs w:val="20"/>
                <w:color w:val="auto"/>
              </w:rPr>
            </w:pPr>
            <w:r>
              <w:rPr>
                <w:rFonts w:ascii="Arial" w:cs="Arial" w:eastAsia="Arial" w:hAnsi="Arial"/>
                <w:sz w:val="18"/>
                <w:szCs w:val="18"/>
                <w:color w:val="auto"/>
              </w:rPr>
              <w:t>Spain</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ECOMAL Schweiz A.G.</w:t>
            </w:r>
          </w:p>
        </w:tc>
        <w:tc>
          <w:tcPr>
            <w:tcW w:w="3560" w:type="dxa"/>
            <w:vAlign w:val="bottom"/>
          </w:tcPr>
          <w:p>
            <w:pPr>
              <w:ind w:left="1380"/>
              <w:spacing w:after="0"/>
              <w:rPr>
                <w:sz w:val="20"/>
                <w:szCs w:val="20"/>
                <w:color w:val="auto"/>
              </w:rPr>
            </w:pPr>
            <w:r>
              <w:rPr>
                <w:rFonts w:ascii="Arial" w:cs="Arial" w:eastAsia="Arial" w:hAnsi="Arial"/>
                <w:sz w:val="18"/>
                <w:szCs w:val="18"/>
                <w:color w:val="auto"/>
              </w:rPr>
              <w:t>Switzerland</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ECOMAL Austria Ges.mbH</w:t>
            </w:r>
          </w:p>
        </w:tc>
        <w:tc>
          <w:tcPr>
            <w:tcW w:w="3560" w:type="dxa"/>
            <w:vAlign w:val="bottom"/>
          </w:tcPr>
          <w:p>
            <w:pPr>
              <w:ind w:left="1380"/>
              <w:spacing w:after="0"/>
              <w:rPr>
                <w:sz w:val="20"/>
                <w:szCs w:val="20"/>
                <w:color w:val="auto"/>
              </w:rPr>
            </w:pPr>
            <w:r>
              <w:rPr>
                <w:rFonts w:ascii="Arial" w:cs="Arial" w:eastAsia="Arial" w:hAnsi="Arial"/>
                <w:sz w:val="18"/>
                <w:szCs w:val="18"/>
                <w:color w:val="auto"/>
              </w:rPr>
              <w:t>Austria</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Klevestav-Roederstein Festigheter AB</w:t>
            </w:r>
          </w:p>
        </w:tc>
        <w:tc>
          <w:tcPr>
            <w:tcW w:w="3560" w:type="dxa"/>
            <w:vAlign w:val="bottom"/>
          </w:tcPr>
          <w:p>
            <w:pPr>
              <w:ind w:left="1380"/>
              <w:spacing w:after="0"/>
              <w:rPr>
                <w:sz w:val="20"/>
                <w:szCs w:val="20"/>
                <w:color w:val="auto"/>
              </w:rPr>
            </w:pPr>
            <w:r>
              <w:rPr>
                <w:rFonts w:ascii="Arial" w:cs="Arial" w:eastAsia="Arial" w:hAnsi="Arial"/>
                <w:sz w:val="18"/>
                <w:szCs w:val="18"/>
                <w:color w:val="auto"/>
              </w:rPr>
              <w:t>Sweden</w:t>
            </w:r>
          </w:p>
        </w:tc>
        <w:tc>
          <w:tcPr>
            <w:tcW w:w="880" w:type="dxa"/>
            <w:vAlign w:val="bottom"/>
          </w:tcPr>
          <w:p>
            <w:pPr>
              <w:ind w:left="660"/>
              <w:spacing w:after="0"/>
              <w:rPr>
                <w:sz w:val="20"/>
                <w:szCs w:val="20"/>
                <w:color w:val="auto"/>
              </w:rPr>
            </w:pPr>
            <w:r>
              <w:rPr>
                <w:rFonts w:ascii="Arial" w:cs="Arial" w:eastAsia="Arial" w:hAnsi="Arial"/>
                <w:sz w:val="18"/>
                <w:szCs w:val="18"/>
                <w:color w:val="auto"/>
                <w:w w:val="90"/>
              </w:rPr>
              <w:t>(g)</w:t>
            </w: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Vishay Components, S.A.</w:t>
            </w:r>
          </w:p>
        </w:tc>
        <w:tc>
          <w:tcPr>
            <w:tcW w:w="3560" w:type="dxa"/>
            <w:vAlign w:val="bottom"/>
          </w:tcPr>
          <w:p>
            <w:pPr>
              <w:ind w:left="1380"/>
              <w:spacing w:after="0"/>
              <w:rPr>
                <w:sz w:val="20"/>
                <w:szCs w:val="20"/>
                <w:color w:val="auto"/>
              </w:rPr>
            </w:pPr>
            <w:r>
              <w:rPr>
                <w:rFonts w:ascii="Arial" w:cs="Arial" w:eastAsia="Arial" w:hAnsi="Arial"/>
                <w:sz w:val="18"/>
                <w:szCs w:val="18"/>
                <w:color w:val="auto"/>
              </w:rPr>
              <w:t>Spain</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ECOMAL Nederland BV</w:t>
            </w:r>
          </w:p>
        </w:tc>
        <w:tc>
          <w:tcPr>
            <w:tcW w:w="3560" w:type="dxa"/>
            <w:vAlign w:val="bottom"/>
          </w:tcPr>
          <w:p>
            <w:pPr>
              <w:ind w:left="1380"/>
              <w:spacing w:after="0"/>
              <w:rPr>
                <w:sz w:val="20"/>
                <w:szCs w:val="20"/>
                <w:color w:val="auto"/>
              </w:rPr>
            </w:pPr>
            <w:r>
              <w:rPr>
                <w:rFonts w:ascii="Arial" w:cs="Arial" w:eastAsia="Arial" w:hAnsi="Arial"/>
                <w:sz w:val="18"/>
                <w:szCs w:val="18"/>
                <w:color w:val="auto"/>
              </w:rPr>
              <w:t>Netherlands</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ECOMAL Belgium N.V.</w:t>
            </w:r>
          </w:p>
        </w:tc>
        <w:tc>
          <w:tcPr>
            <w:tcW w:w="3560" w:type="dxa"/>
            <w:vAlign w:val="bottom"/>
          </w:tcPr>
          <w:p>
            <w:pPr>
              <w:ind w:left="1380"/>
              <w:spacing w:after="0"/>
              <w:rPr>
                <w:sz w:val="20"/>
                <w:szCs w:val="20"/>
                <w:color w:val="auto"/>
              </w:rPr>
            </w:pPr>
            <w:r>
              <w:rPr>
                <w:rFonts w:ascii="Arial" w:cs="Arial" w:eastAsia="Arial" w:hAnsi="Arial"/>
                <w:sz w:val="18"/>
                <w:szCs w:val="18"/>
                <w:color w:val="auto"/>
              </w:rPr>
              <w:t>Belgium</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ECOMAL Denmark A/S</w:t>
            </w:r>
          </w:p>
        </w:tc>
        <w:tc>
          <w:tcPr>
            <w:tcW w:w="3560" w:type="dxa"/>
            <w:vAlign w:val="bottom"/>
          </w:tcPr>
          <w:p>
            <w:pPr>
              <w:ind w:left="1380"/>
              <w:spacing w:after="0"/>
              <w:rPr>
                <w:sz w:val="20"/>
                <w:szCs w:val="20"/>
                <w:color w:val="auto"/>
              </w:rPr>
            </w:pPr>
            <w:r>
              <w:rPr>
                <w:rFonts w:ascii="Arial" w:cs="Arial" w:eastAsia="Arial" w:hAnsi="Arial"/>
                <w:sz w:val="18"/>
                <w:szCs w:val="18"/>
                <w:color w:val="auto"/>
              </w:rPr>
              <w:t>Denmark</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ECOMAL Finland OY</w:t>
            </w:r>
          </w:p>
        </w:tc>
        <w:tc>
          <w:tcPr>
            <w:tcW w:w="3560" w:type="dxa"/>
            <w:vAlign w:val="bottom"/>
          </w:tcPr>
          <w:p>
            <w:pPr>
              <w:ind w:left="1380"/>
              <w:spacing w:after="0"/>
              <w:rPr>
                <w:sz w:val="20"/>
                <w:szCs w:val="20"/>
                <w:color w:val="auto"/>
              </w:rPr>
            </w:pPr>
            <w:r>
              <w:rPr>
                <w:rFonts w:ascii="Arial" w:cs="Arial" w:eastAsia="Arial" w:hAnsi="Arial"/>
                <w:sz w:val="18"/>
                <w:szCs w:val="18"/>
                <w:color w:val="auto"/>
              </w:rPr>
              <w:t>Finland</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ECOMAL France S.A.</w:t>
            </w:r>
          </w:p>
        </w:tc>
        <w:tc>
          <w:tcPr>
            <w:tcW w:w="3560" w:type="dxa"/>
            <w:vAlign w:val="bottom"/>
          </w:tcPr>
          <w:p>
            <w:pPr>
              <w:ind w:left="1380"/>
              <w:spacing w:after="0"/>
              <w:rPr>
                <w:sz w:val="20"/>
                <w:szCs w:val="20"/>
                <w:color w:val="auto"/>
              </w:rPr>
            </w:pPr>
            <w:r>
              <w:rPr>
                <w:rFonts w:ascii="Arial" w:cs="Arial" w:eastAsia="Arial" w:hAnsi="Arial"/>
                <w:sz w:val="18"/>
                <w:szCs w:val="18"/>
                <w:color w:val="auto"/>
              </w:rPr>
              <w:t>France</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ECOMAL S.r.O.</w:t>
            </w:r>
          </w:p>
        </w:tc>
        <w:tc>
          <w:tcPr>
            <w:tcW w:w="3560" w:type="dxa"/>
            <w:vAlign w:val="bottom"/>
          </w:tcPr>
          <w:p>
            <w:pPr>
              <w:ind w:left="1380"/>
              <w:spacing w:after="0"/>
              <w:rPr>
                <w:sz w:val="20"/>
                <w:szCs w:val="20"/>
                <w:color w:val="auto"/>
              </w:rPr>
            </w:pPr>
            <w:r>
              <w:rPr>
                <w:rFonts w:ascii="Arial" w:cs="Arial" w:eastAsia="Arial" w:hAnsi="Arial"/>
                <w:sz w:val="18"/>
                <w:szCs w:val="18"/>
                <w:color w:val="auto"/>
              </w:rPr>
              <w:t>Czech Republic</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ECOMAL UK</w:t>
            </w:r>
          </w:p>
        </w:tc>
        <w:tc>
          <w:tcPr>
            <w:tcW w:w="3560" w:type="dxa"/>
            <w:vAlign w:val="bottom"/>
          </w:tcPr>
          <w:p>
            <w:pPr>
              <w:ind w:left="1380"/>
              <w:spacing w:after="0"/>
              <w:rPr>
                <w:sz w:val="20"/>
                <w:szCs w:val="20"/>
                <w:color w:val="auto"/>
              </w:rPr>
            </w:pPr>
            <w:r>
              <w:rPr>
                <w:rFonts w:ascii="Arial" w:cs="Arial" w:eastAsia="Arial" w:hAnsi="Arial"/>
                <w:sz w:val="18"/>
                <w:szCs w:val="18"/>
                <w:color w:val="auto"/>
              </w:rPr>
              <w:t>England</w:t>
            </w:r>
          </w:p>
        </w:tc>
        <w:tc>
          <w:tcPr>
            <w:tcW w:w="880" w:type="dxa"/>
            <w:vAlign w:val="bottom"/>
          </w:tcPr>
          <w:p>
            <w:pPr>
              <w:spacing w:after="0"/>
              <w:rPr>
                <w:sz w:val="18"/>
                <w:szCs w:val="18"/>
                <w:color w:val="auto"/>
              </w:rPr>
            </w:pPr>
          </w:p>
        </w:tc>
      </w:tr>
      <w:tr>
        <w:trPr>
          <w:trHeight w:val="216"/>
        </w:trPr>
        <w:tc>
          <w:tcPr>
            <w:tcW w:w="6060" w:type="dxa"/>
            <w:vAlign w:val="bottom"/>
          </w:tcPr>
          <w:p>
            <w:pPr>
              <w:ind w:left="880"/>
              <w:spacing w:after="0"/>
              <w:rPr>
                <w:sz w:val="20"/>
                <w:szCs w:val="20"/>
                <w:color w:val="auto"/>
              </w:rPr>
            </w:pPr>
            <w:r>
              <w:rPr>
                <w:rFonts w:ascii="Arial" w:cs="Arial" w:eastAsia="Arial" w:hAnsi="Arial"/>
                <w:sz w:val="18"/>
                <w:szCs w:val="18"/>
                <w:color w:val="auto"/>
              </w:rPr>
              <w:t>Okab Roederstein Finland OY</w:t>
            </w:r>
          </w:p>
        </w:tc>
        <w:tc>
          <w:tcPr>
            <w:tcW w:w="3560" w:type="dxa"/>
            <w:vAlign w:val="bottom"/>
          </w:tcPr>
          <w:p>
            <w:pPr>
              <w:ind w:left="1380"/>
              <w:spacing w:after="0"/>
              <w:rPr>
                <w:sz w:val="20"/>
                <w:szCs w:val="20"/>
                <w:color w:val="auto"/>
              </w:rPr>
            </w:pPr>
            <w:r>
              <w:rPr>
                <w:rFonts w:ascii="Arial" w:cs="Arial" w:eastAsia="Arial" w:hAnsi="Arial"/>
                <w:sz w:val="18"/>
                <w:szCs w:val="18"/>
                <w:color w:val="auto"/>
              </w:rPr>
              <w:t>Finland</w:t>
            </w:r>
          </w:p>
        </w:tc>
        <w:tc>
          <w:tcPr>
            <w:tcW w:w="880" w:type="dxa"/>
            <w:vAlign w:val="bottom"/>
          </w:tcPr>
          <w:p>
            <w:pPr>
              <w:ind w:left="660"/>
              <w:spacing w:after="0"/>
              <w:rPr>
                <w:sz w:val="20"/>
                <w:szCs w:val="20"/>
                <w:color w:val="auto"/>
              </w:rPr>
            </w:pPr>
            <w:r>
              <w:rPr>
                <w:rFonts w:ascii="Arial" w:cs="Arial" w:eastAsia="Arial" w:hAnsi="Arial"/>
                <w:sz w:val="18"/>
                <w:szCs w:val="18"/>
                <w:color w:val="auto"/>
                <w:w w:val="90"/>
              </w:rPr>
              <w:t>(h)</w:t>
            </w:r>
          </w:p>
        </w:tc>
      </w:tr>
      <w:tr>
        <w:trPr>
          <w:trHeight w:val="222"/>
        </w:trPr>
        <w:tc>
          <w:tcPr>
            <w:tcW w:w="6060" w:type="dxa"/>
            <w:vAlign w:val="bottom"/>
          </w:tcPr>
          <w:p>
            <w:pPr>
              <w:ind w:left="880"/>
              <w:spacing w:after="0"/>
              <w:rPr>
                <w:sz w:val="20"/>
                <w:szCs w:val="20"/>
                <w:color w:val="auto"/>
              </w:rPr>
            </w:pPr>
            <w:r>
              <w:rPr>
                <w:rFonts w:ascii="Arial" w:cs="Arial" w:eastAsia="Arial" w:hAnsi="Arial"/>
                <w:sz w:val="18"/>
                <w:szCs w:val="18"/>
                <w:color w:val="auto"/>
              </w:rPr>
              <w:t>Rogin Electronic S.A.</w:t>
            </w:r>
          </w:p>
        </w:tc>
        <w:tc>
          <w:tcPr>
            <w:tcW w:w="3560" w:type="dxa"/>
            <w:vAlign w:val="bottom"/>
          </w:tcPr>
          <w:p>
            <w:pPr>
              <w:ind w:left="1380"/>
              <w:spacing w:after="0"/>
              <w:rPr>
                <w:sz w:val="20"/>
                <w:szCs w:val="20"/>
                <w:color w:val="auto"/>
              </w:rPr>
            </w:pPr>
            <w:r>
              <w:rPr>
                <w:rFonts w:ascii="Arial" w:cs="Arial" w:eastAsia="Arial" w:hAnsi="Arial"/>
                <w:sz w:val="18"/>
                <w:szCs w:val="18"/>
                <w:color w:val="auto"/>
              </w:rPr>
              <w:t>Spain</w:t>
            </w:r>
          </w:p>
        </w:tc>
        <w:tc>
          <w:tcPr>
            <w:tcW w:w="880" w:type="dxa"/>
            <w:vAlign w:val="bottom"/>
          </w:tcPr>
          <w:p>
            <w:pPr>
              <w:ind w:left="660"/>
              <w:spacing w:after="0"/>
              <w:rPr>
                <w:sz w:val="20"/>
                <w:szCs w:val="20"/>
                <w:color w:val="auto"/>
              </w:rPr>
            </w:pPr>
            <w:r>
              <w:rPr>
                <w:rFonts w:ascii="Arial" w:cs="Arial" w:eastAsia="Arial" w:hAnsi="Arial"/>
                <w:sz w:val="18"/>
                <w:szCs w:val="18"/>
                <w:color w:val="auto"/>
              </w:rPr>
              <w:t>(i)</w:t>
            </w:r>
          </w:p>
        </w:tc>
      </w:tr>
    </w:tbl>
    <w:p>
      <w:pPr>
        <w:sectPr>
          <w:pgSz w:w="11900" w:h="16838" w:orient="portrait"/>
          <w:cols w:equalWidth="0" w:num="1">
            <w:col w:w="10500"/>
          </w:cols>
          <w:pgMar w:left="240" w:top="584" w:right="1159" w:bottom="1440" w:gutter="0" w:footer="0" w:header="0"/>
        </w:sectPr>
      </w:pPr>
    </w:p>
    <w:bookmarkStart w:id="120" w:name="page121"/>
    <w:bookmarkEnd w:id="1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6280" w:type="dxa"/>
            <w:vAlign w:val="bottom"/>
          </w:tcPr>
          <w:p>
            <w:pPr>
              <w:spacing w:after="0"/>
              <w:rPr>
                <w:sz w:val="20"/>
                <w:szCs w:val="20"/>
                <w:color w:val="auto"/>
              </w:rPr>
            </w:pPr>
            <w:r>
              <w:rPr>
                <w:rFonts w:ascii="Arial" w:cs="Arial" w:eastAsia="Arial" w:hAnsi="Arial"/>
                <w:sz w:val="18"/>
                <w:szCs w:val="18"/>
                <w:b w:val="1"/>
                <w:bCs w:val="1"/>
                <w:color w:val="auto"/>
              </w:rPr>
              <w:t>Subsidiaries of the Registrant (continued)</w:t>
            </w:r>
          </w:p>
        </w:tc>
        <w:tc>
          <w:tcPr>
            <w:tcW w:w="3200" w:type="dxa"/>
            <w:vAlign w:val="bottom"/>
          </w:tcPr>
          <w:p>
            <w:pPr>
              <w:spacing w:after="0"/>
              <w:rPr>
                <w:sz w:val="19"/>
                <w:szCs w:val="19"/>
                <w:color w:val="auto"/>
              </w:rPr>
            </w:pPr>
          </w:p>
        </w:tc>
        <w:tc>
          <w:tcPr>
            <w:tcW w:w="1020" w:type="dxa"/>
            <w:vAlign w:val="bottom"/>
          </w:tcPr>
          <w:p>
            <w:pPr>
              <w:spacing w:after="0"/>
              <w:rPr>
                <w:sz w:val="19"/>
                <w:szCs w:val="19"/>
                <w:color w:val="auto"/>
              </w:rPr>
            </w:pPr>
          </w:p>
        </w:tc>
      </w:tr>
      <w:tr>
        <w:trPr>
          <w:trHeight w:val="426"/>
        </w:trPr>
        <w:tc>
          <w:tcPr>
            <w:tcW w:w="6280" w:type="dxa"/>
            <w:vAlign w:val="bottom"/>
          </w:tcPr>
          <w:p>
            <w:pPr>
              <w:ind w:left="880"/>
              <w:spacing w:after="0"/>
              <w:rPr>
                <w:sz w:val="20"/>
                <w:szCs w:val="20"/>
                <w:color w:val="auto"/>
              </w:rPr>
            </w:pPr>
            <w:r>
              <w:rPr>
                <w:rFonts w:ascii="Arial" w:cs="Arial" w:eastAsia="Arial" w:hAnsi="Arial"/>
                <w:sz w:val="18"/>
                <w:szCs w:val="18"/>
                <w:color w:val="auto"/>
              </w:rPr>
              <w:t>Roederstein GmbH</w:t>
            </w:r>
          </w:p>
        </w:tc>
        <w:tc>
          <w:tcPr>
            <w:tcW w:w="3200" w:type="dxa"/>
            <w:vAlign w:val="bottom"/>
          </w:tcPr>
          <w:p>
            <w:pPr>
              <w:ind w:left="1160"/>
              <w:spacing w:after="0"/>
              <w:rPr>
                <w:sz w:val="20"/>
                <w:szCs w:val="20"/>
                <w:color w:val="auto"/>
              </w:rPr>
            </w:pPr>
            <w:r>
              <w:rPr>
                <w:rFonts w:ascii="Arial" w:cs="Arial" w:eastAsia="Arial" w:hAnsi="Arial"/>
                <w:sz w:val="18"/>
                <w:szCs w:val="18"/>
                <w:color w:val="auto"/>
              </w:rPr>
              <w:t>Germany</w:t>
            </w:r>
          </w:p>
        </w:tc>
        <w:tc>
          <w:tcPr>
            <w:tcW w:w="1020" w:type="dxa"/>
            <w:vAlign w:val="bottom"/>
          </w:tcPr>
          <w:p>
            <w:pPr>
              <w:spacing w:after="0"/>
              <w:rPr>
                <w:sz w:val="24"/>
                <w:szCs w:val="24"/>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Roederstein-Hilfe-GmbH</w:t>
            </w:r>
          </w:p>
        </w:tc>
        <w:tc>
          <w:tcPr>
            <w:tcW w:w="3200" w:type="dxa"/>
            <w:vAlign w:val="bottom"/>
          </w:tcPr>
          <w:p>
            <w:pPr>
              <w:ind w:left="1160"/>
              <w:spacing w:after="0"/>
              <w:rPr>
                <w:sz w:val="20"/>
                <w:szCs w:val="20"/>
                <w:color w:val="auto"/>
              </w:rPr>
            </w:pPr>
            <w:r>
              <w:rPr>
                <w:rFonts w:ascii="Arial" w:cs="Arial" w:eastAsia="Arial" w:hAnsi="Arial"/>
                <w:sz w:val="18"/>
                <w:szCs w:val="18"/>
                <w:color w:val="auto"/>
              </w:rPr>
              <w:t>Germany</w:t>
            </w:r>
          </w:p>
        </w:tc>
        <w:tc>
          <w:tcPr>
            <w:tcW w:w="1020" w:type="dxa"/>
            <w:vAlign w:val="bottom"/>
          </w:tcPr>
          <w:p>
            <w:pPr>
              <w:spacing w:after="0"/>
              <w:rPr>
                <w:sz w:val="18"/>
                <w:szCs w:val="18"/>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Vishay Electronic SPOL SRO</w:t>
            </w:r>
          </w:p>
        </w:tc>
        <w:tc>
          <w:tcPr>
            <w:tcW w:w="3200" w:type="dxa"/>
            <w:vAlign w:val="bottom"/>
          </w:tcPr>
          <w:p>
            <w:pPr>
              <w:ind w:left="1160"/>
              <w:spacing w:after="0"/>
              <w:rPr>
                <w:sz w:val="20"/>
                <w:szCs w:val="20"/>
                <w:color w:val="auto"/>
              </w:rPr>
            </w:pPr>
            <w:r>
              <w:rPr>
                <w:rFonts w:ascii="Arial" w:cs="Arial" w:eastAsia="Arial" w:hAnsi="Arial"/>
                <w:sz w:val="18"/>
                <w:szCs w:val="18"/>
                <w:color w:val="auto"/>
              </w:rPr>
              <w:t>Czech Republic</w:t>
            </w:r>
          </w:p>
        </w:tc>
        <w:tc>
          <w:tcPr>
            <w:tcW w:w="1020" w:type="dxa"/>
            <w:vAlign w:val="bottom"/>
          </w:tcPr>
          <w:p>
            <w:pPr>
              <w:spacing w:after="0"/>
              <w:rPr>
                <w:sz w:val="18"/>
                <w:szCs w:val="18"/>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Vishay S.A.</w:t>
            </w:r>
          </w:p>
        </w:tc>
        <w:tc>
          <w:tcPr>
            <w:tcW w:w="3200" w:type="dxa"/>
            <w:vAlign w:val="bottom"/>
          </w:tcPr>
          <w:p>
            <w:pPr>
              <w:ind w:left="1160"/>
              <w:spacing w:after="0"/>
              <w:rPr>
                <w:sz w:val="20"/>
                <w:szCs w:val="20"/>
                <w:color w:val="auto"/>
              </w:rPr>
            </w:pPr>
            <w:r>
              <w:rPr>
                <w:rFonts w:ascii="Arial" w:cs="Arial" w:eastAsia="Arial" w:hAnsi="Arial"/>
                <w:sz w:val="18"/>
                <w:szCs w:val="18"/>
                <w:color w:val="auto"/>
              </w:rPr>
              <w:t>France</w:t>
            </w:r>
          </w:p>
        </w:tc>
        <w:tc>
          <w:tcPr>
            <w:tcW w:w="1020" w:type="dxa"/>
            <w:vAlign w:val="bottom"/>
          </w:tcPr>
          <w:p>
            <w:pPr>
              <w:ind w:left="800"/>
              <w:spacing w:after="0"/>
              <w:rPr>
                <w:sz w:val="20"/>
                <w:szCs w:val="20"/>
                <w:color w:val="auto"/>
              </w:rPr>
            </w:pPr>
            <w:r>
              <w:rPr>
                <w:rFonts w:ascii="Arial" w:cs="Arial" w:eastAsia="Arial" w:hAnsi="Arial"/>
                <w:sz w:val="18"/>
                <w:szCs w:val="18"/>
                <w:color w:val="auto"/>
              </w:rPr>
              <w:t>(j)</w:t>
            </w: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Ultronix, Inc.</w:t>
            </w:r>
          </w:p>
        </w:tc>
        <w:tc>
          <w:tcPr>
            <w:tcW w:w="3200" w:type="dxa"/>
            <w:vAlign w:val="bottom"/>
          </w:tcPr>
          <w:p>
            <w:pPr>
              <w:ind w:left="1160"/>
              <w:spacing w:after="0"/>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Vishay Italy SRL</w:t>
            </w:r>
          </w:p>
        </w:tc>
        <w:tc>
          <w:tcPr>
            <w:tcW w:w="3200" w:type="dxa"/>
            <w:vAlign w:val="bottom"/>
          </w:tcPr>
          <w:p>
            <w:pPr>
              <w:ind w:left="1160"/>
              <w:spacing w:after="0"/>
              <w:rPr>
                <w:sz w:val="20"/>
                <w:szCs w:val="20"/>
                <w:color w:val="auto"/>
              </w:rPr>
            </w:pPr>
            <w:r>
              <w:rPr>
                <w:rFonts w:ascii="Arial" w:cs="Arial" w:eastAsia="Arial" w:hAnsi="Arial"/>
                <w:sz w:val="18"/>
                <w:szCs w:val="18"/>
                <w:color w:val="auto"/>
              </w:rPr>
              <w:t>Italy</w:t>
            </w:r>
          </w:p>
        </w:tc>
        <w:tc>
          <w:tcPr>
            <w:tcW w:w="1020" w:type="dxa"/>
            <w:vAlign w:val="bottom"/>
          </w:tcPr>
          <w:p>
            <w:pPr>
              <w:spacing w:after="0"/>
              <w:rPr>
                <w:sz w:val="18"/>
                <w:szCs w:val="18"/>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Tedea-Huntleigh B.V.</w:t>
            </w:r>
          </w:p>
        </w:tc>
        <w:tc>
          <w:tcPr>
            <w:tcW w:w="3200" w:type="dxa"/>
            <w:vAlign w:val="bottom"/>
          </w:tcPr>
          <w:p>
            <w:pPr>
              <w:ind w:left="1160"/>
              <w:spacing w:after="0"/>
              <w:rPr>
                <w:sz w:val="20"/>
                <w:szCs w:val="20"/>
                <w:color w:val="auto"/>
              </w:rPr>
            </w:pPr>
            <w:r>
              <w:rPr>
                <w:rFonts w:ascii="Arial" w:cs="Arial" w:eastAsia="Arial" w:hAnsi="Arial"/>
                <w:sz w:val="18"/>
                <w:szCs w:val="18"/>
                <w:color w:val="auto"/>
              </w:rPr>
              <w:t>Netherlands</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Tedea-Huntleigh International Ltd</w:t>
            </w:r>
          </w:p>
        </w:tc>
        <w:tc>
          <w:tcPr>
            <w:tcW w:w="3200" w:type="dxa"/>
            <w:vAlign w:val="bottom"/>
          </w:tcPr>
          <w:p>
            <w:pPr>
              <w:ind w:left="1160"/>
              <w:spacing w:after="0"/>
              <w:rPr>
                <w:sz w:val="20"/>
                <w:szCs w:val="20"/>
                <w:color w:val="auto"/>
              </w:rPr>
            </w:pPr>
            <w:r>
              <w:rPr>
                <w:rFonts w:ascii="Arial" w:cs="Arial" w:eastAsia="Arial" w:hAnsi="Arial"/>
                <w:sz w:val="18"/>
                <w:szCs w:val="18"/>
                <w:color w:val="auto"/>
              </w:rPr>
              <w:t>Israel</w:t>
            </w:r>
          </w:p>
        </w:tc>
        <w:tc>
          <w:tcPr>
            <w:tcW w:w="1020" w:type="dxa"/>
            <w:vAlign w:val="bottom"/>
          </w:tcPr>
          <w:p>
            <w:pPr>
              <w:spacing w:after="0"/>
              <w:rPr>
                <w:sz w:val="18"/>
                <w:szCs w:val="18"/>
                <w:color w:val="auto"/>
              </w:rPr>
            </w:pPr>
          </w:p>
        </w:tc>
      </w:tr>
      <w:tr>
        <w:trPr>
          <w:trHeight w:val="216"/>
        </w:trPr>
        <w:tc>
          <w:tcPr>
            <w:tcW w:w="6280" w:type="dxa"/>
            <w:vAlign w:val="bottom"/>
          </w:tcPr>
          <w:p>
            <w:pPr>
              <w:ind w:left="1740"/>
              <w:spacing w:after="0"/>
              <w:rPr>
                <w:sz w:val="20"/>
                <w:szCs w:val="20"/>
                <w:color w:val="auto"/>
              </w:rPr>
            </w:pPr>
            <w:r>
              <w:rPr>
                <w:rFonts w:ascii="Arial" w:cs="Arial" w:eastAsia="Arial" w:hAnsi="Arial"/>
                <w:sz w:val="18"/>
                <w:szCs w:val="18"/>
                <w:color w:val="auto"/>
              </w:rPr>
              <w:t>T-H Technology Ltd</w:t>
            </w:r>
          </w:p>
        </w:tc>
        <w:tc>
          <w:tcPr>
            <w:tcW w:w="3200" w:type="dxa"/>
            <w:vAlign w:val="bottom"/>
          </w:tcPr>
          <w:p>
            <w:pPr>
              <w:ind w:left="1160"/>
              <w:spacing w:after="0"/>
              <w:rPr>
                <w:sz w:val="20"/>
                <w:szCs w:val="20"/>
                <w:color w:val="auto"/>
              </w:rPr>
            </w:pPr>
            <w:r>
              <w:rPr>
                <w:rFonts w:ascii="Arial" w:cs="Arial" w:eastAsia="Arial" w:hAnsi="Arial"/>
                <w:sz w:val="18"/>
                <w:szCs w:val="18"/>
                <w:color w:val="auto"/>
              </w:rPr>
              <w:t>Israel</w:t>
            </w:r>
          </w:p>
        </w:tc>
        <w:tc>
          <w:tcPr>
            <w:tcW w:w="1020" w:type="dxa"/>
            <w:vAlign w:val="bottom"/>
          </w:tcPr>
          <w:p>
            <w:pPr>
              <w:spacing w:after="0"/>
              <w:rPr>
                <w:sz w:val="18"/>
                <w:szCs w:val="18"/>
                <w:color w:val="auto"/>
              </w:rPr>
            </w:pPr>
          </w:p>
        </w:tc>
      </w:tr>
      <w:tr>
        <w:trPr>
          <w:trHeight w:val="216"/>
        </w:trPr>
        <w:tc>
          <w:tcPr>
            <w:tcW w:w="6280" w:type="dxa"/>
            <w:vAlign w:val="bottom"/>
          </w:tcPr>
          <w:p>
            <w:pPr>
              <w:ind w:left="2160"/>
              <w:spacing w:after="0"/>
              <w:rPr>
                <w:sz w:val="20"/>
                <w:szCs w:val="20"/>
                <w:color w:val="auto"/>
              </w:rPr>
            </w:pPr>
            <w:r>
              <w:rPr>
                <w:rFonts w:ascii="Arial" w:cs="Arial" w:eastAsia="Arial" w:hAnsi="Arial"/>
                <w:sz w:val="18"/>
                <w:szCs w:val="18"/>
                <w:color w:val="auto"/>
              </w:rPr>
              <w:t>Vishay Measurements Group France, S.A.</w:t>
            </w:r>
          </w:p>
        </w:tc>
        <w:tc>
          <w:tcPr>
            <w:tcW w:w="3200" w:type="dxa"/>
            <w:vAlign w:val="bottom"/>
          </w:tcPr>
          <w:p>
            <w:pPr>
              <w:ind w:left="1160"/>
              <w:spacing w:after="0"/>
              <w:rPr>
                <w:sz w:val="20"/>
                <w:szCs w:val="20"/>
                <w:color w:val="auto"/>
              </w:rPr>
            </w:pPr>
            <w:r>
              <w:rPr>
                <w:rFonts w:ascii="Arial" w:cs="Arial" w:eastAsia="Arial" w:hAnsi="Arial"/>
                <w:sz w:val="18"/>
                <w:szCs w:val="18"/>
                <w:color w:val="auto"/>
              </w:rPr>
              <w:t>France</w:t>
            </w:r>
          </w:p>
        </w:tc>
        <w:tc>
          <w:tcPr>
            <w:tcW w:w="1020" w:type="dxa"/>
            <w:vAlign w:val="bottom"/>
          </w:tcPr>
          <w:p>
            <w:pPr>
              <w:spacing w:after="0"/>
              <w:rPr>
                <w:sz w:val="18"/>
                <w:szCs w:val="18"/>
                <w:color w:val="auto"/>
              </w:rPr>
            </w:pPr>
          </w:p>
        </w:tc>
      </w:tr>
      <w:tr>
        <w:trPr>
          <w:trHeight w:val="216"/>
        </w:trPr>
        <w:tc>
          <w:tcPr>
            <w:tcW w:w="6280" w:type="dxa"/>
            <w:vAlign w:val="bottom"/>
          </w:tcPr>
          <w:p>
            <w:pPr>
              <w:ind w:left="2160"/>
              <w:spacing w:after="0"/>
              <w:rPr>
                <w:sz w:val="20"/>
                <w:szCs w:val="20"/>
                <w:color w:val="auto"/>
              </w:rPr>
            </w:pPr>
            <w:r>
              <w:rPr>
                <w:rFonts w:ascii="Arial" w:cs="Arial" w:eastAsia="Arial" w:hAnsi="Arial"/>
                <w:sz w:val="18"/>
                <w:szCs w:val="18"/>
                <w:color w:val="auto"/>
              </w:rPr>
              <w:t>SCI Vijafranc</w:t>
            </w:r>
          </w:p>
        </w:tc>
        <w:tc>
          <w:tcPr>
            <w:tcW w:w="3200" w:type="dxa"/>
            <w:vAlign w:val="bottom"/>
          </w:tcPr>
          <w:p>
            <w:pPr>
              <w:ind w:left="1160"/>
              <w:spacing w:after="0"/>
              <w:rPr>
                <w:sz w:val="20"/>
                <w:szCs w:val="20"/>
                <w:color w:val="auto"/>
              </w:rPr>
            </w:pPr>
            <w:r>
              <w:rPr>
                <w:rFonts w:ascii="Arial" w:cs="Arial" w:eastAsia="Arial" w:hAnsi="Arial"/>
                <w:sz w:val="18"/>
                <w:szCs w:val="18"/>
                <w:color w:val="auto"/>
              </w:rPr>
              <w:t>France</w:t>
            </w:r>
          </w:p>
        </w:tc>
        <w:tc>
          <w:tcPr>
            <w:tcW w:w="1020" w:type="dxa"/>
            <w:vAlign w:val="bottom"/>
          </w:tcPr>
          <w:p>
            <w:pPr>
              <w:spacing w:after="0"/>
              <w:rPr>
                <w:sz w:val="18"/>
                <w:szCs w:val="18"/>
                <w:color w:val="auto"/>
              </w:rPr>
            </w:pPr>
          </w:p>
        </w:tc>
      </w:tr>
      <w:tr>
        <w:trPr>
          <w:trHeight w:val="216"/>
        </w:trPr>
        <w:tc>
          <w:tcPr>
            <w:tcW w:w="6280" w:type="dxa"/>
            <w:vAlign w:val="bottom"/>
          </w:tcPr>
          <w:p>
            <w:pPr>
              <w:ind w:left="1740"/>
              <w:spacing w:after="0"/>
              <w:rPr>
                <w:sz w:val="20"/>
                <w:szCs w:val="20"/>
                <w:color w:val="auto"/>
              </w:rPr>
            </w:pPr>
            <w:r>
              <w:rPr>
                <w:rFonts w:ascii="Arial" w:cs="Arial" w:eastAsia="Arial" w:hAnsi="Arial"/>
                <w:sz w:val="18"/>
                <w:szCs w:val="18"/>
                <w:color w:val="auto"/>
              </w:rPr>
              <w:t>T-H Industrial Properties Ltd</w:t>
            </w:r>
          </w:p>
        </w:tc>
        <w:tc>
          <w:tcPr>
            <w:tcW w:w="3200" w:type="dxa"/>
            <w:vAlign w:val="bottom"/>
          </w:tcPr>
          <w:p>
            <w:pPr>
              <w:ind w:left="1160"/>
              <w:spacing w:after="0"/>
              <w:rPr>
                <w:sz w:val="20"/>
                <w:szCs w:val="20"/>
                <w:color w:val="auto"/>
              </w:rPr>
            </w:pPr>
            <w:r>
              <w:rPr>
                <w:rFonts w:ascii="Arial" w:cs="Arial" w:eastAsia="Arial" w:hAnsi="Arial"/>
                <w:sz w:val="18"/>
                <w:szCs w:val="18"/>
                <w:color w:val="auto"/>
              </w:rPr>
              <w:t>Israel</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Tedea-Huntleigh, Inc.</w:t>
            </w:r>
          </w:p>
        </w:tc>
        <w:tc>
          <w:tcPr>
            <w:tcW w:w="3200" w:type="dxa"/>
            <w:vAlign w:val="bottom"/>
          </w:tcPr>
          <w:p>
            <w:pPr>
              <w:ind w:left="1160"/>
              <w:spacing w:after="0"/>
              <w:rPr>
                <w:sz w:val="20"/>
                <w:szCs w:val="20"/>
                <w:color w:val="auto"/>
              </w:rPr>
            </w:pPr>
            <w:r>
              <w:rPr>
                <w:rFonts w:ascii="Arial" w:cs="Arial" w:eastAsia="Arial" w:hAnsi="Arial"/>
                <w:sz w:val="18"/>
                <w:szCs w:val="18"/>
                <w:color w:val="auto"/>
              </w:rPr>
              <w:t>California</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Tedea-Huntleigh (Beijing) Electronics Co. Ltd</w:t>
            </w:r>
          </w:p>
        </w:tc>
        <w:tc>
          <w:tcPr>
            <w:tcW w:w="3200" w:type="dxa"/>
            <w:vAlign w:val="bottom"/>
          </w:tcPr>
          <w:p>
            <w:pPr>
              <w:ind w:left="1160"/>
              <w:spacing w:after="0"/>
              <w:rPr>
                <w:sz w:val="20"/>
                <w:szCs w:val="20"/>
                <w:color w:val="auto"/>
              </w:rPr>
            </w:pPr>
            <w:r>
              <w:rPr>
                <w:rFonts w:ascii="Arial" w:cs="Arial" w:eastAsia="Arial" w:hAnsi="Arial"/>
                <w:sz w:val="18"/>
                <w:szCs w:val="18"/>
                <w:color w:val="auto"/>
              </w:rPr>
              <w:t>China</w:t>
            </w:r>
          </w:p>
        </w:tc>
        <w:tc>
          <w:tcPr>
            <w:tcW w:w="1020" w:type="dxa"/>
            <w:vAlign w:val="bottom"/>
          </w:tcPr>
          <w:p>
            <w:pPr>
              <w:spacing w:after="0"/>
              <w:rPr>
                <w:sz w:val="18"/>
                <w:szCs w:val="18"/>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E-Sil Components Ltd.</w:t>
            </w:r>
          </w:p>
        </w:tc>
        <w:tc>
          <w:tcPr>
            <w:tcW w:w="3200" w:type="dxa"/>
            <w:vAlign w:val="bottom"/>
          </w:tcPr>
          <w:p>
            <w:pPr>
              <w:ind w:left="1160"/>
              <w:spacing w:after="0"/>
              <w:rPr>
                <w:sz w:val="20"/>
                <w:szCs w:val="20"/>
                <w:color w:val="auto"/>
              </w:rPr>
            </w:pPr>
            <w:r>
              <w:rPr>
                <w:rFonts w:ascii="Arial" w:cs="Arial" w:eastAsia="Arial" w:hAnsi="Arial"/>
                <w:sz w:val="18"/>
                <w:szCs w:val="18"/>
                <w:color w:val="auto"/>
              </w:rPr>
              <w:t>England &amp; Wales</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Vishay Roederstein Limited</w:t>
            </w:r>
          </w:p>
        </w:tc>
        <w:tc>
          <w:tcPr>
            <w:tcW w:w="3200" w:type="dxa"/>
            <w:vAlign w:val="bottom"/>
          </w:tcPr>
          <w:p>
            <w:pPr>
              <w:ind w:left="1160"/>
              <w:spacing w:after="0"/>
              <w:rPr>
                <w:sz w:val="20"/>
                <w:szCs w:val="20"/>
                <w:color w:val="auto"/>
              </w:rPr>
            </w:pPr>
            <w:r>
              <w:rPr>
                <w:rFonts w:ascii="Arial" w:cs="Arial" w:eastAsia="Arial" w:hAnsi="Arial"/>
                <w:sz w:val="18"/>
                <w:szCs w:val="18"/>
                <w:color w:val="auto"/>
              </w:rPr>
              <w:t>England</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Vitramon Limited</w:t>
            </w:r>
          </w:p>
        </w:tc>
        <w:tc>
          <w:tcPr>
            <w:tcW w:w="3200" w:type="dxa"/>
            <w:vAlign w:val="bottom"/>
          </w:tcPr>
          <w:p>
            <w:pPr>
              <w:ind w:left="1160"/>
              <w:spacing w:after="0"/>
              <w:rPr>
                <w:sz w:val="20"/>
                <w:szCs w:val="20"/>
                <w:color w:val="auto"/>
              </w:rPr>
            </w:pPr>
            <w:r>
              <w:rPr>
                <w:rFonts w:ascii="Arial" w:cs="Arial" w:eastAsia="Arial" w:hAnsi="Arial"/>
                <w:sz w:val="18"/>
                <w:szCs w:val="18"/>
                <w:color w:val="auto"/>
              </w:rPr>
              <w:t>England</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Vishay Ltd.</w:t>
            </w:r>
          </w:p>
        </w:tc>
        <w:tc>
          <w:tcPr>
            <w:tcW w:w="3200" w:type="dxa"/>
            <w:vAlign w:val="bottom"/>
          </w:tcPr>
          <w:p>
            <w:pPr>
              <w:ind w:left="1160"/>
              <w:spacing w:after="0"/>
              <w:rPr>
                <w:sz w:val="20"/>
                <w:szCs w:val="20"/>
                <w:color w:val="auto"/>
              </w:rPr>
            </w:pPr>
            <w:r>
              <w:rPr>
                <w:rFonts w:ascii="Arial" w:cs="Arial" w:eastAsia="Arial" w:hAnsi="Arial"/>
                <w:sz w:val="18"/>
                <w:szCs w:val="18"/>
                <w:color w:val="auto"/>
              </w:rPr>
              <w:t>England &amp; Wales</w:t>
            </w:r>
          </w:p>
        </w:tc>
        <w:tc>
          <w:tcPr>
            <w:tcW w:w="1020" w:type="dxa"/>
            <w:vAlign w:val="bottom"/>
          </w:tcPr>
          <w:p>
            <w:pPr>
              <w:spacing w:after="0"/>
              <w:rPr>
                <w:sz w:val="18"/>
                <w:szCs w:val="18"/>
                <w:color w:val="auto"/>
              </w:rPr>
            </w:pPr>
          </w:p>
        </w:tc>
      </w:tr>
      <w:tr>
        <w:trPr>
          <w:trHeight w:val="216"/>
        </w:trPr>
        <w:tc>
          <w:tcPr>
            <w:tcW w:w="6280" w:type="dxa"/>
            <w:vAlign w:val="bottom"/>
          </w:tcPr>
          <w:p>
            <w:pPr>
              <w:ind w:left="1740"/>
              <w:spacing w:after="0"/>
              <w:rPr>
                <w:sz w:val="20"/>
                <w:szCs w:val="20"/>
                <w:color w:val="auto"/>
              </w:rPr>
            </w:pPr>
            <w:r>
              <w:rPr>
                <w:rFonts w:ascii="Arial" w:cs="Arial" w:eastAsia="Arial" w:hAnsi="Arial"/>
                <w:sz w:val="18"/>
                <w:szCs w:val="18"/>
                <w:color w:val="auto"/>
              </w:rPr>
              <w:t>Spectrol GmbH</w:t>
            </w:r>
          </w:p>
        </w:tc>
        <w:tc>
          <w:tcPr>
            <w:tcW w:w="3200" w:type="dxa"/>
            <w:vAlign w:val="bottom"/>
          </w:tcPr>
          <w:p>
            <w:pPr>
              <w:ind w:left="1160"/>
              <w:spacing w:after="0"/>
              <w:rPr>
                <w:sz w:val="20"/>
                <w:szCs w:val="20"/>
                <w:color w:val="auto"/>
              </w:rPr>
            </w:pPr>
            <w:r>
              <w:rPr>
                <w:rFonts w:ascii="Arial" w:cs="Arial" w:eastAsia="Arial" w:hAnsi="Arial"/>
                <w:sz w:val="18"/>
                <w:szCs w:val="18"/>
                <w:color w:val="auto"/>
              </w:rPr>
              <w:t>Germany</w:t>
            </w:r>
          </w:p>
        </w:tc>
        <w:tc>
          <w:tcPr>
            <w:tcW w:w="1020" w:type="dxa"/>
            <w:vAlign w:val="bottom"/>
          </w:tcPr>
          <w:p>
            <w:pPr>
              <w:spacing w:after="0"/>
              <w:rPr>
                <w:sz w:val="18"/>
                <w:szCs w:val="18"/>
                <w:color w:val="auto"/>
              </w:rPr>
            </w:pPr>
          </w:p>
        </w:tc>
      </w:tr>
      <w:tr>
        <w:trPr>
          <w:trHeight w:val="216"/>
        </w:trPr>
        <w:tc>
          <w:tcPr>
            <w:tcW w:w="6280" w:type="dxa"/>
            <w:vAlign w:val="bottom"/>
          </w:tcPr>
          <w:p>
            <w:pPr>
              <w:ind w:left="1740"/>
              <w:spacing w:after="0"/>
              <w:rPr>
                <w:sz w:val="20"/>
                <w:szCs w:val="20"/>
                <w:color w:val="auto"/>
              </w:rPr>
            </w:pPr>
            <w:r>
              <w:rPr>
                <w:rFonts w:ascii="Arial" w:cs="Arial" w:eastAsia="Arial" w:hAnsi="Arial"/>
                <w:sz w:val="18"/>
                <w:szCs w:val="18"/>
                <w:color w:val="auto"/>
              </w:rPr>
              <w:t>Grued Corporation</w:t>
            </w:r>
          </w:p>
        </w:tc>
        <w:tc>
          <w:tcPr>
            <w:tcW w:w="3200" w:type="dxa"/>
            <w:vAlign w:val="bottom"/>
          </w:tcPr>
          <w:p>
            <w:pPr>
              <w:ind w:left="1160"/>
              <w:spacing w:after="0"/>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18"/>
                <w:szCs w:val="18"/>
                <w:color w:val="auto"/>
              </w:rPr>
            </w:pPr>
          </w:p>
        </w:tc>
      </w:tr>
      <w:tr>
        <w:trPr>
          <w:trHeight w:val="216"/>
        </w:trPr>
        <w:tc>
          <w:tcPr>
            <w:tcW w:w="6280" w:type="dxa"/>
            <w:vAlign w:val="bottom"/>
          </w:tcPr>
          <w:p>
            <w:pPr>
              <w:ind w:left="2160"/>
              <w:spacing w:after="0"/>
              <w:rPr>
                <w:sz w:val="20"/>
                <w:szCs w:val="20"/>
                <w:color w:val="auto"/>
              </w:rPr>
            </w:pPr>
            <w:r>
              <w:rPr>
                <w:rFonts w:ascii="Arial" w:cs="Arial" w:eastAsia="Arial" w:hAnsi="Arial"/>
                <w:sz w:val="18"/>
                <w:szCs w:val="18"/>
                <w:color w:val="auto"/>
              </w:rPr>
              <w:t>Con-Gro Corp.</w:t>
            </w:r>
          </w:p>
        </w:tc>
        <w:tc>
          <w:tcPr>
            <w:tcW w:w="3200" w:type="dxa"/>
            <w:vAlign w:val="bottom"/>
          </w:tcPr>
          <w:p>
            <w:pPr>
              <w:ind w:left="1160"/>
              <w:spacing w:after="0"/>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18"/>
                <w:szCs w:val="18"/>
                <w:color w:val="auto"/>
              </w:rPr>
            </w:pPr>
          </w:p>
        </w:tc>
      </w:tr>
      <w:tr>
        <w:trPr>
          <w:trHeight w:val="216"/>
        </w:trPr>
        <w:tc>
          <w:tcPr>
            <w:tcW w:w="6280" w:type="dxa"/>
            <w:vAlign w:val="bottom"/>
          </w:tcPr>
          <w:p>
            <w:pPr>
              <w:ind w:left="1740"/>
              <w:spacing w:after="0"/>
              <w:rPr>
                <w:sz w:val="20"/>
                <w:szCs w:val="20"/>
                <w:color w:val="auto"/>
              </w:rPr>
            </w:pPr>
            <w:r>
              <w:rPr>
                <w:rFonts w:ascii="Arial" w:cs="Arial" w:eastAsia="Arial" w:hAnsi="Arial"/>
                <w:sz w:val="18"/>
                <w:szCs w:val="18"/>
                <w:color w:val="auto"/>
              </w:rPr>
              <w:t>Gro-Con, Inc.</w:t>
            </w:r>
          </w:p>
        </w:tc>
        <w:tc>
          <w:tcPr>
            <w:tcW w:w="3200" w:type="dxa"/>
            <w:vAlign w:val="bottom"/>
          </w:tcPr>
          <w:p>
            <w:pPr>
              <w:ind w:left="1160"/>
              <w:spacing w:after="0"/>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18"/>
                <w:szCs w:val="18"/>
                <w:color w:val="auto"/>
              </w:rPr>
            </w:pPr>
          </w:p>
        </w:tc>
      </w:tr>
      <w:tr>
        <w:trPr>
          <w:trHeight w:val="216"/>
        </w:trPr>
        <w:tc>
          <w:tcPr>
            <w:tcW w:w="6280" w:type="dxa"/>
            <w:vAlign w:val="bottom"/>
          </w:tcPr>
          <w:p>
            <w:pPr>
              <w:ind w:left="2160"/>
              <w:spacing w:after="0"/>
              <w:rPr>
                <w:sz w:val="20"/>
                <w:szCs w:val="20"/>
                <w:color w:val="auto"/>
              </w:rPr>
            </w:pPr>
            <w:r>
              <w:rPr>
                <w:rFonts w:ascii="Arial" w:cs="Arial" w:eastAsia="Arial" w:hAnsi="Arial"/>
                <w:sz w:val="18"/>
                <w:szCs w:val="18"/>
                <w:color w:val="auto"/>
              </w:rPr>
              <w:t>Angstrohm Precision Inc.</w:t>
            </w:r>
          </w:p>
        </w:tc>
        <w:tc>
          <w:tcPr>
            <w:tcW w:w="3200" w:type="dxa"/>
            <w:vAlign w:val="bottom"/>
          </w:tcPr>
          <w:p>
            <w:pPr>
              <w:ind w:left="1160"/>
              <w:spacing w:after="0"/>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18"/>
                <w:szCs w:val="18"/>
                <w:color w:val="auto"/>
              </w:rPr>
            </w:pPr>
          </w:p>
        </w:tc>
      </w:tr>
      <w:tr>
        <w:trPr>
          <w:trHeight w:val="216"/>
        </w:trPr>
        <w:tc>
          <w:tcPr>
            <w:tcW w:w="6280" w:type="dxa"/>
            <w:vAlign w:val="bottom"/>
          </w:tcPr>
          <w:p>
            <w:pPr>
              <w:ind w:left="2160"/>
              <w:spacing w:after="0"/>
              <w:rPr>
                <w:sz w:val="20"/>
                <w:szCs w:val="20"/>
                <w:color w:val="auto"/>
              </w:rPr>
            </w:pPr>
            <w:r>
              <w:rPr>
                <w:rFonts w:ascii="Arial" w:cs="Arial" w:eastAsia="Arial" w:hAnsi="Arial"/>
                <w:sz w:val="18"/>
                <w:szCs w:val="18"/>
                <w:color w:val="auto"/>
              </w:rPr>
              <w:t>Angstrohm Holdings Inc.</w:t>
            </w:r>
          </w:p>
        </w:tc>
        <w:tc>
          <w:tcPr>
            <w:tcW w:w="3200" w:type="dxa"/>
            <w:vAlign w:val="bottom"/>
          </w:tcPr>
          <w:p>
            <w:pPr>
              <w:ind w:left="1160"/>
              <w:spacing w:after="0"/>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Sfernice, Ltd.</w:t>
            </w:r>
          </w:p>
        </w:tc>
        <w:tc>
          <w:tcPr>
            <w:tcW w:w="3200" w:type="dxa"/>
            <w:vAlign w:val="bottom"/>
          </w:tcPr>
          <w:p>
            <w:pPr>
              <w:ind w:left="1160"/>
              <w:spacing w:after="0"/>
              <w:rPr>
                <w:sz w:val="20"/>
                <w:szCs w:val="20"/>
                <w:color w:val="auto"/>
              </w:rPr>
            </w:pPr>
            <w:r>
              <w:rPr>
                <w:rFonts w:ascii="Arial" w:cs="Arial" w:eastAsia="Arial" w:hAnsi="Arial"/>
                <w:sz w:val="18"/>
                <w:szCs w:val="18"/>
                <w:color w:val="auto"/>
              </w:rPr>
              <w:t>England &amp; Wales</w:t>
            </w:r>
          </w:p>
        </w:tc>
        <w:tc>
          <w:tcPr>
            <w:tcW w:w="1020" w:type="dxa"/>
            <w:vAlign w:val="bottom"/>
          </w:tcPr>
          <w:p>
            <w:pPr>
              <w:spacing w:after="0"/>
              <w:rPr>
                <w:sz w:val="18"/>
                <w:szCs w:val="18"/>
                <w:color w:val="auto"/>
              </w:rPr>
            </w:pPr>
          </w:p>
        </w:tc>
      </w:tr>
      <w:tr>
        <w:trPr>
          <w:trHeight w:val="216"/>
        </w:trPr>
        <w:tc>
          <w:tcPr>
            <w:tcW w:w="6280" w:type="dxa"/>
            <w:vAlign w:val="bottom"/>
          </w:tcPr>
          <w:p>
            <w:pPr>
              <w:ind w:left="1740"/>
              <w:spacing w:after="0"/>
              <w:rPr>
                <w:sz w:val="20"/>
                <w:szCs w:val="20"/>
                <w:color w:val="auto"/>
              </w:rPr>
            </w:pPr>
            <w:r>
              <w:rPr>
                <w:rFonts w:ascii="Arial" w:cs="Arial" w:eastAsia="Arial" w:hAnsi="Arial"/>
                <w:sz w:val="18"/>
                <w:szCs w:val="18"/>
                <w:color w:val="auto"/>
              </w:rPr>
              <w:t>Heavybarter, Unlimited</w:t>
            </w:r>
          </w:p>
        </w:tc>
        <w:tc>
          <w:tcPr>
            <w:tcW w:w="3200" w:type="dxa"/>
            <w:vAlign w:val="bottom"/>
          </w:tcPr>
          <w:p>
            <w:pPr>
              <w:ind w:left="1160"/>
              <w:spacing w:after="0"/>
              <w:rPr>
                <w:sz w:val="20"/>
                <w:szCs w:val="20"/>
                <w:color w:val="auto"/>
              </w:rPr>
            </w:pPr>
            <w:r>
              <w:rPr>
                <w:rFonts w:ascii="Arial" w:cs="Arial" w:eastAsia="Arial" w:hAnsi="Arial"/>
                <w:sz w:val="18"/>
                <w:szCs w:val="18"/>
                <w:color w:val="auto"/>
              </w:rPr>
              <w:t>England &amp; Wales</w:t>
            </w:r>
          </w:p>
        </w:tc>
        <w:tc>
          <w:tcPr>
            <w:tcW w:w="1020" w:type="dxa"/>
            <w:vAlign w:val="bottom"/>
          </w:tcPr>
          <w:p>
            <w:pPr>
              <w:spacing w:after="0"/>
              <w:rPr>
                <w:sz w:val="18"/>
                <w:szCs w:val="18"/>
                <w:color w:val="auto"/>
              </w:rPr>
            </w:pPr>
          </w:p>
        </w:tc>
      </w:tr>
      <w:tr>
        <w:trPr>
          <w:trHeight w:val="216"/>
        </w:trPr>
        <w:tc>
          <w:tcPr>
            <w:tcW w:w="6280" w:type="dxa"/>
            <w:vAlign w:val="bottom"/>
          </w:tcPr>
          <w:p>
            <w:pPr>
              <w:ind w:left="1740"/>
              <w:spacing w:after="0"/>
              <w:rPr>
                <w:sz w:val="20"/>
                <w:szCs w:val="20"/>
                <w:color w:val="auto"/>
              </w:rPr>
            </w:pPr>
            <w:r>
              <w:rPr>
                <w:rFonts w:ascii="Arial" w:cs="Arial" w:eastAsia="Arial" w:hAnsi="Arial"/>
                <w:sz w:val="18"/>
                <w:szCs w:val="18"/>
                <w:color w:val="auto"/>
              </w:rPr>
              <w:t>Dale ACI Components</w:t>
            </w:r>
          </w:p>
        </w:tc>
        <w:tc>
          <w:tcPr>
            <w:tcW w:w="3200" w:type="dxa"/>
            <w:vAlign w:val="bottom"/>
          </w:tcPr>
          <w:p>
            <w:pPr>
              <w:ind w:left="1160"/>
              <w:spacing w:after="0"/>
              <w:rPr>
                <w:sz w:val="20"/>
                <w:szCs w:val="20"/>
                <w:color w:val="auto"/>
              </w:rPr>
            </w:pPr>
            <w:r>
              <w:rPr>
                <w:rFonts w:ascii="Arial" w:cs="Arial" w:eastAsia="Arial" w:hAnsi="Arial"/>
                <w:sz w:val="18"/>
                <w:szCs w:val="18"/>
                <w:color w:val="auto"/>
              </w:rPr>
              <w:t>England</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Vishay Nobel AB</w:t>
            </w:r>
          </w:p>
        </w:tc>
        <w:tc>
          <w:tcPr>
            <w:tcW w:w="3200" w:type="dxa"/>
            <w:vAlign w:val="bottom"/>
          </w:tcPr>
          <w:p>
            <w:pPr>
              <w:ind w:left="1160"/>
              <w:spacing w:after="0"/>
              <w:rPr>
                <w:sz w:val="20"/>
                <w:szCs w:val="20"/>
                <w:color w:val="auto"/>
              </w:rPr>
            </w:pPr>
            <w:r>
              <w:rPr>
                <w:rFonts w:ascii="Arial" w:cs="Arial" w:eastAsia="Arial" w:hAnsi="Arial"/>
                <w:sz w:val="18"/>
                <w:szCs w:val="18"/>
                <w:color w:val="auto"/>
              </w:rPr>
              <w:t>Sweden</w:t>
            </w:r>
          </w:p>
        </w:tc>
        <w:tc>
          <w:tcPr>
            <w:tcW w:w="1020" w:type="dxa"/>
            <w:vAlign w:val="bottom"/>
          </w:tcPr>
          <w:p>
            <w:pPr>
              <w:spacing w:after="0"/>
              <w:rPr>
                <w:sz w:val="18"/>
                <w:szCs w:val="18"/>
                <w:color w:val="auto"/>
              </w:rPr>
            </w:pPr>
          </w:p>
        </w:tc>
      </w:tr>
      <w:tr>
        <w:trPr>
          <w:trHeight w:val="216"/>
        </w:trPr>
        <w:tc>
          <w:tcPr>
            <w:tcW w:w="6280" w:type="dxa"/>
            <w:vAlign w:val="bottom"/>
          </w:tcPr>
          <w:p>
            <w:pPr>
              <w:ind w:left="1740"/>
              <w:spacing w:after="0"/>
              <w:rPr>
                <w:sz w:val="20"/>
                <w:szCs w:val="20"/>
                <w:color w:val="auto"/>
              </w:rPr>
            </w:pPr>
            <w:r>
              <w:rPr>
                <w:rFonts w:ascii="Arial" w:cs="Arial" w:eastAsia="Arial" w:hAnsi="Arial"/>
                <w:sz w:val="18"/>
                <w:szCs w:val="18"/>
                <w:color w:val="auto"/>
              </w:rPr>
              <w:t>AB Givareteknik</w:t>
            </w:r>
          </w:p>
        </w:tc>
        <w:tc>
          <w:tcPr>
            <w:tcW w:w="3200" w:type="dxa"/>
            <w:vAlign w:val="bottom"/>
          </w:tcPr>
          <w:p>
            <w:pPr>
              <w:ind w:left="1160"/>
              <w:spacing w:after="0"/>
              <w:rPr>
                <w:sz w:val="20"/>
                <w:szCs w:val="20"/>
                <w:color w:val="auto"/>
              </w:rPr>
            </w:pPr>
            <w:r>
              <w:rPr>
                <w:rFonts w:ascii="Arial" w:cs="Arial" w:eastAsia="Arial" w:hAnsi="Arial"/>
                <w:sz w:val="18"/>
                <w:szCs w:val="18"/>
                <w:color w:val="auto"/>
              </w:rPr>
              <w:t>Sweden</w:t>
            </w:r>
          </w:p>
        </w:tc>
        <w:tc>
          <w:tcPr>
            <w:tcW w:w="1020" w:type="dxa"/>
            <w:vAlign w:val="bottom"/>
          </w:tcPr>
          <w:p>
            <w:pPr>
              <w:spacing w:after="0"/>
              <w:rPr>
                <w:sz w:val="18"/>
                <w:szCs w:val="18"/>
                <w:color w:val="auto"/>
              </w:rPr>
            </w:pPr>
          </w:p>
        </w:tc>
      </w:tr>
      <w:tr>
        <w:trPr>
          <w:trHeight w:val="216"/>
        </w:trPr>
        <w:tc>
          <w:tcPr>
            <w:tcW w:w="6280" w:type="dxa"/>
            <w:vAlign w:val="bottom"/>
          </w:tcPr>
          <w:p>
            <w:pPr>
              <w:ind w:left="1740"/>
              <w:spacing w:after="0"/>
              <w:rPr>
                <w:sz w:val="20"/>
                <w:szCs w:val="20"/>
                <w:color w:val="auto"/>
              </w:rPr>
            </w:pPr>
            <w:r>
              <w:rPr>
                <w:rFonts w:ascii="Arial" w:cs="Arial" w:eastAsia="Arial" w:hAnsi="Arial"/>
                <w:sz w:val="18"/>
                <w:szCs w:val="18"/>
                <w:color w:val="auto"/>
              </w:rPr>
              <w:t>Vishay Nobel Oy AB</w:t>
            </w:r>
          </w:p>
        </w:tc>
        <w:tc>
          <w:tcPr>
            <w:tcW w:w="3200" w:type="dxa"/>
            <w:vAlign w:val="bottom"/>
          </w:tcPr>
          <w:p>
            <w:pPr>
              <w:ind w:left="1160"/>
              <w:spacing w:after="0"/>
              <w:rPr>
                <w:sz w:val="20"/>
                <w:szCs w:val="20"/>
                <w:color w:val="auto"/>
              </w:rPr>
            </w:pPr>
            <w:r>
              <w:rPr>
                <w:rFonts w:ascii="Arial" w:cs="Arial" w:eastAsia="Arial" w:hAnsi="Arial"/>
                <w:sz w:val="18"/>
                <w:szCs w:val="18"/>
                <w:color w:val="auto"/>
              </w:rPr>
              <w:t>Finland</w:t>
            </w:r>
          </w:p>
        </w:tc>
        <w:tc>
          <w:tcPr>
            <w:tcW w:w="1020" w:type="dxa"/>
            <w:vAlign w:val="bottom"/>
          </w:tcPr>
          <w:p>
            <w:pPr>
              <w:spacing w:after="0"/>
              <w:rPr>
                <w:sz w:val="18"/>
                <w:szCs w:val="18"/>
                <w:color w:val="auto"/>
              </w:rPr>
            </w:pPr>
          </w:p>
        </w:tc>
      </w:tr>
      <w:tr>
        <w:trPr>
          <w:trHeight w:val="216"/>
        </w:trPr>
        <w:tc>
          <w:tcPr>
            <w:tcW w:w="6280" w:type="dxa"/>
            <w:vAlign w:val="bottom"/>
          </w:tcPr>
          <w:p>
            <w:pPr>
              <w:ind w:left="1740"/>
              <w:spacing w:after="0"/>
              <w:rPr>
                <w:sz w:val="20"/>
                <w:szCs w:val="20"/>
                <w:color w:val="auto"/>
              </w:rPr>
            </w:pPr>
            <w:r>
              <w:rPr>
                <w:rFonts w:ascii="Arial" w:cs="Arial" w:eastAsia="Arial" w:hAnsi="Arial"/>
                <w:sz w:val="18"/>
                <w:szCs w:val="18"/>
                <w:color w:val="auto"/>
              </w:rPr>
              <w:t>Vishay Nobel AS</w:t>
            </w:r>
          </w:p>
        </w:tc>
        <w:tc>
          <w:tcPr>
            <w:tcW w:w="3200" w:type="dxa"/>
            <w:vAlign w:val="bottom"/>
          </w:tcPr>
          <w:p>
            <w:pPr>
              <w:ind w:left="1160"/>
              <w:spacing w:after="0"/>
              <w:rPr>
                <w:sz w:val="20"/>
                <w:szCs w:val="20"/>
                <w:color w:val="auto"/>
              </w:rPr>
            </w:pPr>
            <w:r>
              <w:rPr>
                <w:rFonts w:ascii="Arial" w:cs="Arial" w:eastAsia="Arial" w:hAnsi="Arial"/>
                <w:sz w:val="18"/>
                <w:szCs w:val="18"/>
                <w:color w:val="auto"/>
              </w:rPr>
              <w:t>Norway</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Measurements Group GmbH</w:t>
            </w:r>
          </w:p>
        </w:tc>
        <w:tc>
          <w:tcPr>
            <w:tcW w:w="3200" w:type="dxa"/>
            <w:vAlign w:val="bottom"/>
          </w:tcPr>
          <w:p>
            <w:pPr>
              <w:ind w:left="1160"/>
              <w:spacing w:after="0"/>
              <w:rPr>
                <w:sz w:val="20"/>
                <w:szCs w:val="20"/>
                <w:color w:val="auto"/>
              </w:rPr>
            </w:pPr>
            <w:r>
              <w:rPr>
                <w:rFonts w:ascii="Arial" w:cs="Arial" w:eastAsia="Arial" w:hAnsi="Arial"/>
                <w:sz w:val="18"/>
                <w:szCs w:val="18"/>
                <w:color w:val="auto"/>
              </w:rPr>
              <w:t>Germany</w:t>
            </w:r>
          </w:p>
        </w:tc>
        <w:tc>
          <w:tcPr>
            <w:tcW w:w="1020" w:type="dxa"/>
            <w:vAlign w:val="bottom"/>
          </w:tcPr>
          <w:p>
            <w:pPr>
              <w:spacing w:after="0"/>
              <w:rPr>
                <w:sz w:val="18"/>
                <w:szCs w:val="18"/>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Vishay Semiconductor GmbH</w:t>
            </w:r>
          </w:p>
        </w:tc>
        <w:tc>
          <w:tcPr>
            <w:tcW w:w="3200" w:type="dxa"/>
            <w:vAlign w:val="bottom"/>
          </w:tcPr>
          <w:p>
            <w:pPr>
              <w:ind w:left="1160"/>
              <w:spacing w:after="0"/>
              <w:rPr>
                <w:sz w:val="20"/>
                <w:szCs w:val="20"/>
                <w:color w:val="auto"/>
              </w:rPr>
            </w:pPr>
            <w:r>
              <w:rPr>
                <w:rFonts w:ascii="Arial" w:cs="Arial" w:eastAsia="Arial" w:hAnsi="Arial"/>
                <w:sz w:val="18"/>
                <w:szCs w:val="18"/>
                <w:color w:val="auto"/>
              </w:rPr>
              <w:t>Germany</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Facility Service GmbH</w:t>
            </w:r>
          </w:p>
        </w:tc>
        <w:tc>
          <w:tcPr>
            <w:tcW w:w="3200" w:type="dxa"/>
            <w:vAlign w:val="bottom"/>
          </w:tcPr>
          <w:p>
            <w:pPr>
              <w:ind w:left="1160"/>
              <w:spacing w:after="0"/>
              <w:rPr>
                <w:sz w:val="20"/>
                <w:szCs w:val="20"/>
                <w:color w:val="auto"/>
              </w:rPr>
            </w:pPr>
            <w:r>
              <w:rPr>
                <w:rFonts w:ascii="Arial" w:cs="Arial" w:eastAsia="Arial" w:hAnsi="Arial"/>
                <w:sz w:val="18"/>
                <w:szCs w:val="18"/>
                <w:color w:val="auto"/>
              </w:rPr>
              <w:t>Germany</w:t>
            </w:r>
          </w:p>
        </w:tc>
        <w:tc>
          <w:tcPr>
            <w:tcW w:w="1020" w:type="dxa"/>
            <w:vAlign w:val="bottom"/>
          </w:tcPr>
          <w:p>
            <w:pPr>
              <w:ind w:left="800"/>
              <w:spacing w:after="0"/>
              <w:rPr>
                <w:sz w:val="20"/>
                <w:szCs w:val="20"/>
                <w:color w:val="auto"/>
              </w:rPr>
            </w:pPr>
            <w:r>
              <w:rPr>
                <w:rFonts w:ascii="Arial" w:cs="Arial" w:eastAsia="Arial" w:hAnsi="Arial"/>
                <w:sz w:val="18"/>
                <w:szCs w:val="18"/>
                <w:color w:val="auto"/>
                <w:w w:val="95"/>
              </w:rPr>
              <w:t>(k)</w:t>
            </w: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Vishay (Phils.) Inc.</w:t>
            </w:r>
          </w:p>
        </w:tc>
        <w:tc>
          <w:tcPr>
            <w:tcW w:w="3200" w:type="dxa"/>
            <w:vAlign w:val="bottom"/>
          </w:tcPr>
          <w:p>
            <w:pPr>
              <w:ind w:left="1160"/>
              <w:spacing w:after="0"/>
              <w:rPr>
                <w:sz w:val="20"/>
                <w:szCs w:val="20"/>
                <w:color w:val="auto"/>
              </w:rPr>
            </w:pPr>
            <w:r>
              <w:rPr>
                <w:rFonts w:ascii="Arial" w:cs="Arial" w:eastAsia="Arial" w:hAnsi="Arial"/>
                <w:sz w:val="18"/>
                <w:szCs w:val="18"/>
                <w:color w:val="auto"/>
              </w:rPr>
              <w:t>Philippines</w:t>
            </w:r>
          </w:p>
        </w:tc>
        <w:tc>
          <w:tcPr>
            <w:tcW w:w="1020" w:type="dxa"/>
            <w:vAlign w:val="bottom"/>
          </w:tcPr>
          <w:p>
            <w:pPr>
              <w:spacing w:after="0"/>
              <w:rPr>
                <w:sz w:val="18"/>
                <w:szCs w:val="18"/>
                <w:color w:val="auto"/>
              </w:rPr>
            </w:pP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Vishay Semiconductor Ges.mbH</w:t>
            </w:r>
          </w:p>
        </w:tc>
        <w:tc>
          <w:tcPr>
            <w:tcW w:w="3200" w:type="dxa"/>
            <w:vAlign w:val="bottom"/>
          </w:tcPr>
          <w:p>
            <w:pPr>
              <w:ind w:left="1160"/>
              <w:spacing w:after="0"/>
              <w:rPr>
                <w:sz w:val="20"/>
                <w:szCs w:val="20"/>
                <w:color w:val="auto"/>
              </w:rPr>
            </w:pPr>
            <w:r>
              <w:rPr>
                <w:rFonts w:ascii="Arial" w:cs="Arial" w:eastAsia="Arial" w:hAnsi="Arial"/>
                <w:sz w:val="18"/>
                <w:szCs w:val="18"/>
                <w:color w:val="auto"/>
              </w:rPr>
              <w:t>Austria</w:t>
            </w:r>
          </w:p>
        </w:tc>
        <w:tc>
          <w:tcPr>
            <w:tcW w:w="1020" w:type="dxa"/>
            <w:vAlign w:val="bottom"/>
          </w:tcPr>
          <w:p>
            <w:pPr>
              <w:ind w:left="800"/>
              <w:spacing w:after="0"/>
              <w:rPr>
                <w:sz w:val="20"/>
                <w:szCs w:val="20"/>
                <w:color w:val="auto"/>
              </w:rPr>
            </w:pPr>
            <w:r>
              <w:rPr>
                <w:rFonts w:ascii="Arial" w:cs="Arial" w:eastAsia="Arial" w:hAnsi="Arial"/>
                <w:sz w:val="18"/>
                <w:szCs w:val="18"/>
                <w:color w:val="auto"/>
              </w:rPr>
              <w:t>(l)</w:t>
            </w:r>
          </w:p>
        </w:tc>
      </w:tr>
      <w:tr>
        <w:trPr>
          <w:trHeight w:val="216"/>
        </w:trPr>
        <w:tc>
          <w:tcPr>
            <w:tcW w:w="6280" w:type="dxa"/>
            <w:vAlign w:val="bottom"/>
          </w:tcPr>
          <w:p>
            <w:pPr>
              <w:ind w:left="1300"/>
              <w:spacing w:after="0"/>
              <w:rPr>
                <w:sz w:val="20"/>
                <w:szCs w:val="20"/>
                <w:color w:val="auto"/>
              </w:rPr>
            </w:pPr>
            <w:r>
              <w:rPr>
                <w:rFonts w:ascii="Arial" w:cs="Arial" w:eastAsia="Arial" w:hAnsi="Arial"/>
                <w:sz w:val="18"/>
                <w:szCs w:val="18"/>
                <w:color w:val="auto"/>
              </w:rPr>
              <w:t>Shanghai Vishay Semiconductors Ltd.</w:t>
            </w:r>
          </w:p>
        </w:tc>
        <w:tc>
          <w:tcPr>
            <w:tcW w:w="3200" w:type="dxa"/>
            <w:vAlign w:val="bottom"/>
          </w:tcPr>
          <w:p>
            <w:pPr>
              <w:ind w:left="1160"/>
              <w:spacing w:after="0"/>
              <w:rPr>
                <w:sz w:val="20"/>
                <w:szCs w:val="20"/>
                <w:color w:val="auto"/>
              </w:rPr>
            </w:pPr>
            <w:r>
              <w:rPr>
                <w:rFonts w:ascii="Arial" w:cs="Arial" w:eastAsia="Arial" w:hAnsi="Arial"/>
                <w:sz w:val="18"/>
                <w:szCs w:val="18"/>
                <w:color w:val="auto"/>
              </w:rPr>
              <w:t>China</w:t>
            </w:r>
          </w:p>
        </w:tc>
        <w:tc>
          <w:tcPr>
            <w:tcW w:w="1020" w:type="dxa"/>
            <w:vAlign w:val="bottom"/>
          </w:tcPr>
          <w:p>
            <w:pPr>
              <w:spacing w:after="0"/>
              <w:rPr>
                <w:sz w:val="18"/>
                <w:szCs w:val="18"/>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Vishay Hungary KFT</w:t>
            </w:r>
          </w:p>
        </w:tc>
        <w:tc>
          <w:tcPr>
            <w:tcW w:w="3200" w:type="dxa"/>
            <w:vAlign w:val="bottom"/>
          </w:tcPr>
          <w:p>
            <w:pPr>
              <w:ind w:left="1160"/>
              <w:spacing w:after="0"/>
              <w:rPr>
                <w:sz w:val="20"/>
                <w:szCs w:val="20"/>
                <w:color w:val="auto"/>
              </w:rPr>
            </w:pPr>
            <w:r>
              <w:rPr>
                <w:rFonts w:ascii="Arial" w:cs="Arial" w:eastAsia="Arial" w:hAnsi="Arial"/>
                <w:sz w:val="18"/>
                <w:szCs w:val="18"/>
                <w:color w:val="auto"/>
              </w:rPr>
              <w:t>Hungary</w:t>
            </w:r>
          </w:p>
        </w:tc>
        <w:tc>
          <w:tcPr>
            <w:tcW w:w="1020" w:type="dxa"/>
            <w:vAlign w:val="bottom"/>
          </w:tcPr>
          <w:p>
            <w:pPr>
              <w:spacing w:after="0"/>
              <w:rPr>
                <w:sz w:val="18"/>
                <w:szCs w:val="18"/>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Vishay Semiconductor Malaysia Sdn Bhd</w:t>
            </w:r>
          </w:p>
        </w:tc>
        <w:tc>
          <w:tcPr>
            <w:tcW w:w="3200" w:type="dxa"/>
            <w:vAlign w:val="bottom"/>
          </w:tcPr>
          <w:p>
            <w:pPr>
              <w:ind w:left="1160"/>
              <w:spacing w:after="0"/>
              <w:rPr>
                <w:sz w:val="20"/>
                <w:szCs w:val="20"/>
                <w:color w:val="auto"/>
              </w:rPr>
            </w:pPr>
            <w:r>
              <w:rPr>
                <w:rFonts w:ascii="Arial" w:cs="Arial" w:eastAsia="Arial" w:hAnsi="Arial"/>
                <w:sz w:val="18"/>
                <w:szCs w:val="18"/>
                <w:color w:val="auto"/>
              </w:rPr>
              <w:t>Malaysia</w:t>
            </w:r>
          </w:p>
        </w:tc>
        <w:tc>
          <w:tcPr>
            <w:tcW w:w="1020" w:type="dxa"/>
            <w:vAlign w:val="bottom"/>
          </w:tcPr>
          <w:p>
            <w:pPr>
              <w:spacing w:after="0"/>
              <w:rPr>
                <w:sz w:val="18"/>
                <w:szCs w:val="18"/>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Vishay Dale Holdings, Inc.</w:t>
            </w:r>
          </w:p>
        </w:tc>
        <w:tc>
          <w:tcPr>
            <w:tcW w:w="3200" w:type="dxa"/>
            <w:vAlign w:val="bottom"/>
          </w:tcPr>
          <w:p>
            <w:pPr>
              <w:ind w:left="1160"/>
              <w:spacing w:after="0"/>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18"/>
                <w:szCs w:val="18"/>
                <w:color w:val="auto"/>
              </w:rPr>
            </w:pPr>
          </w:p>
        </w:tc>
      </w:tr>
      <w:tr>
        <w:trPr>
          <w:trHeight w:val="216"/>
        </w:trPr>
        <w:tc>
          <w:tcPr>
            <w:tcW w:w="6280" w:type="dxa"/>
            <w:vAlign w:val="bottom"/>
          </w:tcPr>
          <w:p>
            <w:pPr>
              <w:ind w:left="440"/>
              <w:spacing w:after="0"/>
              <w:rPr>
                <w:sz w:val="20"/>
                <w:szCs w:val="20"/>
                <w:color w:val="auto"/>
              </w:rPr>
            </w:pPr>
            <w:r>
              <w:rPr>
                <w:rFonts w:ascii="Arial" w:cs="Arial" w:eastAsia="Arial" w:hAnsi="Arial"/>
                <w:sz w:val="18"/>
                <w:szCs w:val="18"/>
                <w:color w:val="auto"/>
              </w:rPr>
              <w:t>Vishay Dale Electronics, Inc.</w:t>
            </w:r>
          </w:p>
        </w:tc>
        <w:tc>
          <w:tcPr>
            <w:tcW w:w="3200" w:type="dxa"/>
            <w:vAlign w:val="bottom"/>
          </w:tcPr>
          <w:p>
            <w:pPr>
              <w:ind w:left="1160"/>
              <w:spacing w:after="0"/>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18"/>
                <w:szCs w:val="18"/>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Components Dale de Mexico S.A. de C.V.</w:t>
            </w:r>
          </w:p>
        </w:tc>
        <w:tc>
          <w:tcPr>
            <w:tcW w:w="3200" w:type="dxa"/>
            <w:vAlign w:val="bottom"/>
          </w:tcPr>
          <w:p>
            <w:pPr>
              <w:ind w:left="1160"/>
              <w:spacing w:after="0"/>
              <w:rPr>
                <w:sz w:val="20"/>
                <w:szCs w:val="20"/>
                <w:color w:val="auto"/>
              </w:rPr>
            </w:pPr>
            <w:r>
              <w:rPr>
                <w:rFonts w:ascii="Arial" w:cs="Arial" w:eastAsia="Arial" w:hAnsi="Arial"/>
                <w:sz w:val="18"/>
                <w:szCs w:val="18"/>
                <w:color w:val="auto"/>
              </w:rPr>
              <w:t>Mexico</w:t>
            </w:r>
          </w:p>
        </w:tc>
        <w:tc>
          <w:tcPr>
            <w:tcW w:w="1020" w:type="dxa"/>
            <w:vAlign w:val="bottom"/>
          </w:tcPr>
          <w:p>
            <w:pPr>
              <w:spacing w:after="0"/>
              <w:rPr>
                <w:sz w:val="18"/>
                <w:szCs w:val="18"/>
                <w:color w:val="auto"/>
              </w:rPr>
            </w:pPr>
          </w:p>
        </w:tc>
      </w:tr>
      <w:tr>
        <w:trPr>
          <w:trHeight w:val="216"/>
        </w:trPr>
        <w:tc>
          <w:tcPr>
            <w:tcW w:w="6280" w:type="dxa"/>
            <w:vAlign w:val="bottom"/>
          </w:tcPr>
          <w:p>
            <w:pPr>
              <w:ind w:left="880"/>
              <w:spacing w:after="0"/>
              <w:rPr>
                <w:sz w:val="20"/>
                <w:szCs w:val="20"/>
                <w:color w:val="auto"/>
              </w:rPr>
            </w:pPr>
            <w:r>
              <w:rPr>
                <w:rFonts w:ascii="Arial" w:cs="Arial" w:eastAsia="Arial" w:hAnsi="Arial"/>
                <w:sz w:val="18"/>
                <w:szCs w:val="18"/>
                <w:color w:val="auto"/>
              </w:rPr>
              <w:t>Electronica Dale de Mexico S.A. de C.V.</w:t>
            </w:r>
          </w:p>
        </w:tc>
        <w:tc>
          <w:tcPr>
            <w:tcW w:w="3200" w:type="dxa"/>
            <w:vAlign w:val="bottom"/>
          </w:tcPr>
          <w:p>
            <w:pPr>
              <w:ind w:left="1160"/>
              <w:spacing w:after="0"/>
              <w:rPr>
                <w:sz w:val="20"/>
                <w:szCs w:val="20"/>
                <w:color w:val="auto"/>
              </w:rPr>
            </w:pPr>
            <w:r>
              <w:rPr>
                <w:rFonts w:ascii="Arial" w:cs="Arial" w:eastAsia="Arial" w:hAnsi="Arial"/>
                <w:sz w:val="18"/>
                <w:szCs w:val="18"/>
                <w:color w:val="auto"/>
              </w:rPr>
              <w:t>Mexico</w:t>
            </w:r>
          </w:p>
        </w:tc>
        <w:tc>
          <w:tcPr>
            <w:tcW w:w="1020" w:type="dxa"/>
            <w:vAlign w:val="bottom"/>
          </w:tcPr>
          <w:p>
            <w:pPr>
              <w:spacing w:after="0"/>
              <w:rPr>
                <w:sz w:val="18"/>
                <w:szCs w:val="18"/>
                <w:color w:val="auto"/>
              </w:rPr>
            </w:pPr>
          </w:p>
        </w:tc>
      </w:tr>
      <w:tr>
        <w:trPr>
          <w:trHeight w:val="222"/>
        </w:trPr>
        <w:tc>
          <w:tcPr>
            <w:tcW w:w="6280" w:type="dxa"/>
            <w:vAlign w:val="bottom"/>
          </w:tcPr>
          <w:p>
            <w:pPr>
              <w:ind w:left="440"/>
              <w:spacing w:after="0"/>
              <w:rPr>
                <w:sz w:val="20"/>
                <w:szCs w:val="20"/>
                <w:color w:val="auto"/>
              </w:rPr>
            </w:pPr>
            <w:r>
              <w:rPr>
                <w:rFonts w:ascii="Arial" w:cs="Arial" w:eastAsia="Arial" w:hAnsi="Arial"/>
                <w:sz w:val="18"/>
                <w:szCs w:val="18"/>
                <w:color w:val="auto"/>
              </w:rPr>
              <w:t>Bradford Electronics, Inc.</w:t>
            </w:r>
          </w:p>
        </w:tc>
        <w:tc>
          <w:tcPr>
            <w:tcW w:w="3200" w:type="dxa"/>
            <w:vAlign w:val="bottom"/>
          </w:tcPr>
          <w:p>
            <w:pPr>
              <w:ind w:left="1160"/>
              <w:spacing w:after="0"/>
              <w:rPr>
                <w:sz w:val="20"/>
                <w:szCs w:val="20"/>
                <w:color w:val="auto"/>
              </w:rPr>
            </w:pPr>
            <w:r>
              <w:rPr>
                <w:rFonts w:ascii="Arial" w:cs="Arial" w:eastAsia="Arial" w:hAnsi="Arial"/>
                <w:sz w:val="18"/>
                <w:szCs w:val="18"/>
                <w:color w:val="auto"/>
              </w:rPr>
              <w:t>Delaware</w:t>
            </w:r>
          </w:p>
        </w:tc>
        <w:tc>
          <w:tcPr>
            <w:tcW w:w="1020" w:type="dxa"/>
            <w:vAlign w:val="bottom"/>
          </w:tcPr>
          <w:p>
            <w:pPr>
              <w:spacing w:after="0"/>
              <w:rPr>
                <w:sz w:val="19"/>
                <w:szCs w:val="19"/>
                <w:color w:val="auto"/>
              </w:rPr>
            </w:pPr>
          </w:p>
        </w:tc>
      </w:tr>
    </w:tbl>
    <w:p>
      <w:pPr>
        <w:sectPr>
          <w:pgSz w:w="11900" w:h="16838" w:orient="portrait"/>
          <w:cols w:equalWidth="0" w:num="1">
            <w:col w:w="10500"/>
          </w:cols>
          <w:pgMar w:left="240" w:top="584" w:right="1159" w:bottom="1440" w:gutter="0" w:footer="0" w:header="0"/>
        </w:sectPr>
      </w:pPr>
    </w:p>
    <w:bookmarkStart w:id="121" w:name="page122"/>
    <w:bookmarkEnd w:id="121"/>
    <w:p>
      <w:pPr>
        <w:spacing w:after="0"/>
        <w:rPr>
          <w:sz w:val="20"/>
          <w:szCs w:val="20"/>
          <w:color w:val="auto"/>
        </w:rPr>
      </w:pPr>
      <w:r>
        <w:rPr>
          <w:rFonts w:ascii="Arial" w:cs="Arial" w:eastAsia="Arial" w:hAnsi="Arial"/>
          <w:sz w:val="15"/>
          <w:szCs w:val="15"/>
          <w:b w:val="1"/>
          <w:bCs w:val="1"/>
          <w:color w:val="auto"/>
        </w:rPr>
        <w:t>Subsidiaries of the Registrant (continued)</w:t>
      </w:r>
    </w:p>
    <w:p>
      <w:pPr>
        <w:sectPr>
          <w:pgSz w:w="11900" w:h="16838" w:orient="portrait"/>
          <w:cols w:equalWidth="0" w:num="1">
            <w:col w:w="11340"/>
          </w:cols>
          <w:pgMar w:left="240" w:top="584" w:right="319" w:bottom="1440" w:gutter="0" w:footer="0" w:header="0"/>
        </w:sect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Vishay Resistive Systems Inc.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Vishay Sprague Holdings Corp.</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6"/>
          <w:szCs w:val="16"/>
          <w:color w:val="auto"/>
        </w:rPr>
        <w:t>Vishay Precision Resistors Holdings Corporation</w:t>
      </w:r>
    </w:p>
    <w:p>
      <w:pPr>
        <w:spacing w:after="0" w:line="3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Vishay Thin Film LLC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Vishay Techno Components LLC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Vishay Service Center,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Vishay Sprague,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Vishay Sprague Canada Holdings Inc.</w:t>
      </w:r>
    </w:p>
    <w:p>
      <w:pPr>
        <w:spacing w:after="0" w:line="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Sprague Electric of Canada Limited</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Sprague France S.A.S.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Vishay Acquisition Holdings Corp.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Vishay Vitramon, Inc.</w:t>
      </w:r>
    </w:p>
    <w:p>
      <w:pPr>
        <w:spacing w:after="0" w:line="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Vishay do Brazil Ltda.</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Maryland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Massachusetts</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Canada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Delaware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Brazil</w:t>
      </w:r>
    </w:p>
    <w:p>
      <w:pPr>
        <w:spacing w:after="0" w:line="200" w:lineRule="exact"/>
        <w:rPr>
          <w:sz w:val="20"/>
          <w:szCs w:val="20"/>
          <w:color w:val="auto"/>
        </w:rPr>
      </w:pPr>
    </w:p>
    <w:p>
      <w:pPr>
        <w:sectPr>
          <w:pgSz w:w="11900" w:h="16838" w:orient="portrait"/>
          <w:cols w:equalWidth="0" w:num="2">
            <w:col w:w="6720" w:space="720"/>
            <w:col w:w="3900"/>
          </w:cols>
          <w:pgMar w:left="240" w:top="584" w:right="319" w:bottom="1440" w:gutter="0" w:footer="0" w:header="0"/>
          <w:type w:val="continuous"/>
        </w:sectPr>
      </w:pPr>
    </w:p>
    <w:p>
      <w:pPr>
        <w:spacing w:after="0" w:line="46" w:lineRule="exact"/>
        <w:rPr>
          <w:sz w:val="20"/>
          <w:szCs w:val="20"/>
          <w:color w:val="auto"/>
        </w:rPr>
      </w:pPr>
    </w:p>
    <w:p>
      <w:pPr>
        <w:ind w:left="240" w:hanging="232"/>
        <w:spacing w:after="0"/>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Registrant’s indirect ownership percentage in Shanghai Simconix Electronic Company Ltd. is 96%.</w:t>
      </w:r>
    </w:p>
    <w:p>
      <w:pPr>
        <w:spacing w:after="0" w:line="157" w:lineRule="exact"/>
        <w:rPr>
          <w:rFonts w:ascii="Arial" w:cs="Arial" w:eastAsia="Arial" w:hAnsi="Arial"/>
          <w:sz w:val="18"/>
          <w:szCs w:val="18"/>
          <w:color w:val="auto"/>
        </w:rPr>
      </w:pPr>
    </w:p>
    <w:p>
      <w:pPr>
        <w:ind w:left="460" w:hanging="452"/>
        <w:spacing w:after="0" w:line="268" w:lineRule="auto"/>
        <w:tabs>
          <w:tab w:leader="none" w:pos="249" w:val="left"/>
        </w:tabs>
        <w:numPr>
          <w:ilvl w:val="0"/>
          <w:numId w:val="19"/>
        </w:numPr>
        <w:rPr>
          <w:rFonts w:ascii="Arial" w:cs="Arial" w:eastAsia="Arial" w:hAnsi="Arial"/>
          <w:sz w:val="18"/>
          <w:szCs w:val="18"/>
          <w:color w:val="auto"/>
        </w:rPr>
      </w:pPr>
      <w:r>
        <w:rPr>
          <w:rFonts w:ascii="Arial" w:cs="Arial" w:eastAsia="Arial" w:hAnsi="Arial"/>
          <w:sz w:val="18"/>
          <w:szCs w:val="18"/>
          <w:color w:val="auto"/>
        </w:rPr>
        <w:t>- Registrant’s indirect ownership percentage in Vishay General Semiconductor, L.P. is 100%; 1% is owned by its indirectly wholly owned subsidiary Vishay GSI Holdings, LLC, and 99% is owned by its wholly owned subsidiary Vishay GSI, Inc.</w:t>
      </w:r>
    </w:p>
    <w:p>
      <w:pPr>
        <w:spacing w:after="0" w:line="118" w:lineRule="exact"/>
        <w:rPr>
          <w:rFonts w:ascii="Arial" w:cs="Arial" w:eastAsia="Arial" w:hAnsi="Arial"/>
          <w:sz w:val="18"/>
          <w:szCs w:val="18"/>
          <w:color w:val="auto"/>
        </w:rPr>
      </w:pPr>
    </w:p>
    <w:p>
      <w:pPr>
        <w:ind w:left="460" w:right="620" w:hanging="452"/>
        <w:spacing w:after="0" w:line="268"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Registrant’s indirect ownership percentage in General Semiconductor Japan, Ltd. is 100%; 50% is owned by its wholly owned subsidiary General Semiconductor International and 50% is owned by its wholly owned subsidiary General Semiconductor Inc.</w:t>
      </w:r>
    </w:p>
    <w:p>
      <w:pPr>
        <w:spacing w:after="0" w:line="118" w:lineRule="exact"/>
        <w:rPr>
          <w:rFonts w:ascii="Arial" w:cs="Arial" w:eastAsia="Arial" w:hAnsi="Arial"/>
          <w:sz w:val="18"/>
          <w:szCs w:val="18"/>
          <w:color w:val="auto"/>
        </w:rPr>
      </w:pPr>
    </w:p>
    <w:p>
      <w:pPr>
        <w:ind w:left="260" w:hanging="252"/>
        <w:spacing w:after="0"/>
        <w:tabs>
          <w:tab w:leader="none" w:pos="2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Registrant’s indirect ownership percentage in Sensortronics Sanmar Ltd. is 49%.</w:t>
      </w:r>
    </w:p>
    <w:p>
      <w:pPr>
        <w:spacing w:after="0" w:line="157" w:lineRule="exact"/>
        <w:rPr>
          <w:rFonts w:ascii="Arial" w:cs="Arial" w:eastAsia="Arial" w:hAnsi="Arial"/>
          <w:sz w:val="18"/>
          <w:szCs w:val="18"/>
          <w:color w:val="auto"/>
        </w:rPr>
      </w:pPr>
    </w:p>
    <w:p>
      <w:pPr>
        <w:ind w:left="460" w:right="660" w:hanging="452"/>
        <w:spacing w:after="0" w:line="268" w:lineRule="auto"/>
        <w:tabs>
          <w:tab w:leader="none" w:pos="2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Registrant’s indirect ownership percentage in Celtron Technologies (Tianjin) Inc. is 100%; 68% is owned by its wholly owned subsidiary Celtron Technologies Inc. and 32% is owned by its wholly owned subsidiary UCC Investment Co. Ltd.</w:t>
      </w:r>
    </w:p>
    <w:p>
      <w:pPr>
        <w:spacing w:after="0" w:line="118" w:lineRule="exact"/>
        <w:rPr>
          <w:rFonts w:ascii="Arial" w:cs="Arial" w:eastAsia="Arial" w:hAnsi="Arial"/>
          <w:sz w:val="18"/>
          <w:szCs w:val="18"/>
          <w:color w:val="auto"/>
        </w:rPr>
      </w:pPr>
    </w:p>
    <w:p>
      <w:pPr>
        <w:ind w:left="220" w:hanging="212"/>
        <w:spacing w:after="0"/>
        <w:tabs>
          <w:tab w:leader="none" w:pos="220" w:val="left"/>
        </w:tabs>
        <w:numPr>
          <w:ilvl w:val="0"/>
          <w:numId w:val="19"/>
        </w:numPr>
        <w:rPr>
          <w:rFonts w:ascii="Arial" w:cs="Arial" w:eastAsia="Arial" w:hAnsi="Arial"/>
          <w:sz w:val="16"/>
          <w:szCs w:val="16"/>
          <w:color w:val="auto"/>
        </w:rPr>
      </w:pPr>
      <w:r>
        <w:rPr>
          <w:rFonts w:ascii="Arial" w:cs="Arial" w:eastAsia="Arial" w:hAnsi="Arial"/>
          <w:sz w:val="16"/>
          <w:szCs w:val="16"/>
          <w:color w:val="auto"/>
        </w:rPr>
        <w:t>-  Registrant’s indirect ownership percentage in Vishay Europe GmbH is 100%; 85.9% is owned by its wholly owned subsidiary Vishay Israel Limited;</w:t>
      </w:r>
    </w:p>
    <w:p>
      <w:pPr>
        <w:spacing w:after="0" w:line="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13.1% is owned directly; and 1% is owned by its wholly owned subsidiary Vishay Dale Holdings, Inc.</w:t>
      </w:r>
    </w:p>
    <w:p>
      <w:pPr>
        <w:spacing w:after="0" w:line="151" w:lineRule="exact"/>
        <w:rPr>
          <w:sz w:val="20"/>
          <w:szCs w:val="20"/>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Registrant’s indirect ownership percentage in Klevestav-Roederstein Festigheter AB is 50%.</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Registrant’s indirect ownership percentage in Okab Roederstein Finland OY is 44.4%.</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Registrant’s indirect ownership percentage in Rogin Electronic S.A. is 33%.</w:t>
      </w:r>
    </w:p>
    <w:p>
      <w:pPr>
        <w:spacing w:after="0" w:line="157" w:lineRule="exact"/>
        <w:rPr>
          <w:rFonts w:ascii="Arial" w:cs="Arial" w:eastAsia="Arial" w:hAnsi="Arial"/>
          <w:sz w:val="18"/>
          <w:szCs w:val="18"/>
          <w:color w:val="auto"/>
        </w:rPr>
      </w:pPr>
    </w:p>
    <w:p>
      <w:pPr>
        <w:ind w:left="220" w:hanging="212"/>
        <w:spacing w:after="0"/>
        <w:tabs>
          <w:tab w:leader="none" w:pos="22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Registrant’s indirect ownership percentage in Vishay S.A. is 99.8%.</w:t>
      </w:r>
    </w:p>
    <w:p>
      <w:pPr>
        <w:spacing w:after="0" w:line="157" w:lineRule="exact"/>
        <w:rPr>
          <w:rFonts w:ascii="Arial" w:cs="Arial" w:eastAsia="Arial" w:hAnsi="Arial"/>
          <w:sz w:val="18"/>
          <w:szCs w:val="18"/>
          <w:color w:val="auto"/>
        </w:rPr>
      </w:pPr>
    </w:p>
    <w:p>
      <w:pPr>
        <w:ind w:left="260" w:hanging="252"/>
        <w:spacing w:after="0"/>
        <w:tabs>
          <w:tab w:leader="none" w:pos="2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Registrant’s indirect ownership percentage in Facility Service GmbH is 50%.</w:t>
      </w:r>
    </w:p>
    <w:p>
      <w:pPr>
        <w:spacing w:after="0" w:line="157" w:lineRule="exact"/>
        <w:rPr>
          <w:rFonts w:ascii="Arial" w:cs="Arial" w:eastAsia="Arial" w:hAnsi="Arial"/>
          <w:sz w:val="18"/>
          <w:szCs w:val="18"/>
          <w:color w:val="auto"/>
        </w:rPr>
      </w:pPr>
    </w:p>
    <w:p>
      <w:pPr>
        <w:ind w:left="460" w:right="60" w:hanging="452"/>
        <w:spacing w:after="0" w:line="259" w:lineRule="auto"/>
        <w:tabs>
          <w:tab w:leader="none" w:pos="210" w:val="left"/>
        </w:tabs>
        <w:numPr>
          <w:ilvl w:val="0"/>
          <w:numId w:val="20"/>
        </w:numPr>
        <w:rPr>
          <w:rFonts w:ascii="Arial" w:cs="Arial" w:eastAsia="Arial" w:hAnsi="Arial"/>
          <w:sz w:val="18"/>
          <w:szCs w:val="18"/>
          <w:color w:val="auto"/>
        </w:rPr>
      </w:pPr>
      <w:r>
        <w:rPr>
          <w:rFonts w:ascii="Arial" w:cs="Arial" w:eastAsia="Arial" w:hAnsi="Arial"/>
          <w:sz w:val="18"/>
          <w:szCs w:val="18"/>
          <w:color w:val="auto"/>
        </w:rPr>
        <w:t>- Registrant’s indirect ownership percentage in Vishay Semiconductor Ges.mbH is 100%; 54% is owned by its indirectly wholly owned subsidiary Sprague Electric of Canada; 44% is owned by its indirectly wholly owned subsidiary Vishay Semiconductor GmbH; and 2% is owned by its indirectly wholly owned subsidiary Vishay Electronic GmbH.</w:t>
      </w:r>
    </w:p>
    <w:p>
      <w:pPr>
        <w:sectPr>
          <w:pgSz w:w="11900" w:h="16838" w:orient="portrait"/>
          <w:cols w:equalWidth="0" w:num="1">
            <w:col w:w="11340"/>
          </w:cols>
          <w:pgMar w:left="240" w:top="584" w:right="319" w:bottom="1440" w:gutter="0" w:footer="0" w:header="0"/>
          <w:type w:val="continuous"/>
        </w:sectPr>
      </w:pPr>
    </w:p>
    <w:bookmarkStart w:id="122" w:name="page123"/>
    <w:bookmarkEnd w:id="122"/>
    <w:p>
      <w:pPr>
        <w:ind w:left="10560"/>
        <w:spacing w:after="0"/>
        <w:rPr>
          <w:sz w:val="20"/>
          <w:szCs w:val="20"/>
          <w:color w:val="auto"/>
        </w:rPr>
      </w:pPr>
      <w:r>
        <w:rPr>
          <w:rFonts w:ascii="Arial" w:cs="Arial" w:eastAsia="Arial" w:hAnsi="Arial"/>
          <w:sz w:val="16"/>
          <w:szCs w:val="16"/>
          <w:color w:val="auto"/>
        </w:rPr>
        <w:t>Exhibit 23.1</w:t>
      </w:r>
    </w:p>
    <w:p>
      <w:pPr>
        <w:spacing w:after="0" w:line="242"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31"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We consent to the incorporation by reference in the following registration statements of Vishay Intertechnology, Inc. and in the related Prospectuses of our reports dated March 7, 2006, with respect to the consolidated financial statements of Vishay Intertechnology, Inc., management’s assessment of the effectiveness of internal control over financial reporting, and the effectiveness of internal control over financial reporting of Vishay Intertechnology, Inc., included in this Annual Report (Form 10-K) for the year ended December 31, 2005.</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Registration</w:t>
            </w:r>
          </w:p>
        </w:tc>
        <w:tc>
          <w:tcPr>
            <w:tcW w:w="5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060" w:type="dxa"/>
            <w:vAlign w:val="bottom"/>
          </w:tcPr>
          <w:p>
            <w:pPr>
              <w:spacing w:after="0"/>
              <w:rPr>
                <w:sz w:val="14"/>
                <w:szCs w:val="14"/>
                <w:color w:val="auto"/>
              </w:rPr>
            </w:pPr>
          </w:p>
        </w:tc>
      </w:tr>
      <w:tr>
        <w:trPr>
          <w:trHeight w:val="174"/>
        </w:trPr>
        <w:tc>
          <w:tcPr>
            <w:tcW w:w="1760" w:type="dxa"/>
            <w:vAlign w:val="bottom"/>
          </w:tcPr>
          <w:p>
            <w:pPr>
              <w:jc w:val="center"/>
              <w:spacing w:after="0"/>
              <w:rPr>
                <w:sz w:val="20"/>
                <w:szCs w:val="20"/>
                <w:color w:val="auto"/>
              </w:rPr>
            </w:pPr>
            <w:r>
              <w:rPr>
                <w:rFonts w:ascii="Arial" w:cs="Arial" w:eastAsia="Arial" w:hAnsi="Arial"/>
                <w:sz w:val="14"/>
                <w:szCs w:val="14"/>
                <w:b w:val="1"/>
                <w:bCs w:val="1"/>
                <w:color w:val="auto"/>
                <w:w w:val="88"/>
              </w:rPr>
              <w:t>Statement Number</w:t>
            </w:r>
          </w:p>
        </w:tc>
        <w:tc>
          <w:tcPr>
            <w:tcW w:w="540" w:type="dxa"/>
            <w:vAlign w:val="bottom"/>
          </w:tcPr>
          <w:p>
            <w:pPr>
              <w:spacing w:after="0"/>
              <w:rPr>
                <w:sz w:val="15"/>
                <w:szCs w:val="15"/>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Form</w:t>
            </w:r>
          </w:p>
        </w:tc>
        <w:tc>
          <w:tcPr>
            <w:tcW w:w="5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060" w:type="dxa"/>
            <w:vAlign w:val="bottom"/>
          </w:tcPr>
          <w:p>
            <w:pPr>
              <w:ind w:left="3000"/>
              <w:spacing w:after="0"/>
              <w:rPr>
                <w:sz w:val="20"/>
                <w:szCs w:val="20"/>
                <w:color w:val="auto"/>
              </w:rPr>
            </w:pPr>
            <w:r>
              <w:rPr>
                <w:rFonts w:ascii="Arial" w:cs="Arial" w:eastAsia="Arial" w:hAnsi="Arial"/>
                <w:sz w:val="14"/>
                <w:szCs w:val="14"/>
                <w:b w:val="1"/>
                <w:bCs w:val="1"/>
                <w:color w:val="auto"/>
              </w:rPr>
              <w:t>Description</w:t>
            </w:r>
          </w:p>
        </w:tc>
      </w:tr>
      <w:tr>
        <w:trPr>
          <w:trHeight w:val="95"/>
        </w:trPr>
        <w:tc>
          <w:tcPr>
            <w:tcW w:w="17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1160" w:type="dxa"/>
            <w:vAlign w:val="bottom"/>
            <w:tcBorders>
              <w:bottom w:val="single" w:sz="8" w:color="auto"/>
            </w:tcBorders>
          </w:tcPr>
          <w:p>
            <w:pPr>
              <w:spacing w:after="0"/>
              <w:rPr>
                <w:sz w:val="8"/>
                <w:szCs w:val="8"/>
                <w:color w:val="auto"/>
              </w:rPr>
            </w:pPr>
          </w:p>
        </w:tc>
        <w:tc>
          <w:tcPr>
            <w:tcW w:w="54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7060" w:type="dxa"/>
            <w:vAlign w:val="bottom"/>
            <w:tcBorders>
              <w:bottom w:val="single" w:sz="8" w:color="auto"/>
            </w:tcBorders>
          </w:tcPr>
          <w:p>
            <w:pPr>
              <w:spacing w:after="0"/>
              <w:rPr>
                <w:sz w:val="8"/>
                <w:szCs w:val="8"/>
                <w:color w:val="auto"/>
              </w:rPr>
            </w:pPr>
          </w:p>
        </w:tc>
      </w:tr>
      <w:tr>
        <w:trPr>
          <w:trHeight w:val="316"/>
        </w:trPr>
        <w:tc>
          <w:tcPr>
            <w:tcW w:w="1760" w:type="dxa"/>
            <w:vAlign w:val="bottom"/>
          </w:tcPr>
          <w:p>
            <w:pPr>
              <w:jc w:val="center"/>
              <w:spacing w:after="0"/>
              <w:rPr>
                <w:sz w:val="20"/>
                <w:szCs w:val="20"/>
                <w:color w:val="auto"/>
              </w:rPr>
            </w:pPr>
            <w:r>
              <w:rPr>
                <w:rFonts w:ascii="Arial" w:cs="Arial" w:eastAsia="Arial" w:hAnsi="Arial"/>
                <w:sz w:val="18"/>
                <w:szCs w:val="18"/>
                <w:color w:val="auto"/>
                <w:w w:val="87"/>
              </w:rPr>
              <w:t>33-7850</w:t>
            </w:r>
          </w:p>
        </w:tc>
        <w:tc>
          <w:tcPr>
            <w:tcW w:w="5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w w:val="89"/>
              </w:rPr>
              <w:t>1986</w:t>
            </w:r>
          </w:p>
        </w:tc>
        <w:tc>
          <w:tcPr>
            <w:tcW w:w="7060" w:type="dxa"/>
            <w:vAlign w:val="bottom"/>
          </w:tcPr>
          <w:p>
            <w:pPr>
              <w:ind w:left="20"/>
              <w:spacing w:after="0"/>
              <w:rPr>
                <w:sz w:val="20"/>
                <w:szCs w:val="20"/>
                <w:color w:val="auto"/>
              </w:rPr>
            </w:pPr>
            <w:r>
              <w:rPr>
                <w:rFonts w:ascii="Arial" w:cs="Arial" w:eastAsia="Arial" w:hAnsi="Arial"/>
                <w:sz w:val="18"/>
                <w:szCs w:val="18"/>
                <w:color w:val="auto"/>
              </w:rPr>
              <w:t>Employee Stock Plan of Vishay Intertechnology, Inc.</w:t>
            </w:r>
          </w:p>
        </w:tc>
      </w:tr>
      <w:tr>
        <w:trPr>
          <w:trHeight w:val="365"/>
        </w:trPr>
        <w:tc>
          <w:tcPr>
            <w:tcW w:w="1760" w:type="dxa"/>
            <w:vAlign w:val="bottom"/>
          </w:tcPr>
          <w:p>
            <w:pPr>
              <w:jc w:val="center"/>
              <w:spacing w:after="0"/>
              <w:rPr>
                <w:sz w:val="20"/>
                <w:szCs w:val="20"/>
                <w:color w:val="auto"/>
              </w:rPr>
            </w:pPr>
            <w:r>
              <w:rPr>
                <w:rFonts w:ascii="Arial" w:cs="Arial" w:eastAsia="Arial" w:hAnsi="Arial"/>
                <w:sz w:val="18"/>
                <w:szCs w:val="18"/>
                <w:color w:val="auto"/>
                <w:w w:val="87"/>
              </w:rPr>
              <w:t>33-7851</w:t>
            </w:r>
          </w:p>
        </w:tc>
        <w:tc>
          <w:tcPr>
            <w:tcW w:w="5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w w:val="89"/>
              </w:rPr>
              <w:t>1986</w:t>
            </w:r>
          </w:p>
        </w:tc>
        <w:tc>
          <w:tcPr>
            <w:tcW w:w="7060" w:type="dxa"/>
            <w:vAlign w:val="bottom"/>
          </w:tcPr>
          <w:p>
            <w:pPr>
              <w:ind w:left="20"/>
              <w:spacing w:after="0"/>
              <w:rPr>
                <w:sz w:val="20"/>
                <w:szCs w:val="20"/>
                <w:color w:val="auto"/>
              </w:rPr>
            </w:pPr>
            <w:r>
              <w:rPr>
                <w:rFonts w:ascii="Arial" w:cs="Arial" w:eastAsia="Arial" w:hAnsi="Arial"/>
                <w:sz w:val="18"/>
                <w:szCs w:val="18"/>
                <w:color w:val="auto"/>
              </w:rPr>
              <w:t>Employee Stock Plan of Dale Electronics, Inc.</w:t>
            </w:r>
          </w:p>
        </w:tc>
      </w:tr>
      <w:tr>
        <w:trPr>
          <w:trHeight w:val="365"/>
        </w:trPr>
        <w:tc>
          <w:tcPr>
            <w:tcW w:w="1760" w:type="dxa"/>
            <w:vAlign w:val="bottom"/>
          </w:tcPr>
          <w:p>
            <w:pPr>
              <w:jc w:val="center"/>
              <w:spacing w:after="0"/>
              <w:rPr>
                <w:sz w:val="20"/>
                <w:szCs w:val="20"/>
                <w:color w:val="auto"/>
              </w:rPr>
            </w:pPr>
            <w:r>
              <w:rPr>
                <w:rFonts w:ascii="Arial" w:cs="Arial" w:eastAsia="Arial" w:hAnsi="Arial"/>
                <w:sz w:val="18"/>
                <w:szCs w:val="18"/>
                <w:color w:val="auto"/>
                <w:w w:val="88"/>
              </w:rPr>
              <w:t>333-78045</w:t>
            </w:r>
          </w:p>
        </w:tc>
        <w:tc>
          <w:tcPr>
            <w:tcW w:w="5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920" w:type="dxa"/>
            <w:vAlign w:val="bottom"/>
            <w:gridSpan w:val="2"/>
          </w:tcPr>
          <w:p>
            <w:pPr>
              <w:ind w:left="540"/>
              <w:spacing w:after="0"/>
              <w:rPr>
                <w:sz w:val="20"/>
                <w:szCs w:val="20"/>
                <w:color w:val="auto"/>
              </w:rPr>
            </w:pPr>
            <w:r>
              <w:rPr>
                <w:rFonts w:ascii="Arial" w:cs="Arial" w:eastAsia="Arial" w:hAnsi="Arial"/>
                <w:sz w:val="18"/>
                <w:szCs w:val="18"/>
                <w:color w:val="auto"/>
                <w:w w:val="89"/>
              </w:rPr>
              <w:t>1997</w:t>
            </w:r>
          </w:p>
        </w:tc>
        <w:tc>
          <w:tcPr>
            <w:tcW w:w="7060" w:type="dxa"/>
            <w:vAlign w:val="bottom"/>
          </w:tcPr>
          <w:p>
            <w:pPr>
              <w:ind w:left="20"/>
              <w:spacing w:after="0"/>
              <w:rPr>
                <w:sz w:val="20"/>
                <w:szCs w:val="20"/>
                <w:color w:val="auto"/>
              </w:rPr>
            </w:pPr>
            <w:r>
              <w:rPr>
                <w:rFonts w:ascii="Arial" w:cs="Arial" w:eastAsia="Arial" w:hAnsi="Arial"/>
                <w:sz w:val="18"/>
                <w:szCs w:val="18"/>
                <w:color w:val="auto"/>
                <w:w w:val="91"/>
              </w:rPr>
              <w:t>Stock Option Program and 1998 Employee Stock Option Program of Vishay Intertechnology, Inc.</w:t>
            </w:r>
          </w:p>
        </w:tc>
      </w:tr>
      <w:tr>
        <w:trPr>
          <w:trHeight w:val="365"/>
        </w:trPr>
        <w:tc>
          <w:tcPr>
            <w:tcW w:w="1760" w:type="dxa"/>
            <w:vAlign w:val="bottom"/>
          </w:tcPr>
          <w:p>
            <w:pPr>
              <w:jc w:val="center"/>
              <w:spacing w:after="0"/>
              <w:rPr>
                <w:sz w:val="20"/>
                <w:szCs w:val="20"/>
                <w:color w:val="auto"/>
              </w:rPr>
            </w:pPr>
            <w:r>
              <w:rPr>
                <w:rFonts w:ascii="Arial" w:cs="Arial" w:eastAsia="Arial" w:hAnsi="Arial"/>
                <w:sz w:val="18"/>
                <w:szCs w:val="18"/>
                <w:color w:val="auto"/>
                <w:w w:val="88"/>
              </w:rPr>
              <w:t>333-68090</w:t>
            </w:r>
          </w:p>
        </w:tc>
        <w:tc>
          <w:tcPr>
            <w:tcW w:w="5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S-3/A</w:t>
            </w:r>
          </w:p>
        </w:tc>
        <w:tc>
          <w:tcPr>
            <w:tcW w:w="54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$550,000,000 Liquid Yield Option Notes Due 2021</w:t>
            </w:r>
          </w:p>
        </w:tc>
      </w:tr>
      <w:tr>
        <w:trPr>
          <w:trHeight w:val="358"/>
        </w:trPr>
        <w:tc>
          <w:tcPr>
            <w:tcW w:w="1760" w:type="dxa"/>
            <w:vAlign w:val="bottom"/>
          </w:tcPr>
          <w:p>
            <w:pPr>
              <w:jc w:val="center"/>
              <w:spacing w:after="0"/>
              <w:rPr>
                <w:sz w:val="20"/>
                <w:szCs w:val="20"/>
                <w:color w:val="auto"/>
              </w:rPr>
            </w:pPr>
            <w:r>
              <w:rPr>
                <w:rFonts w:ascii="Arial" w:cs="Arial" w:eastAsia="Arial" w:hAnsi="Arial"/>
                <w:sz w:val="18"/>
                <w:szCs w:val="18"/>
                <w:color w:val="auto"/>
                <w:w w:val="88"/>
              </w:rPr>
              <w:t>333-73496</w:t>
            </w:r>
          </w:p>
        </w:tc>
        <w:tc>
          <w:tcPr>
            <w:tcW w:w="5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S-8</w:t>
            </w:r>
          </w:p>
        </w:tc>
        <w:tc>
          <w:tcPr>
            <w:tcW w:w="54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w w:val="94"/>
              </w:rPr>
              <w:t>Amended and Restated General Semiconductor, Inc. 1993 Long-Term Incentive Plan and General</w:t>
            </w:r>
          </w:p>
        </w:tc>
      </w:tr>
      <w:tr>
        <w:trPr>
          <w:trHeight w:val="222"/>
        </w:trPr>
        <w:tc>
          <w:tcPr>
            <w:tcW w:w="1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Semiconductor, Inc. Amended and Restated 1998 Long-Term Incentive Plan</w:t>
            </w:r>
          </w:p>
        </w:tc>
      </w:tr>
      <w:tr>
        <w:trPr>
          <w:trHeight w:val="365"/>
        </w:trPr>
        <w:tc>
          <w:tcPr>
            <w:tcW w:w="1760" w:type="dxa"/>
            <w:vAlign w:val="bottom"/>
          </w:tcPr>
          <w:p>
            <w:pPr>
              <w:jc w:val="center"/>
              <w:spacing w:after="0"/>
              <w:rPr>
                <w:sz w:val="20"/>
                <w:szCs w:val="20"/>
                <w:color w:val="auto"/>
              </w:rPr>
            </w:pPr>
            <w:r>
              <w:rPr>
                <w:rFonts w:ascii="Arial" w:cs="Arial" w:eastAsia="Arial" w:hAnsi="Arial"/>
                <w:sz w:val="18"/>
                <w:szCs w:val="18"/>
                <w:color w:val="auto"/>
                <w:w w:val="88"/>
              </w:rPr>
              <w:t>333-52594</w:t>
            </w:r>
          </w:p>
        </w:tc>
        <w:tc>
          <w:tcPr>
            <w:tcW w:w="5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S-3/A</w:t>
            </w:r>
          </w:p>
        </w:tc>
        <w:tc>
          <w:tcPr>
            <w:tcW w:w="54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2,887,134 Common Shares and $945,779,624 Other Securities</w:t>
            </w:r>
          </w:p>
        </w:tc>
      </w:tr>
      <w:tr>
        <w:trPr>
          <w:trHeight w:val="358"/>
        </w:trPr>
        <w:tc>
          <w:tcPr>
            <w:tcW w:w="1760" w:type="dxa"/>
            <w:vAlign w:val="bottom"/>
          </w:tcPr>
          <w:p>
            <w:pPr>
              <w:jc w:val="center"/>
              <w:spacing w:after="0"/>
              <w:rPr>
                <w:sz w:val="20"/>
                <w:szCs w:val="20"/>
                <w:color w:val="auto"/>
              </w:rPr>
            </w:pPr>
            <w:r>
              <w:rPr>
                <w:rFonts w:ascii="Arial" w:cs="Arial" w:eastAsia="Arial" w:hAnsi="Arial"/>
                <w:sz w:val="18"/>
                <w:szCs w:val="18"/>
                <w:color w:val="auto"/>
                <w:w w:val="87"/>
              </w:rPr>
              <w:t>333-102507</w:t>
            </w:r>
          </w:p>
        </w:tc>
        <w:tc>
          <w:tcPr>
            <w:tcW w:w="5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S-3/A</w:t>
            </w:r>
          </w:p>
        </w:tc>
        <w:tc>
          <w:tcPr>
            <w:tcW w:w="54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w w:val="94"/>
              </w:rPr>
              <w:t>Class A Warrants to Purchase 7,000,000 Shares of Common Stock; Class B Warrants to Purchase</w:t>
            </w:r>
          </w:p>
        </w:tc>
      </w:tr>
      <w:tr>
        <w:trPr>
          <w:trHeight w:val="216"/>
        </w:trPr>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w w:val="90"/>
              </w:rPr>
              <w:t>1,823,529 Shares of Common Stock; 6,176,467 Shares of Common Stock Issuable Upon Exchange of</w:t>
            </w:r>
          </w:p>
        </w:tc>
      </w:tr>
      <w:tr>
        <w:trPr>
          <w:trHeight w:val="216"/>
        </w:trPr>
        <w:tc>
          <w:tcPr>
            <w:tcW w:w="17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w w:val="94"/>
              </w:rPr>
              <w:t>$105,000,000 Floating Rate Unsecured Notes due 2102; and 8,823,529 Shares of Common Stock</w:t>
            </w:r>
          </w:p>
        </w:tc>
      </w:tr>
      <w:tr>
        <w:trPr>
          <w:trHeight w:val="222"/>
        </w:trPr>
        <w:tc>
          <w:tcPr>
            <w:tcW w:w="17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rPr>
              <w:t>Issuable Upon Exercise of Class A Warrants and Class B Warrants</w:t>
            </w:r>
          </w:p>
        </w:tc>
      </w:tr>
      <w:tr>
        <w:trPr>
          <w:trHeight w:val="365"/>
        </w:trPr>
        <w:tc>
          <w:tcPr>
            <w:tcW w:w="1760" w:type="dxa"/>
            <w:vAlign w:val="bottom"/>
          </w:tcPr>
          <w:p>
            <w:pPr>
              <w:jc w:val="center"/>
              <w:spacing w:after="0"/>
              <w:rPr>
                <w:sz w:val="20"/>
                <w:szCs w:val="20"/>
                <w:color w:val="auto"/>
              </w:rPr>
            </w:pPr>
            <w:r>
              <w:rPr>
                <w:rFonts w:ascii="Arial" w:cs="Arial" w:eastAsia="Arial" w:hAnsi="Arial"/>
                <w:sz w:val="18"/>
                <w:szCs w:val="18"/>
                <w:color w:val="auto"/>
                <w:w w:val="87"/>
              </w:rPr>
              <w:t>333-110259</w:t>
            </w:r>
          </w:p>
        </w:tc>
        <w:tc>
          <w:tcPr>
            <w:tcW w:w="540" w:type="dxa"/>
            <w:vAlign w:val="bottom"/>
          </w:tcPr>
          <w:p>
            <w:pPr>
              <w:spacing w:after="0"/>
              <w:rPr>
                <w:sz w:val="24"/>
                <w:szCs w:val="24"/>
                <w:color w:val="auto"/>
              </w:rPr>
            </w:pPr>
          </w:p>
        </w:tc>
        <w:tc>
          <w:tcPr>
            <w:tcW w:w="1160" w:type="dxa"/>
            <w:vAlign w:val="bottom"/>
          </w:tcPr>
          <w:p>
            <w:pPr>
              <w:jc w:val="center"/>
              <w:spacing w:after="0"/>
              <w:rPr>
                <w:sz w:val="20"/>
                <w:szCs w:val="20"/>
                <w:color w:val="auto"/>
              </w:rPr>
            </w:pPr>
            <w:r>
              <w:rPr>
                <w:rFonts w:ascii="Arial" w:cs="Arial" w:eastAsia="Arial" w:hAnsi="Arial"/>
                <w:sz w:val="18"/>
                <w:szCs w:val="18"/>
                <w:color w:val="auto"/>
                <w:w w:val="93"/>
              </w:rPr>
              <w:t>S-3/A</w:t>
            </w:r>
          </w:p>
        </w:tc>
        <w:tc>
          <w:tcPr>
            <w:tcW w:w="540" w:type="dxa"/>
            <w:vAlign w:val="bottom"/>
          </w:tcPr>
          <w:p>
            <w:pPr>
              <w:spacing w:after="0"/>
              <w:rPr>
                <w:sz w:val="24"/>
                <w:szCs w:val="24"/>
                <w:color w:val="auto"/>
              </w:rPr>
            </w:pPr>
          </w:p>
        </w:tc>
        <w:tc>
          <w:tcPr>
            <w:tcW w:w="7440" w:type="dxa"/>
            <w:vAlign w:val="bottom"/>
            <w:gridSpan w:val="2"/>
          </w:tcPr>
          <w:p>
            <w:pPr>
              <w:spacing w:after="0"/>
              <w:rPr>
                <w:sz w:val="20"/>
                <w:szCs w:val="20"/>
                <w:color w:val="auto"/>
              </w:rPr>
            </w:pPr>
            <w:r>
              <w:rPr>
                <w:rFonts w:ascii="Arial" w:cs="Arial" w:eastAsia="Arial" w:hAnsi="Arial"/>
                <w:sz w:val="18"/>
                <w:szCs w:val="18"/>
                <w:color w:val="auto"/>
                <w:w w:val="93"/>
              </w:rPr>
              <w:t>$500,000,000 Principal Amount of 3 5/8% Convertible Subordinated Notes Due 2023; and Shares of</w:t>
            </w:r>
          </w:p>
        </w:tc>
      </w:tr>
    </w:tbl>
    <w:p>
      <w:pPr>
        <w:ind w:left="4000" w:right="320"/>
        <w:spacing w:after="0" w:line="261" w:lineRule="auto"/>
        <w:rPr>
          <w:sz w:val="20"/>
          <w:szCs w:val="20"/>
          <w:color w:val="auto"/>
        </w:rPr>
      </w:pPr>
      <w:r>
        <w:rPr>
          <w:rFonts w:ascii="Arial" w:cs="Arial" w:eastAsia="Arial" w:hAnsi="Arial"/>
          <w:sz w:val="18"/>
          <w:szCs w:val="18"/>
          <w:color w:val="auto"/>
        </w:rPr>
        <w:t>Common Stock Issuable Upon Conversion of $500,000,000 Principal Amount of 3 5/8% Convertible Subordinated Notes due 2023.</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7, 2006</w:t>
      </w:r>
    </w:p>
    <w:p>
      <w:pPr>
        <w:sectPr>
          <w:pgSz w:w="11900" w:h="16838" w:orient="portrait"/>
          <w:cols w:equalWidth="0" w:num="1">
            <w:col w:w="11440"/>
          </w:cols>
          <w:pgMar w:left="240" w:top="131" w:right="219" w:bottom="1440" w:gutter="0" w:footer="0" w:header="0"/>
        </w:sectPr>
      </w:pPr>
    </w:p>
    <w:bookmarkStart w:id="123" w:name="page124"/>
    <w:bookmarkEnd w:id="123"/>
    <w:p>
      <w:pPr>
        <w:jc w:val="right"/>
        <w:spacing w:after="0"/>
        <w:rPr>
          <w:sz w:val="20"/>
          <w:szCs w:val="20"/>
          <w:color w:val="auto"/>
        </w:rPr>
      </w:pPr>
      <w:r>
        <w:rPr>
          <w:rFonts w:ascii="Arial" w:cs="Arial" w:eastAsia="Arial" w:hAnsi="Arial"/>
          <w:sz w:val="18"/>
          <w:szCs w:val="18"/>
          <w:color w:val="auto"/>
        </w:rPr>
        <w:t>Exhibit 31.1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Dr. Gerald Paul, certify that:</w:t>
      </w:r>
    </w:p>
    <w:p>
      <w:pPr>
        <w:spacing w:after="0" w:line="158" w:lineRule="exact"/>
        <w:rPr>
          <w:sz w:val="20"/>
          <w:szCs w:val="20"/>
          <w:color w:val="auto"/>
        </w:rPr>
      </w:pPr>
    </w:p>
    <w:p>
      <w:pPr>
        <w:ind w:left="1160" w:hanging="571"/>
        <w:spacing w:after="0"/>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Vishay Intertechnology, Inc.;</w:t>
      </w:r>
    </w:p>
    <w:p>
      <w:pPr>
        <w:spacing w:after="0" w:line="157" w:lineRule="exact"/>
        <w:rPr>
          <w:rFonts w:ascii="Arial" w:cs="Arial" w:eastAsia="Arial" w:hAnsi="Arial"/>
          <w:sz w:val="18"/>
          <w:szCs w:val="18"/>
          <w:color w:val="auto"/>
        </w:rPr>
      </w:pPr>
    </w:p>
    <w:p>
      <w:pPr>
        <w:jc w:val="both"/>
        <w:ind w:left="1160" w:right="60" w:hanging="571"/>
        <w:spacing w:after="0" w:line="259"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right="40" w:hanging="571"/>
        <w:spacing w:after="0" w:line="259" w:lineRule="auto"/>
        <w:tabs>
          <w:tab w:leader="none" w:pos="11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720" w:right="120" w:firstLine="3"/>
        <w:spacing w:after="0" w:line="306" w:lineRule="auto"/>
        <w:tabs>
          <w:tab w:leader="none" w:pos="1959"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720" w:right="20" w:firstLine="3"/>
        <w:spacing w:after="0" w:line="259" w:lineRule="auto"/>
        <w:tabs>
          <w:tab w:leader="none" w:pos="1969" w:val="left"/>
        </w:tabs>
        <w:numPr>
          <w:ilvl w:val="1"/>
          <w:numId w:val="2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720" w:right="240" w:firstLine="3"/>
        <w:spacing w:after="0" w:line="259" w:lineRule="auto"/>
        <w:tabs>
          <w:tab w:leader="none" w:pos="1959" w:val="left"/>
        </w:tabs>
        <w:numPr>
          <w:ilvl w:val="1"/>
          <w:numId w:val="21"/>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Arial" w:cs="Arial" w:eastAsia="Arial" w:hAnsi="Arial"/>
          <w:sz w:val="18"/>
          <w:szCs w:val="18"/>
          <w:color w:val="auto"/>
        </w:rPr>
      </w:pPr>
    </w:p>
    <w:p>
      <w:pPr>
        <w:ind w:left="1720" w:right="340" w:firstLine="3"/>
        <w:spacing w:after="0" w:line="306" w:lineRule="auto"/>
        <w:tabs>
          <w:tab w:leader="none" w:pos="1969"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1160" w:right="20" w:hanging="571"/>
        <w:spacing w:after="0" w:line="332" w:lineRule="auto"/>
        <w:tabs>
          <w:tab w:leader="none" w:pos="116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200" w:firstLine="3"/>
        <w:spacing w:after="0" w:line="332" w:lineRule="auto"/>
        <w:tabs>
          <w:tab w:leader="none" w:pos="1959"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480" w:firstLine="3"/>
        <w:spacing w:after="0" w:line="268" w:lineRule="auto"/>
        <w:tabs>
          <w:tab w:leader="none" w:pos="1969" w:val="left"/>
        </w:tabs>
        <w:numPr>
          <w:ilvl w:val="1"/>
          <w:numId w:val="2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Dr. Gerald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951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Dr. Gerald Paul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131" w:right="239" w:bottom="1440" w:gutter="0" w:footer="0" w:header="0"/>
        </w:sectPr>
      </w:pPr>
    </w:p>
    <w:bookmarkStart w:id="124" w:name="page125"/>
    <w:bookmarkEnd w:id="124"/>
    <w:p>
      <w:pPr>
        <w:jc w:val="right"/>
        <w:spacing w:after="0"/>
        <w:rPr>
          <w:sz w:val="20"/>
          <w:szCs w:val="20"/>
          <w:color w:val="auto"/>
        </w:rPr>
      </w:pPr>
      <w:r>
        <w:rPr>
          <w:rFonts w:ascii="Arial" w:cs="Arial" w:eastAsia="Arial" w:hAnsi="Arial"/>
          <w:sz w:val="18"/>
          <w:szCs w:val="18"/>
          <w:color w:val="auto"/>
        </w:rPr>
        <w:t>Exhibit 31.2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I, Richard N. Grubb, certify that:</w:t>
      </w:r>
    </w:p>
    <w:p>
      <w:pPr>
        <w:spacing w:after="0" w:line="158" w:lineRule="exact"/>
        <w:rPr>
          <w:sz w:val="20"/>
          <w:szCs w:val="20"/>
          <w:color w:val="auto"/>
        </w:rPr>
      </w:pPr>
    </w:p>
    <w:p>
      <w:pPr>
        <w:ind w:left="1160" w:hanging="571"/>
        <w:spacing w:after="0"/>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Vishay Intertechnology, Inc.;</w:t>
      </w:r>
    </w:p>
    <w:p>
      <w:pPr>
        <w:spacing w:after="0" w:line="157" w:lineRule="exact"/>
        <w:rPr>
          <w:rFonts w:ascii="Arial" w:cs="Arial" w:eastAsia="Arial" w:hAnsi="Arial"/>
          <w:sz w:val="18"/>
          <w:szCs w:val="18"/>
          <w:color w:val="auto"/>
        </w:rPr>
      </w:pPr>
    </w:p>
    <w:p>
      <w:pPr>
        <w:jc w:val="both"/>
        <w:ind w:left="1160" w:right="60" w:hanging="571"/>
        <w:spacing w:after="0" w:line="259"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6" w:lineRule="exact"/>
        <w:rPr>
          <w:rFonts w:ascii="Arial" w:cs="Arial" w:eastAsia="Arial" w:hAnsi="Arial"/>
          <w:sz w:val="18"/>
          <w:szCs w:val="18"/>
          <w:color w:val="auto"/>
        </w:rPr>
      </w:pPr>
    </w:p>
    <w:p>
      <w:pPr>
        <w:ind w:left="1160" w:right="20" w:hanging="571"/>
        <w:spacing w:after="0" w:line="332"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71" w:lineRule="exact"/>
        <w:rPr>
          <w:rFonts w:ascii="Arial" w:cs="Arial" w:eastAsia="Arial" w:hAnsi="Arial"/>
          <w:sz w:val="16"/>
          <w:szCs w:val="16"/>
          <w:color w:val="auto"/>
        </w:rPr>
      </w:pPr>
    </w:p>
    <w:p>
      <w:pPr>
        <w:jc w:val="both"/>
        <w:ind w:left="1160" w:right="40" w:hanging="571"/>
        <w:spacing w:after="0" w:line="259" w:lineRule="auto"/>
        <w:tabs>
          <w:tab w:leader="none" w:pos="11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6" w:lineRule="exact"/>
        <w:rPr>
          <w:rFonts w:ascii="Arial" w:cs="Arial" w:eastAsia="Arial" w:hAnsi="Arial"/>
          <w:sz w:val="18"/>
          <w:szCs w:val="18"/>
          <w:color w:val="auto"/>
        </w:rPr>
      </w:pPr>
    </w:p>
    <w:p>
      <w:pPr>
        <w:ind w:left="1720" w:right="120" w:firstLine="3"/>
        <w:spacing w:after="0" w:line="306" w:lineRule="auto"/>
        <w:tabs>
          <w:tab w:leader="none" w:pos="1959"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93" w:lineRule="exact"/>
        <w:rPr>
          <w:rFonts w:ascii="Arial" w:cs="Arial" w:eastAsia="Arial" w:hAnsi="Arial"/>
          <w:sz w:val="16"/>
          <w:szCs w:val="16"/>
          <w:color w:val="auto"/>
        </w:rPr>
      </w:pPr>
    </w:p>
    <w:p>
      <w:pPr>
        <w:ind w:left="1720" w:right="20" w:firstLine="3"/>
        <w:spacing w:after="0" w:line="259" w:lineRule="auto"/>
        <w:tabs>
          <w:tab w:leader="none" w:pos="1969"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6" w:lineRule="exact"/>
        <w:rPr>
          <w:rFonts w:ascii="Arial" w:cs="Arial" w:eastAsia="Arial" w:hAnsi="Arial"/>
          <w:sz w:val="18"/>
          <w:szCs w:val="18"/>
          <w:color w:val="auto"/>
        </w:rPr>
      </w:pPr>
    </w:p>
    <w:p>
      <w:pPr>
        <w:jc w:val="both"/>
        <w:ind w:left="1720" w:right="240" w:firstLine="3"/>
        <w:spacing w:after="0" w:line="259" w:lineRule="auto"/>
        <w:tabs>
          <w:tab w:leader="none" w:pos="1959"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6" w:lineRule="exact"/>
        <w:rPr>
          <w:rFonts w:ascii="Arial" w:cs="Arial" w:eastAsia="Arial" w:hAnsi="Arial"/>
          <w:sz w:val="18"/>
          <w:szCs w:val="18"/>
          <w:color w:val="auto"/>
        </w:rPr>
      </w:pPr>
    </w:p>
    <w:p>
      <w:pPr>
        <w:ind w:left="1720" w:right="340" w:firstLine="3"/>
        <w:spacing w:after="0" w:line="306" w:lineRule="auto"/>
        <w:tabs>
          <w:tab w:leader="none" w:pos="1969"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93" w:lineRule="exact"/>
        <w:rPr>
          <w:rFonts w:ascii="Arial" w:cs="Arial" w:eastAsia="Arial" w:hAnsi="Arial"/>
          <w:sz w:val="16"/>
          <w:szCs w:val="16"/>
          <w:color w:val="auto"/>
        </w:rPr>
      </w:pPr>
    </w:p>
    <w:p>
      <w:pPr>
        <w:ind w:left="1160" w:right="20" w:hanging="571"/>
        <w:spacing w:after="0" w:line="332" w:lineRule="auto"/>
        <w:tabs>
          <w:tab w:leader="none" w:pos="116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71" w:lineRule="exact"/>
        <w:rPr>
          <w:rFonts w:ascii="Arial" w:cs="Arial" w:eastAsia="Arial" w:hAnsi="Arial"/>
          <w:sz w:val="16"/>
          <w:szCs w:val="16"/>
          <w:color w:val="auto"/>
        </w:rPr>
      </w:pPr>
    </w:p>
    <w:p>
      <w:pPr>
        <w:ind w:left="1720" w:right="200" w:firstLine="3"/>
        <w:spacing w:after="0" w:line="332" w:lineRule="auto"/>
        <w:tabs>
          <w:tab w:leader="none" w:pos="1959"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71" w:lineRule="exact"/>
        <w:rPr>
          <w:rFonts w:ascii="Arial" w:cs="Arial" w:eastAsia="Arial" w:hAnsi="Arial"/>
          <w:sz w:val="16"/>
          <w:szCs w:val="16"/>
          <w:color w:val="auto"/>
        </w:rPr>
      </w:pPr>
    </w:p>
    <w:p>
      <w:pPr>
        <w:ind w:left="1720" w:right="480" w:firstLine="3"/>
        <w:spacing w:after="0" w:line="268" w:lineRule="auto"/>
        <w:tabs>
          <w:tab w:leader="none" w:pos="1969"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Date: March 8, 2006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Richard N.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9519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Richard N. Grubb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131" w:right="239" w:bottom="1440" w:gutter="0" w:footer="0" w:header="0"/>
        </w:sectPr>
      </w:pPr>
    </w:p>
    <w:bookmarkStart w:id="125" w:name="page126"/>
    <w:bookmarkEnd w:id="125"/>
    <w:p>
      <w:pPr>
        <w:jc w:val="right"/>
        <w:spacing w:after="0"/>
        <w:rPr>
          <w:sz w:val="20"/>
          <w:szCs w:val="20"/>
          <w:color w:val="auto"/>
        </w:rPr>
      </w:pPr>
      <w:r>
        <w:rPr>
          <w:rFonts w:ascii="Arial" w:cs="Arial" w:eastAsia="Arial" w:hAnsi="Arial"/>
          <w:sz w:val="18"/>
          <w:szCs w:val="18"/>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In connection with the Annual Report of Vishay Intertechnology, Inc. (the “Company”) on Form 10-K for the year ended December 31, 2005 as filed with the Securities and Exchange Commission on the date hereof (the “Report”), I, Dr. Gerald Paul, Chief Executive Officer of the Company, certify, pursuant to 18 U.S.C. section 1350, as adopted pursuant to section 906 of the Sarbanes-Oxley Act of 2002, that:</w:t>
      </w:r>
    </w:p>
    <w:p>
      <w:pPr>
        <w:spacing w:after="0" w:line="194" w:lineRule="exact"/>
        <w:rPr>
          <w:sz w:val="20"/>
          <w:szCs w:val="20"/>
          <w:color w:val="auto"/>
        </w:rPr>
      </w:pPr>
    </w:p>
    <w:p>
      <w:pPr>
        <w:ind w:left="580" w:hanging="572"/>
        <w:spacing w:after="0"/>
        <w:tabs>
          <w:tab w:leader="none" w:pos="5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Dr. Gerald Paul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95195"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Dr. Gerald Paul</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2006</w:t>
      </w:r>
    </w:p>
    <w:p>
      <w:pPr>
        <w:sectPr>
          <w:pgSz w:w="11900" w:h="16838" w:orient="portrait"/>
          <w:cols w:equalWidth="0" w:num="1">
            <w:col w:w="11420"/>
          </w:cols>
          <w:pgMar w:left="240" w:top="131" w:right="239" w:bottom="1440" w:gutter="0" w:footer="0" w:header="0"/>
        </w:sectPr>
      </w:pPr>
    </w:p>
    <w:bookmarkStart w:id="126" w:name="page127"/>
    <w:bookmarkEnd w:id="126"/>
    <w:p>
      <w:pPr>
        <w:jc w:val="right"/>
        <w:spacing w:after="0"/>
        <w:rPr>
          <w:sz w:val="20"/>
          <w:szCs w:val="20"/>
          <w:color w:val="auto"/>
        </w:rPr>
      </w:pPr>
      <w:r>
        <w:rPr>
          <w:rFonts w:ascii="Arial" w:cs="Arial" w:eastAsia="Arial" w:hAnsi="Arial"/>
          <w:sz w:val="18"/>
          <w:szCs w:val="18"/>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9" w:lineRule="exact"/>
        <w:rPr>
          <w:sz w:val="20"/>
          <w:szCs w:val="20"/>
          <w:color w:val="auto"/>
        </w:rPr>
      </w:pPr>
    </w:p>
    <w:p>
      <w:pPr>
        <w:jc w:val="both"/>
        <w:ind w:right="320"/>
        <w:spacing w:after="0" w:line="259" w:lineRule="auto"/>
        <w:rPr>
          <w:sz w:val="20"/>
          <w:szCs w:val="20"/>
          <w:color w:val="auto"/>
        </w:rPr>
      </w:pPr>
      <w:r>
        <w:rPr>
          <w:rFonts w:ascii="Arial" w:cs="Arial" w:eastAsia="Arial" w:hAnsi="Arial"/>
          <w:sz w:val="18"/>
          <w:szCs w:val="18"/>
          <w:color w:val="auto"/>
        </w:rPr>
        <w:t>In connection with the Annual Report of Vishay Intertechnology, Inc. (the “Company”) on Form 10-K for the year ended December 31, 2005 as filed with the Securities and Exchange Commission on the date hereof (the “Report”), I, Richard N. Grubb, Chief Financial Officer of the Company, certify, pursuant to 18 U.S.C. section 1350, as adopted pursuant to section 906 of the Sarbanes-Oxley Act of 2002, that:</w:t>
      </w:r>
    </w:p>
    <w:p>
      <w:pPr>
        <w:spacing w:after="0" w:line="194" w:lineRule="exact"/>
        <w:rPr>
          <w:sz w:val="20"/>
          <w:szCs w:val="20"/>
          <w:color w:val="auto"/>
        </w:rPr>
      </w:pPr>
    </w:p>
    <w:p>
      <w:pPr>
        <w:ind w:left="580" w:hanging="572"/>
        <w:spacing w:after="0"/>
        <w:tabs>
          <w:tab w:leader="none" w:pos="5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57" w:lineRule="exact"/>
        <w:rPr>
          <w:rFonts w:ascii="Arial" w:cs="Arial" w:eastAsia="Arial" w:hAnsi="Arial"/>
          <w:sz w:val="18"/>
          <w:szCs w:val="18"/>
          <w:color w:val="auto"/>
        </w:rPr>
      </w:pPr>
    </w:p>
    <w:p>
      <w:pPr>
        <w:ind w:left="580" w:hanging="572"/>
        <w:spacing w:after="0"/>
        <w:tabs>
          <w:tab w:leader="none" w:pos="58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 Richard N. Grubb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2195195"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2195195" cy="8890"/>
                    </a:xfrm>
                    <a:prstGeom prst="rect">
                      <a:avLst/>
                    </a:prstGeom>
                    <a:noFill/>
                  </pic:spPr>
                </pic:pic>
              </a:graphicData>
            </a:graphic>
          </wp:anchor>
        </w:drawing>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Richard N. Grubb</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8, 2006</w:t>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lowerRoman"/>
      <w:start w:val="1"/>
    </w:lvl>
  </w:abstractNum>
  <w:abstractNum w:abstractNumId="4">
    <w:nsid w:val="7FDCC233"/>
    <w:multiLevelType w:val="hybridMultilevel"/>
    <w:lvl w:ilvl="0">
      <w:lvlJc w:val="left"/>
      <w:lvlText w:val="•"/>
      <w:numFmt w:val="bullet"/>
      <w:start w:val="1"/>
    </w:lvl>
    <w:lvl w:ilvl="1">
      <w:lvlJc w:val="left"/>
      <w:lvlText w:val="-"/>
      <w:numFmt w:val="bullet"/>
      <w:start w:val="1"/>
    </w:lvl>
  </w:abstractNum>
  <w:abstractNum w:abstractNumId="5">
    <w:nsid w:val="1BEFD79F"/>
    <w:multiLevelType w:val="hybridMultilevel"/>
    <w:lvl w:ilvl="0">
      <w:lvlJc w:val="left"/>
      <w:lvlText w:val="•"/>
      <w:numFmt w:val="bullet"/>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1)"/>
      <w:numFmt w:val="lowerRoman"/>
      <w:start w:val="2"/>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decimal"/>
      <w:start w:val="1"/>
    </w:lvl>
  </w:abstractNum>
  <w:abstractNum w:abstractNumId="12">
    <w:nsid w:val="3F2DBA31"/>
    <w:multiLevelType w:val="hybridMultilevel"/>
    <w:lvl w:ilvl="0">
      <w:lvlJc w:val="left"/>
      <w:lvlText w:val="*"/>
      <w:numFmt w:val="bullet"/>
      <w:start w:val="1"/>
    </w:lvl>
  </w:abstractNum>
  <w:abstractNum w:abstractNumId="13">
    <w:nsid w:val="7C83E458"/>
    <w:multiLevelType w:val="hybridMultilevel"/>
    <w:lvl w:ilvl="0">
      <w:lvlJc w:val="left"/>
      <w:lvlText w:val="(%1)"/>
      <w:numFmt w:val="lowerLetter"/>
      <w:start w:val="1"/>
    </w:lvl>
  </w:abstractNum>
  <w:abstractNum w:abstractNumId="14">
    <w:nsid w:val="257130A3"/>
    <w:multiLevelType w:val="hybridMultilevel"/>
    <w:lvl w:ilvl="0">
      <w:lvlJc w:val="left"/>
      <w:lvlText w:val="%1."/>
      <w:numFmt w:val="decimal"/>
      <w:start w:val="1"/>
    </w:lvl>
    <w:lvl w:ilvl="1">
      <w:lvlJc w:val="left"/>
      <w:lvlText w:val="-"/>
      <w:numFmt w:val="bullet"/>
      <w:start w:val="1"/>
    </w:lvl>
  </w:abstractNum>
  <w:abstractNum w:abstractNumId="15">
    <w:nsid w:val="62BBD95A"/>
    <w:multiLevelType w:val="hybridMultilevel"/>
    <w:lvl w:ilvl="0">
      <w:lvlJc w:val="left"/>
      <w:lvlText w:val="K.%1."/>
      <w:numFmt w:val="upperLetter"/>
      <w:start w:val="11"/>
    </w:lvl>
  </w:abstractNum>
  <w:abstractNum w:abstractNumId="16">
    <w:nsid w:val="436C6125"/>
    <w:multiLevelType w:val="hybridMultilevel"/>
    <w:lvl w:ilvl="0">
      <w:lvlJc w:val="left"/>
      <w:lvlText w:val="(%1)"/>
      <w:numFmt w:val="lowerRoman"/>
      <w:start w:val="2"/>
    </w:lvl>
  </w:abstractNum>
  <w:abstractNum w:abstractNumId="17">
    <w:nsid w:val="628C895D"/>
    <w:multiLevelType w:val="hybridMultilevel"/>
    <w:lvl w:ilvl="0">
      <w:lvlJc w:val="left"/>
      <w:lvlText w:val="*"/>
      <w:numFmt w:val="bullet"/>
      <w:start w:val="1"/>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lowerLetter"/>
      <w:start w:val="7"/>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decimal"/>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2020-02-05T23:30:21Z</dcterms:created>
  <dcterms:modified xsi:type="dcterms:W3CDTF">2020-02-05T23:30:21Z</dcterms:modified>
</cp:coreProperties>
</file>