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Zilberman Raanan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VISHAY INTERTECHNOLOGY,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LANCASTER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VISHAY INTERTECHNOLOGY INC</w:t>
              </w:r>
            </w:hyperlink>
            <w:r>
              <w:rPr/>
              <w:t xml:space="preserve"> [ </w:t>
            </w:r>
            <w:r>
              <w:rPr>
                <w:rFonts w:ascii="Times;serif" w:hAnsi="Times;serif"/>
                <w:color w:val="0000FF"/>
                <w:sz w:val="24"/>
                <w:shd w:fill="FFFFFF" w:val="clear"/>
              </w:rPr>
              <w:t>VSH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35.8188</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31,937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$35.55 to $36.08, inclusive. The reporting person undertakes to provide to the Issuer, any security holder of the Issuer or the staff of the Securities and Exchange Commission, upon request, full information regarding the number of shares of each separate price within the ranges set forth in this footnote to the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L. Tomlinson as attorney-in-fact for Raanan Zilberman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9101" TargetMode="External"/><Relationship Id="rId5" Type="http://schemas.openxmlformats.org/officeDocument/2006/relationships/hyperlink" Target="http://www.sec.gov/cgi-bin/browse-edgar?action=getcompany&amp;CIK=000010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3486</Characters>
  <CharactersWithSpaces>4062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