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January 13, 2025</w:t>
      </w:r>
    </w:p>
    <w:p>
      <w:pPr>
        <w:spacing w:after="0" w:line="200" w:lineRule="exact"/>
        <w:rPr>
          <w:sz w:val="24"/>
          <w:szCs w:val="24"/>
          <w:color w:val="auto"/>
        </w:rPr>
      </w:pPr>
    </w:p>
    <w:p>
      <w:pPr>
        <w:spacing w:after="0" w:line="25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Vishay Intertechnology, Inc.</w:t>
      </w:r>
    </w:p>
    <w:p>
      <w:pPr>
        <w:spacing w:after="0" w:line="2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Delaware</w:t>
            </w:r>
          </w:p>
        </w:tc>
        <w:tc>
          <w:tcPr>
            <w:tcW w:w="22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1-7416</w:t>
            </w: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38-1686453</w:t>
            </w:r>
          </w:p>
        </w:tc>
      </w:tr>
      <w:tr>
        <w:trPr>
          <w:trHeight w:val="216"/>
        </w:trPr>
        <w:tc>
          <w:tcPr>
            <w:tcW w:w="484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2240" w:type="dxa"/>
            <w:vAlign w:val="bottom"/>
          </w:tcPr>
          <w:p>
            <w:pPr>
              <w:jc w:val="right"/>
              <w:ind w:right="312"/>
              <w:spacing w:after="0" w:line="216" w:lineRule="exact"/>
              <w:rPr>
                <w:sz w:val="20"/>
                <w:szCs w:val="20"/>
                <w:color w:val="auto"/>
              </w:rPr>
            </w:pPr>
            <w:r>
              <w:rPr>
                <w:rFonts w:ascii="Times New Roman" w:cs="Times New Roman" w:eastAsia="Times New Roman" w:hAnsi="Times New Roman"/>
                <w:sz w:val="22"/>
                <w:szCs w:val="22"/>
                <w:color w:val="auto"/>
              </w:rPr>
              <w:t>(Commission File</w:t>
            </w:r>
          </w:p>
        </w:tc>
        <w:tc>
          <w:tcPr>
            <w:tcW w:w="4160" w:type="dxa"/>
            <w:vAlign w:val="bottom"/>
          </w:tcPr>
          <w:p>
            <w:pPr>
              <w:jc w:val="center"/>
              <w:ind w:left="112"/>
              <w:spacing w:after="0" w:line="216" w:lineRule="exact"/>
              <w:rPr>
                <w:sz w:val="20"/>
                <w:szCs w:val="20"/>
                <w:color w:val="auto"/>
              </w:rPr>
            </w:pPr>
            <w:r>
              <w:rPr>
                <w:rFonts w:ascii="Times New Roman" w:cs="Times New Roman" w:eastAsia="Times New Roman" w:hAnsi="Times New Roman"/>
                <w:sz w:val="22"/>
                <w:szCs w:val="22"/>
                <w:color w:val="auto"/>
                <w:w w:val="98"/>
              </w:rPr>
              <w:t>(I.R.S. Employer Identification Number)</w:t>
            </w:r>
          </w:p>
        </w:tc>
      </w:tr>
      <w:tr>
        <w:trPr>
          <w:trHeight w:val="282"/>
        </w:trPr>
        <w:tc>
          <w:tcPr>
            <w:tcW w:w="4840" w:type="dxa"/>
            <w:vAlign w:val="bottom"/>
          </w:tcPr>
          <w:p>
            <w:pPr>
              <w:spacing w:after="0"/>
              <w:rPr>
                <w:sz w:val="24"/>
                <w:szCs w:val="24"/>
                <w:color w:val="auto"/>
              </w:rPr>
            </w:pPr>
          </w:p>
        </w:tc>
        <w:tc>
          <w:tcPr>
            <w:tcW w:w="224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Number)</w:t>
            </w:r>
          </w:p>
        </w:tc>
        <w:tc>
          <w:tcPr>
            <w:tcW w:w="4160" w:type="dxa"/>
            <w:vAlign w:val="bottom"/>
          </w:tcPr>
          <w:p>
            <w:pPr>
              <w:spacing w:after="0"/>
              <w:rPr>
                <w:sz w:val="24"/>
                <w:szCs w:val="24"/>
                <w:color w:val="auto"/>
              </w:rPr>
            </w:pPr>
          </w:p>
        </w:tc>
      </w:tr>
      <w:tr>
        <w:trPr>
          <w:trHeight w:val="690"/>
        </w:trPr>
        <w:tc>
          <w:tcPr>
            <w:tcW w:w="4840" w:type="dxa"/>
            <w:vAlign w:val="bottom"/>
          </w:tcPr>
          <w:p>
            <w:pPr>
              <w:jc w:val="center"/>
              <w:ind w:left="2352"/>
              <w:spacing w:after="0"/>
              <w:rPr>
                <w:sz w:val="20"/>
                <w:szCs w:val="20"/>
                <w:color w:val="auto"/>
              </w:rPr>
            </w:pPr>
            <w:r>
              <w:rPr>
                <w:rFonts w:ascii="Times New Roman" w:cs="Times New Roman" w:eastAsia="Times New Roman" w:hAnsi="Times New Roman"/>
                <w:sz w:val="22"/>
                <w:szCs w:val="22"/>
                <w:color w:val="auto"/>
                <w:w w:val="97"/>
              </w:rPr>
              <w:t>63 Lancaster Avenue</w:t>
            </w:r>
          </w:p>
        </w:tc>
        <w:tc>
          <w:tcPr>
            <w:tcW w:w="22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7"/>
        </w:trPr>
        <w:tc>
          <w:tcPr>
            <w:tcW w:w="4840" w:type="dxa"/>
            <w:vAlign w:val="bottom"/>
            <w:tcBorders>
              <w:bottom w:val="single" w:sz="8" w:color="auto"/>
            </w:tcBorders>
          </w:tcPr>
          <w:p>
            <w:pPr>
              <w:jc w:val="center"/>
              <w:ind w:left="2352"/>
              <w:spacing w:after="0"/>
              <w:rPr>
                <w:sz w:val="20"/>
                <w:szCs w:val="20"/>
                <w:color w:val="auto"/>
              </w:rPr>
            </w:pPr>
            <w:r>
              <w:rPr>
                <w:rFonts w:ascii="Times New Roman" w:cs="Times New Roman" w:eastAsia="Times New Roman" w:hAnsi="Times New Roman"/>
                <w:sz w:val="22"/>
                <w:szCs w:val="22"/>
                <w:color w:val="auto"/>
                <w:w w:val="96"/>
              </w:rPr>
              <w:t>Malvern, PA</w:t>
            </w:r>
          </w:p>
        </w:tc>
        <w:tc>
          <w:tcPr>
            <w:tcW w:w="2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22"/>
                <w:szCs w:val="22"/>
                <w:color w:val="auto"/>
                <w:w w:val="99"/>
              </w:rPr>
              <w:t>19355-2143</w:t>
            </w:r>
          </w:p>
        </w:tc>
      </w:tr>
      <w:tr>
        <w:trPr>
          <w:trHeight w:val="282"/>
        </w:trPr>
        <w:tc>
          <w:tcPr>
            <w:tcW w:w="7080" w:type="dxa"/>
            <w:vAlign w:val="bottom"/>
            <w:gridSpan w:val="2"/>
          </w:tcPr>
          <w:p>
            <w:pPr>
              <w:jc w:val="center"/>
              <w:ind w:left="13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416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9"/>
              </w:rPr>
              <w:t>Zip Code</w:t>
            </w:r>
          </w:p>
        </w:tc>
      </w:tr>
      <w:tr>
        <w:trPr>
          <w:trHeight w:val="459"/>
        </w:trPr>
        <w:tc>
          <w:tcPr>
            <w:tcW w:w="484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610-644-1300</w:t>
            </w:r>
          </w:p>
        </w:tc>
        <w:tc>
          <w:tcPr>
            <w:tcW w:w="4160" w:type="dxa"/>
            <w:vAlign w:val="bottom"/>
          </w:tcPr>
          <w:p>
            <w:pPr>
              <w:spacing w:after="0"/>
              <w:rPr>
                <w:sz w:val="24"/>
                <w:szCs w:val="24"/>
                <w:color w:val="auto"/>
              </w:rPr>
            </w:pPr>
          </w:p>
        </w:tc>
      </w:tr>
    </w:tbl>
    <w:p>
      <w:pPr>
        <w:spacing w:after="0" w:line="200" w:lineRule="exact"/>
        <w:rPr>
          <w:sz w:val="24"/>
          <w:szCs w:val="24"/>
          <w:color w:val="auto"/>
        </w:rPr>
      </w:pPr>
    </w:p>
    <w:p>
      <w:pPr>
        <w:spacing w:after="0" w:line="274"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4" w:lineRule="exact"/>
        <w:rPr>
          <w:sz w:val="24"/>
          <w:szCs w:val="24"/>
          <w:color w:val="auto"/>
        </w:rPr>
      </w:pPr>
    </w:p>
    <w:p>
      <w:pPr>
        <w:ind w:left="340" w:right="11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1520" w:right="1320" w:hanging="1382"/>
        <w:spacing w:after="0" w:line="181" w:lineRule="auto"/>
        <w:tabs>
          <w:tab w:leader="none" w:pos="1477"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21"/>
          <w:szCs w:val="21"/>
          <w:color w:val="auto"/>
        </w:rPr>
        <w:t>Pre-commencement communications pursuant to Rule 14d-2(b) under the Exchange Act (17 CFR 240.14d-2(b))</w:t>
      </w:r>
    </w:p>
    <w:p>
      <w:pPr>
        <w:spacing w:after="0" w:line="2" w:lineRule="exact"/>
        <w:rPr>
          <w:rFonts w:ascii="MS PGothic" w:cs="MS PGothic" w:eastAsia="MS PGothic" w:hAnsi="MS PGothic"/>
          <w:sz w:val="40"/>
          <w:szCs w:val="40"/>
          <w:color w:val="auto"/>
          <w:vertAlign w:val="subscript"/>
        </w:rPr>
      </w:pPr>
    </w:p>
    <w:p>
      <w:pPr>
        <w:ind w:left="1520" w:right="1340" w:hanging="1382"/>
        <w:spacing w:after="0" w:line="181" w:lineRule="auto"/>
        <w:tabs>
          <w:tab w:leader="none" w:pos="1477" w:val="left"/>
        </w:tabs>
        <w:numPr>
          <w:ilvl w:val="0"/>
          <w:numId w:val="1"/>
        </w:numPr>
        <w:rPr>
          <w:rFonts w:ascii="MS PGothic" w:cs="MS PGothic" w:eastAsia="MS PGothic" w:hAnsi="MS PGothic"/>
          <w:sz w:val="42"/>
          <w:szCs w:val="42"/>
          <w:color w:val="auto"/>
          <w:vertAlign w:val="subscript"/>
        </w:rPr>
      </w:pPr>
      <w:r>
        <w:rPr>
          <w:rFonts w:ascii="Times New Roman" w:cs="Times New Roman" w:eastAsia="Times New Roman" w:hAnsi="Times New Roman"/>
          <w:sz w:val="21"/>
          <w:szCs w:val="21"/>
          <w:color w:val="auto"/>
        </w:rPr>
        <w:t>Pre-commencement communications pursuant to Rule 13e-4(c) under the Exchange Act (17 CFR 240.13e-4(c))</w:t>
      </w:r>
    </w:p>
    <w:p>
      <w:pPr>
        <w:spacing w:after="0" w:line="274"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23" w:lineRule="exact"/>
        <w:rPr>
          <w:sz w:val="24"/>
          <w:szCs w:val="24"/>
          <w:color w:val="auto"/>
        </w:rPr>
      </w:pPr>
    </w:p>
    <w:p>
      <w:pPr>
        <w:spacing w:after="0" w:line="285"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40" w:lineRule="exact"/>
        <w:rPr>
          <w:sz w:val="24"/>
          <w:szCs w:val="24"/>
          <w:color w:val="auto"/>
        </w:rPr>
      </w:pPr>
    </w:p>
    <w:tbl>
      <w:tblPr>
        <w:tblLayout w:type="fixed"/>
        <w:tblInd w:w="10" w:type="dxa"/>
        <w:tblCellMar>
          <w:top w:w="0" w:type="dxa"/>
          <w:left w:w="0" w:type="dxa"/>
          <w:bottom w:w="0" w:type="dxa"/>
          <w:right w:w="0" w:type="dxa"/>
        </w:tblCellMar>
      </w:tblPr>
      <w:tr>
        <w:trPr>
          <w:trHeight w:val="49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Name of exchange on which registered</w:t>
            </w:r>
          </w:p>
        </w:tc>
      </w:tr>
      <w:tr>
        <w:trPr>
          <w:trHeight w:val="47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par value $0.10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VSH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20"/>
        </w:trPr>
        <w:tc>
          <w:tcPr>
            <w:tcW w:w="37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216" w:right="339" w:bottom="1440" w:gutter="0" w:footer="0" w:header="0"/>
        </w:sectPr>
      </w:pPr>
    </w:p>
    <w:bookmarkStart w:id="1" w:name="page2"/>
    <w:bookmarkEnd w:id="1"/>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Item 5.02 - Departure of Directors or Certain Officers; Election of Directors; Appointment of Certain Officers; Compensatory Arrangements of Certain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Appointment of Executive Officer</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On January 13, 2025, the Board of Directors (the “Board”) of Vishay Intertechnology, Inc. (the “Company” or “Vishay”) appointed Roy Shoshani, the Company’s current Executive Vice President – Chief Technical Officer, as the Company’s Executive Vice President – Chief Operating Officer of Semiconductors and Chief Technical Officer, effective as of January 13, 2025.</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Mr. Shoshani was not appointed to his new position pursuant to any arrangement or understanding between Mr. Shoshani and any other person. Mr. Shoshani is the brother of director Ziv Shoshani and the nephew of director Ruta Zandman. Except as disclosed herein, there are no family relationships between Mr. Shoshani and any director, executive officer, or any person nominated or chosen by the Company to become a director or executive officer. Mr. Shoshani is not a party to, and does not have any direct or indirect material interest in, any current or proposed transaction requiring disclosure under Item 404(a) of Regulation S-K.</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Biographical information for Mr. Shoshani is included in the Company’s definitive proxy statement filed with the Securities and Exchange Commission on April 1, 2024, which disclosures are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to Existing Employment Agreement</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January 13, 2025, the Compensation Committee of the Board approved the execution of an amendment to Mr. Shoshani’s employment agreement with the Company and its subsidiary, Siliconix incorporated. The amendment reflects Mr. Shoshani’s updated title and provides that, effective January 1, 2025, Mr. Shoshani will be entitled to an annual base salary not less than $690,800.</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summary is qualified in its entirety by reference to the amendment to Mr. Shoshani’s employment agreement, which amendment will be filed as an exhibit to the Company’s Annual Report on Form 10-K for the fiscal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Departure of the Chief Operating Officer</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January 13, 2025, the employment of Jeff Webster, the Company’s Executive Vice President – Chief Operating Officer, ceased on terms entitling him to severance benefits in accordance with the terms of his employment agreement, provided that Mr. Webster executes a release of claims and complies with pre-existing restrictive covenants.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Following the cessation of Mr. Webster’s employment, Joel Smejkal, the Company’s President &amp; Chief Executive Officer, will directly oversee the Passive Components function until a successor is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14, 2025</w:t>
      </w:r>
    </w:p>
    <w:p>
      <w:pPr>
        <w:spacing w:after="0" w:line="34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VISHAY INTERTECHNOLOGY, INC.</w:t>
      </w:r>
    </w:p>
    <w:p>
      <w:pPr>
        <w:spacing w:after="0" w:line="264" w:lineRule="exact"/>
        <w:rPr>
          <w:sz w:val="20"/>
          <w:szCs w:val="20"/>
          <w:color w:val="auto"/>
        </w:rPr>
      </w:pPr>
    </w:p>
    <w:tbl>
      <w:tblPr>
        <w:tblLayout w:type="fixed"/>
        <w:tblInd w:w="4860" w:type="dxa"/>
        <w:tblCellMar>
          <w:top w:w="0" w:type="dxa"/>
          <w:left w:w="0" w:type="dxa"/>
          <w:bottom w:w="0" w:type="dxa"/>
          <w:right w:w="0" w:type="dxa"/>
        </w:tblCellMar>
      </w:tblPr>
      <w:tr>
        <w:trPr>
          <w:trHeight w:val="253"/>
        </w:trPr>
        <w:tc>
          <w:tcPr>
            <w:tcW w:w="6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By:</w:t>
            </w:r>
          </w:p>
        </w:tc>
        <w:tc>
          <w:tcPr>
            <w:tcW w:w="40" w:type="dxa"/>
            <w:vAlign w:val="bottom"/>
          </w:tcPr>
          <w:p>
            <w:pPr>
              <w:spacing w:after="0"/>
              <w:rPr>
                <w:sz w:val="22"/>
                <w:szCs w:val="22"/>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David L. Tomlinson</w:t>
            </w:r>
          </w:p>
        </w:tc>
        <w:tc>
          <w:tcPr>
            <w:tcW w:w="3140" w:type="dxa"/>
            <w:vAlign w:val="bottom"/>
          </w:tcPr>
          <w:p>
            <w:pPr>
              <w:spacing w:after="0"/>
              <w:rPr>
                <w:sz w:val="22"/>
                <w:szCs w:val="22"/>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Pr>
          <w:p>
            <w:pPr>
              <w:spacing w:after="0"/>
              <w:rPr>
                <w:sz w:val="24"/>
                <w:szCs w:val="24"/>
                <w:color w:val="auto"/>
              </w:rPr>
            </w:pPr>
          </w:p>
        </w:tc>
        <w:tc>
          <w:tcPr>
            <w:tcW w:w="51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David L. Tomlinson</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 w:type="dxa"/>
            <w:vAlign w:val="bottom"/>
          </w:tcPr>
          <w:p>
            <w:pPr>
              <w:spacing w:after="0"/>
              <w:rPr>
                <w:sz w:val="24"/>
                <w:szCs w:val="24"/>
                <w:color w:val="auto"/>
              </w:rPr>
            </w:pPr>
          </w:p>
        </w:tc>
        <w:tc>
          <w:tcPr>
            <w:tcW w:w="51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w w:val="97"/>
              </w:rPr>
              <w:t>Senior Vice President – Chief Accounting Officer</w:t>
            </w:r>
          </w:p>
        </w:tc>
      </w:tr>
    </w:tbl>
    <w:p>
      <w:pPr>
        <w:spacing w:after="0" w:line="1" w:lineRule="exact"/>
        <w:rPr>
          <w:sz w:val="20"/>
          <w:szCs w:val="20"/>
          <w:color w:val="auto"/>
        </w:rPr>
      </w:pPr>
    </w:p>
    <w:sectPr>
      <w:pgSz w:w="11900" w:h="16838" w:orient="portrait"/>
      <w:cols w:equalWidth="0" w:num="1">
        <w:col w:w="11220"/>
      </w:cols>
      <w:pgMar w:left="320" w:top="40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2025-01-14T07:34:52Z</dcterms:created>
  <dcterms:modified xsi:type="dcterms:W3CDTF">2025-01-14T07:34:52Z</dcterms:modified>
</cp:coreProperties>
</file>