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(Mark One)</w:t>
      </w:r>
    </w:p>
    <w:p>
      <w:pPr>
        <w:spacing w:after="0" w:line="202" w:lineRule="exact"/>
        <w:rPr>
          <w:sz w:val="24"/>
          <w:szCs w:val="24"/>
          <w:color w:val="auto"/>
        </w:rPr>
      </w:pPr>
    </w:p>
    <w:p>
      <w:pPr>
        <w:ind w:left="500" w:right="260" w:hanging="492"/>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0" w:lineRule="exact"/>
        <w:rPr>
          <w:sz w:val="24"/>
          <w:szCs w:val="24"/>
          <w:color w:val="auto"/>
        </w:rPr>
      </w:pPr>
    </w:p>
    <w:p>
      <w:pPr>
        <w:ind w:left="660"/>
        <w:spacing w:after="0"/>
        <w:tabs>
          <w:tab w:leader="none" w:pos="4100" w:val="left"/>
        </w:tabs>
        <w:rPr>
          <w:sz w:val="20"/>
          <w:szCs w:val="20"/>
          <w:color w:val="auto"/>
        </w:rPr>
      </w:pPr>
      <w:r>
        <w:rPr>
          <w:rFonts w:ascii="Times New Roman" w:cs="Times New Roman" w:eastAsia="Times New Roman" w:hAnsi="Times New Roman"/>
          <w:sz w:val="22"/>
          <w:szCs w:val="22"/>
          <w:b w:val="1"/>
          <w:bCs w:val="1"/>
          <w:color w:val="auto"/>
        </w:rPr>
        <w:t>For the quarterly period ended</w:t>
      </w:r>
      <w:r>
        <w:rPr>
          <w:sz w:val="20"/>
          <w:szCs w:val="20"/>
          <w:color w:val="auto"/>
        </w:rPr>
        <w:tab/>
      </w:r>
      <w:r>
        <w:rPr>
          <w:rFonts w:ascii="Times New Roman" w:cs="Times New Roman" w:eastAsia="Times New Roman" w:hAnsi="Times New Roman"/>
          <w:sz w:val="21"/>
          <w:szCs w:val="21"/>
          <w:b w:val="1"/>
          <w:bCs w:val="1"/>
          <w:color w:val="auto"/>
        </w:rPr>
        <w:t>April 4, 2026</w:t>
      </w:r>
    </w:p>
    <w:p>
      <w:pPr>
        <w:spacing w:after="0" w:line="206" w:lineRule="exact"/>
        <w:rPr>
          <w:sz w:val="24"/>
          <w:szCs w:val="24"/>
          <w:color w:val="auto"/>
        </w:rPr>
      </w:pPr>
    </w:p>
    <w:p>
      <w:pPr>
        <w:ind w:left="420" w:right="320" w:hanging="412"/>
        <w:spacing w:after="0" w:line="262"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For the transition period from </w:t>
      </w:r>
      <w:r>
        <w:rPr>
          <w:rFonts w:ascii="Times New Roman" w:cs="Times New Roman" w:eastAsia="Times New Roman" w:hAnsi="Times New Roman"/>
          <w:sz w:val="22"/>
          <w:szCs w:val="22"/>
          <w:u w:val="single" w:color="auto"/>
          <w:color w:val="auto"/>
        </w:rPr>
        <w:t>_______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011-07416</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Vishay Intertechnology,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11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080" w:type="dxa"/>
            <w:vAlign w:val="bottom"/>
            <w:tcBorders>
              <w:bottom w:val="single" w:sz="8" w:color="auto"/>
            </w:tcBorders>
            <w:gridSpan w:val="2"/>
          </w:tcPr>
          <w:p>
            <w:pPr>
              <w:jc w:val="right"/>
              <w:ind w:right="1092"/>
              <w:spacing w:after="0"/>
              <w:rPr>
                <w:sz w:val="20"/>
                <w:szCs w:val="20"/>
                <w:color w:val="auto"/>
              </w:rPr>
            </w:pPr>
            <w:r>
              <w:rPr>
                <w:rFonts w:ascii="Times New Roman" w:cs="Times New Roman" w:eastAsia="Times New Roman" w:hAnsi="Times New Roman"/>
                <w:sz w:val="22"/>
                <w:szCs w:val="22"/>
                <w:b w:val="1"/>
                <w:bCs w:val="1"/>
                <w:color w:val="auto"/>
              </w:rPr>
              <w:t>38-1686453</w:t>
            </w:r>
          </w:p>
        </w:tc>
        <w:tc>
          <w:tcPr>
            <w:tcW w:w="640" w:type="dxa"/>
            <w:vAlign w:val="bottom"/>
            <w:tcBorders>
              <w:bottom w:val="single" w:sz="8" w:color="auto"/>
            </w:tcBorders>
          </w:tcPr>
          <w:p>
            <w:pPr>
              <w:spacing w:after="0"/>
              <w:rPr>
                <w:sz w:val="24"/>
                <w:szCs w:val="24"/>
                <w:color w:val="auto"/>
              </w:rPr>
            </w:pPr>
          </w:p>
        </w:tc>
      </w:tr>
      <w:tr>
        <w:trPr>
          <w:trHeight w:val="282"/>
        </w:trPr>
        <w:tc>
          <w:tcPr>
            <w:tcW w:w="480" w:type="dxa"/>
            <w:vAlign w:val="bottom"/>
          </w:tcPr>
          <w:p>
            <w:pPr>
              <w:spacing w:after="0"/>
              <w:rPr>
                <w:sz w:val="24"/>
                <w:szCs w:val="24"/>
                <w:color w:val="auto"/>
              </w:rPr>
            </w:pPr>
          </w:p>
        </w:tc>
        <w:tc>
          <w:tcPr>
            <w:tcW w:w="5440" w:type="dxa"/>
            <w:vAlign w:val="bottom"/>
            <w:gridSpan w:val="3"/>
          </w:tcPr>
          <w:p>
            <w:pPr>
              <w:jc w:val="center"/>
              <w:ind w:right="372"/>
              <w:spacing w:after="0"/>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(I.R.S. Employer Identification Number)</w:t>
            </w:r>
          </w:p>
        </w:tc>
      </w:tr>
      <w:tr>
        <w:trPr>
          <w:trHeight w:val="388"/>
        </w:trPr>
        <w:tc>
          <w:tcPr>
            <w:tcW w:w="480" w:type="dxa"/>
            <w:vAlign w:val="bottom"/>
          </w:tcPr>
          <w:p>
            <w:pPr>
              <w:spacing w:after="0"/>
              <w:rPr>
                <w:sz w:val="24"/>
                <w:szCs w:val="24"/>
                <w:color w:val="auto"/>
              </w:rPr>
            </w:pPr>
          </w:p>
        </w:tc>
        <w:tc>
          <w:tcPr>
            <w:tcW w:w="4320" w:type="dxa"/>
            <w:vAlign w:val="bottom"/>
            <w:gridSpan w:val="2"/>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6"/>
              </w:rPr>
              <w:t>63 Lancaster Avenue</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1"/>
        </w:trPr>
        <w:tc>
          <w:tcPr>
            <w:tcW w:w="4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8"/>
              </w:rPr>
              <w:t>Malvern, Pennsylvania 19355-2143</w:t>
            </w:r>
          </w:p>
        </w:tc>
        <w:tc>
          <w:tcPr>
            <w:tcW w:w="11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080" w:type="dxa"/>
            <w:vAlign w:val="bottom"/>
            <w:tcBorders>
              <w:bottom w:val="single" w:sz="8" w:color="auto"/>
            </w:tcBorders>
            <w:gridSpan w:val="2"/>
          </w:tcPr>
          <w:p>
            <w:pPr>
              <w:jc w:val="right"/>
              <w:ind w:right="992"/>
              <w:spacing w:after="0"/>
              <w:rPr>
                <w:sz w:val="20"/>
                <w:szCs w:val="20"/>
                <w:color w:val="auto"/>
              </w:rPr>
            </w:pPr>
            <w:r>
              <w:rPr>
                <w:rFonts w:ascii="Times New Roman" w:cs="Times New Roman" w:eastAsia="Times New Roman" w:hAnsi="Times New Roman"/>
                <w:sz w:val="22"/>
                <w:szCs w:val="22"/>
                <w:b w:val="1"/>
                <w:bCs w:val="1"/>
                <w:color w:val="auto"/>
              </w:rPr>
              <w:t>610-644-1300</w:t>
            </w:r>
          </w:p>
        </w:tc>
        <w:tc>
          <w:tcPr>
            <w:tcW w:w="640" w:type="dxa"/>
            <w:vAlign w:val="bottom"/>
            <w:tcBorders>
              <w:bottom w:val="single" w:sz="8" w:color="auto"/>
            </w:tcBorders>
          </w:tcPr>
          <w:p>
            <w:pPr>
              <w:spacing w:after="0"/>
              <w:rPr>
                <w:sz w:val="24"/>
                <w:szCs w:val="24"/>
                <w:color w:val="auto"/>
              </w:rPr>
            </w:pPr>
          </w:p>
        </w:tc>
      </w:tr>
      <w:tr>
        <w:trPr>
          <w:trHeight w:val="282"/>
        </w:trPr>
        <w:tc>
          <w:tcPr>
            <w:tcW w:w="480" w:type="dxa"/>
            <w:vAlign w:val="bottom"/>
          </w:tcPr>
          <w:p>
            <w:pPr>
              <w:spacing w:after="0"/>
              <w:rPr>
                <w:sz w:val="24"/>
                <w:szCs w:val="24"/>
                <w:color w:val="auto"/>
              </w:rPr>
            </w:pPr>
          </w:p>
        </w:tc>
        <w:tc>
          <w:tcPr>
            <w:tcW w:w="4320" w:type="dxa"/>
            <w:vAlign w:val="bottom"/>
            <w:gridSpan w:val="2"/>
          </w:tcPr>
          <w:p>
            <w:pPr>
              <w:jc w:val="center"/>
              <w:ind w:left="53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(Registrant’s Area Code and Telephone Number)</w:t>
            </w:r>
          </w:p>
        </w:tc>
      </w:tr>
      <w:tr>
        <w:trPr>
          <w:trHeight w:val="432"/>
        </w:trPr>
        <w:tc>
          <w:tcPr>
            <w:tcW w:w="6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tc>
        <w:tc>
          <w:tcPr>
            <w:tcW w:w="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1"/>
        </w:trPr>
        <w:tc>
          <w:tcPr>
            <w:tcW w:w="48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50"/>
        </w:trPr>
        <w:tc>
          <w:tcPr>
            <w:tcW w:w="48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Title of each class</w:t>
            </w:r>
          </w:p>
        </w:tc>
        <w:tc>
          <w:tcPr>
            <w:tcW w:w="6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color w:val="auto"/>
                <w:w w:val="97"/>
              </w:rPr>
              <w:t>Trading symbol</w:t>
            </w:r>
          </w:p>
        </w:tc>
        <w:tc>
          <w:tcPr>
            <w:tcW w:w="540" w:type="dxa"/>
            <w:vAlign w:val="bottom"/>
            <w:tcBorders>
              <w:bottom w:val="single" w:sz="8" w:color="auto"/>
              <w:right w:val="single" w:sz="8" w:color="auto"/>
            </w:tcBorders>
          </w:tcPr>
          <w:p>
            <w:pPr>
              <w:spacing w:after="0"/>
              <w:rPr>
                <w:sz w:val="21"/>
                <w:szCs w:val="21"/>
                <w:color w:val="auto"/>
              </w:rPr>
            </w:pPr>
          </w:p>
        </w:tc>
        <w:tc>
          <w:tcPr>
            <w:tcW w:w="354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Name of exchange on which registered</w:t>
            </w:r>
          </w:p>
        </w:tc>
        <w:tc>
          <w:tcPr>
            <w:tcW w:w="640" w:type="dxa"/>
            <w:vAlign w:val="bottom"/>
          </w:tcPr>
          <w:p>
            <w:pPr>
              <w:spacing w:after="0"/>
              <w:rPr>
                <w:sz w:val="21"/>
                <w:szCs w:val="21"/>
                <w:color w:val="auto"/>
              </w:rPr>
            </w:pPr>
          </w:p>
        </w:tc>
      </w:tr>
      <w:tr>
        <w:trPr>
          <w:trHeight w:val="250"/>
        </w:trPr>
        <w:tc>
          <w:tcPr>
            <w:tcW w:w="48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par value $0.10 per share</w:t>
            </w:r>
          </w:p>
        </w:tc>
        <w:tc>
          <w:tcPr>
            <w:tcW w:w="6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color w:val="auto"/>
                <w:w w:val="99"/>
              </w:rPr>
              <w:t>VSH</w:t>
            </w:r>
          </w:p>
        </w:tc>
        <w:tc>
          <w:tcPr>
            <w:tcW w:w="540" w:type="dxa"/>
            <w:vAlign w:val="bottom"/>
            <w:tcBorders>
              <w:bottom w:val="single" w:sz="8" w:color="auto"/>
              <w:right w:val="single" w:sz="8" w:color="auto"/>
            </w:tcBorders>
          </w:tcPr>
          <w:p>
            <w:pPr>
              <w:spacing w:after="0"/>
              <w:rPr>
                <w:sz w:val="21"/>
                <w:szCs w:val="21"/>
                <w:color w:val="auto"/>
              </w:rPr>
            </w:pPr>
          </w:p>
        </w:tc>
        <w:tc>
          <w:tcPr>
            <w:tcW w:w="3540" w:type="dxa"/>
            <w:vAlign w:val="bottom"/>
            <w:tcBorders>
              <w:bottom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New York Stock Exchange LLC</w:t>
            </w:r>
          </w:p>
        </w:tc>
        <w:tc>
          <w:tcPr>
            <w:tcW w:w="640" w:type="dxa"/>
            <w:vAlign w:val="bottom"/>
          </w:tcPr>
          <w:p>
            <w:pPr>
              <w:spacing w:after="0"/>
              <w:rPr>
                <w:sz w:val="21"/>
                <w:szCs w:val="21"/>
                <w:color w:val="auto"/>
              </w:rPr>
            </w:pPr>
          </w:p>
        </w:tc>
      </w:tr>
    </w:tbl>
    <w:p>
      <w:pPr>
        <w:spacing w:after="0" w:line="189" w:lineRule="exact"/>
        <w:rPr>
          <w:sz w:val="24"/>
          <w:szCs w:val="24"/>
          <w:color w:val="auto"/>
        </w:rPr>
      </w:pPr>
    </w:p>
    <w:p>
      <w:pPr>
        <w:jc w:val="both"/>
        <w:ind w:right="20"/>
        <w:spacing w:after="0" w:line="271"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146"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3" w:lineRule="exact"/>
        <w:rPr>
          <w:sz w:val="24"/>
          <w:szCs w:val="24"/>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19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1440" w:gutter="0" w:footer="0" w:header="0"/>
        </w:sectPr>
      </w:pPr>
    </w:p>
    <w:p>
      <w:pPr>
        <w:spacing w:after="0" w:line="139" w:lineRule="exact"/>
        <w:rPr>
          <w:sz w:val="24"/>
          <w:szCs w:val="24"/>
          <w:color w:val="auto"/>
        </w:rPr>
      </w:pPr>
    </w:p>
    <w:p>
      <w:pPr>
        <w:ind w:left="860"/>
        <w:spacing w:after="0" w:line="253" w:lineRule="exact"/>
        <w:rPr>
          <w:sz w:val="20"/>
          <w:szCs w:val="20"/>
          <w:color w:val="auto"/>
        </w:rPr>
      </w:pPr>
      <w:r>
        <w:rPr>
          <w:rFonts w:ascii="Times New Roman" w:cs="Times New Roman" w:eastAsia="Times New Roman" w:hAnsi="Times New Roman"/>
          <w:sz w:val="22"/>
          <w:szCs w:val="22"/>
          <w:color w:val="auto"/>
        </w:rPr>
        <w:t xml:space="preserve">Large Accelerated Filer </w:t>
      </w:r>
      <w:r>
        <w:rPr>
          <w:rFonts w:ascii="MS PGothic" w:cs="MS PGothic" w:eastAsia="MS PGothic" w:hAnsi="MS PGothic"/>
          <w:sz w:val="22"/>
          <w:szCs w:val="22"/>
          <w:color w:val="auto"/>
        </w:rPr>
        <w:t>☒</w:t>
      </w:r>
    </w:p>
    <w:p>
      <w:pPr>
        <w:spacing w:after="0" w:line="76" w:lineRule="exact"/>
        <w:rPr>
          <w:sz w:val="24"/>
          <w:szCs w:val="24"/>
          <w:color w:val="auto"/>
        </w:rPr>
      </w:pPr>
    </w:p>
    <w:p>
      <w:pPr>
        <w:ind w:left="860"/>
        <w:spacing w:after="0" w:line="253" w:lineRule="exact"/>
        <w:rPr>
          <w:sz w:val="20"/>
          <w:szCs w:val="20"/>
          <w:color w:val="auto"/>
        </w:rPr>
      </w:pPr>
      <w:r>
        <w:rPr>
          <w:rFonts w:ascii="Times New Roman" w:cs="Times New Roman" w:eastAsia="Times New Roman" w:hAnsi="Times New Roman"/>
          <w:sz w:val="22"/>
          <w:szCs w:val="22"/>
          <w:color w:val="auto"/>
        </w:rPr>
        <w:t xml:space="preserve">Non-accelerated filer </w:t>
      </w:r>
      <w:r>
        <w:rPr>
          <w:rFonts w:ascii="MS PGothic" w:cs="MS PGothic" w:eastAsia="MS PGothic" w:hAnsi="MS PGothic"/>
          <w:sz w:val="22"/>
          <w:szCs w:val="22"/>
          <w:color w:val="auto"/>
        </w:rPr>
        <w:t>☐</w:t>
      </w:r>
    </w:p>
    <w:p>
      <w:pPr>
        <w:spacing w:after="0" w:line="4" w:lineRule="exact"/>
        <w:rPr>
          <w:sz w:val="24"/>
          <w:szCs w:val="24"/>
          <w:color w:val="auto"/>
        </w:rPr>
      </w:pPr>
    </w:p>
    <w:p>
      <w:pPr>
        <w:ind w:left="86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Accelerated filer </w:t>
      </w:r>
      <w:r>
        <w:rPr>
          <w:rFonts w:ascii="MS PGothic" w:cs="MS PGothic" w:eastAsia="MS PGothic" w:hAnsi="MS PGothic"/>
          <w:sz w:val="22"/>
          <w:szCs w:val="22"/>
          <w:color w:val="auto"/>
        </w:rPr>
        <w:t>☐</w:t>
      </w:r>
    </w:p>
    <w:p>
      <w:pPr>
        <w:spacing w:after="0" w:line="76"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Smaller reporting company </w:t>
      </w:r>
      <w:r>
        <w:rPr>
          <w:rFonts w:ascii="MS PGothic" w:cs="MS PGothic" w:eastAsia="MS PGothic" w:hAnsi="MS PGothic"/>
          <w:sz w:val="21"/>
          <w:szCs w:val="21"/>
          <w:color w:val="auto"/>
        </w:rPr>
        <w:t>☐</w:t>
      </w:r>
    </w:p>
    <w:p>
      <w:pPr>
        <w:spacing w:after="0" w:line="450" w:lineRule="exact"/>
        <w:rPr>
          <w:sz w:val="24"/>
          <w:szCs w:val="24"/>
          <w:color w:val="auto"/>
        </w:rPr>
      </w:pPr>
    </w:p>
    <w:p>
      <w:pPr>
        <w:sectPr>
          <w:pgSz w:w="11900" w:h="16838" w:orient="portrait"/>
          <w:cols w:equalWidth="0" w:num="2">
            <w:col w:w="6220" w:space="720"/>
            <w:col w:w="4300"/>
          </w:cols>
          <w:pgMar w:left="320" w:top="216" w:right="339" w:bottom="1440" w:gutter="0" w:footer="0" w:header="0"/>
          <w:type w:val="continuous"/>
        </w:sect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is a shell company (as defined in Rule 12b-2 of the Exchange Act).</w:t>
      </w:r>
    </w:p>
    <w:p>
      <w:pPr>
        <w:spacing w:after="0" w:line="20" w:lineRule="exact"/>
        <w:rPr>
          <w:sz w:val="24"/>
          <w:szCs w:val="24"/>
          <w:color w:val="auto"/>
        </w:rPr>
      </w:pPr>
    </w:p>
    <w:p>
      <w:pPr>
        <w:ind w:left="260" w:hanging="252"/>
        <w:spacing w:after="0" w:line="253" w:lineRule="exact"/>
        <w:tabs>
          <w:tab w:leader="none" w:pos="2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19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of May 11, 2026 the registrant had 124,008,679 shares of its common stock and 12,097,148 shares of its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4795520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180" w:type="dxa"/>
            <w:vAlign w:val="bottom"/>
            <w:gridSpan w:val="19"/>
          </w:tcPr>
          <w:p>
            <w:pPr>
              <w:jc w:val="center"/>
              <w:ind w:right="1940"/>
              <w:spacing w:after="0"/>
              <w:rPr>
                <w:sz w:val="20"/>
                <w:szCs w:val="20"/>
                <w:color w:val="auto"/>
              </w:rPr>
            </w:pPr>
            <w:r>
              <w:rPr>
                <w:rFonts w:ascii="Times New Roman" w:cs="Times New Roman" w:eastAsia="Times New Roman" w:hAnsi="Times New Roman"/>
                <w:sz w:val="23"/>
                <w:szCs w:val="23"/>
                <w:b w:val="1"/>
                <w:bCs w:val="1"/>
                <w:color w:val="auto"/>
              </w:rPr>
              <w:t>VISHAY INTERTECHNOLOGY, INC.</w:t>
            </w: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60" w:type="dxa"/>
            <w:vAlign w:val="bottom"/>
            <w:gridSpan w:val="14"/>
          </w:tcPr>
          <w:p>
            <w:pPr>
              <w:jc w:val="center"/>
              <w:ind w:right="34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FORM 10-Q</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15"/>
          </w:tcPr>
          <w:p>
            <w:pPr>
              <w:jc w:val="center"/>
              <w:ind w:right="30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4, 2026</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gridSpan w:val="14"/>
          </w:tcPr>
          <w:p>
            <w:pPr>
              <w:jc w:val="center"/>
              <w:ind w:right="3460"/>
              <w:spacing w:after="0"/>
              <w:rPr>
                <w:sz w:val="20"/>
                <w:szCs w:val="20"/>
                <w:color w:val="auto"/>
              </w:rPr>
            </w:pPr>
            <w:r>
              <w:rPr>
                <w:rFonts w:ascii="Times New Roman" w:cs="Times New Roman" w:eastAsia="Times New Roman" w:hAnsi="Times New Roman"/>
                <w:sz w:val="22"/>
                <w:szCs w:val="22"/>
                <w:b w:val="1"/>
                <w:bCs w:val="1"/>
                <w:color w:val="auto"/>
                <w:w w:val="99"/>
              </w:rPr>
              <w:t>CONTENTS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23"/>
                <w:szCs w:val="23"/>
                <w:color w:val="auto"/>
              </w:rPr>
              <w:t>Page Number</w:t>
            </w:r>
          </w:p>
        </w:tc>
        <w:tc>
          <w:tcPr>
            <w:tcW w:w="0" w:type="dxa"/>
            <w:vAlign w:val="bottom"/>
          </w:tcPr>
          <w:p>
            <w:pPr>
              <w:spacing w:after="0"/>
              <w:rPr>
                <w:sz w:val="1"/>
                <w:szCs w:val="1"/>
                <w:color w:val="auto"/>
              </w:rPr>
            </w:pPr>
          </w:p>
        </w:tc>
      </w:tr>
      <w:tr>
        <w:trPr>
          <w:trHeight w:val="236"/>
        </w:trPr>
        <w:tc>
          <w:tcPr>
            <w:tcW w:w="200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23"/>
                <w:szCs w:val="23"/>
                <w:b w:val="1"/>
                <w:bCs w:val="1"/>
                <w:color w:val="0000EE"/>
              </w:rPr>
              <w:t>PART I.</w:t>
            </w:r>
          </w:p>
        </w:tc>
        <w:tc>
          <w:tcPr>
            <w:tcW w:w="76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23"/>
                <w:szCs w:val="23"/>
                <w:b w:val="1"/>
                <w:bCs w:val="1"/>
                <w:color w:val="0000EE"/>
              </w:rPr>
              <w:t>FINANCIAL INFORMATION</w:t>
            </w: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1.</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Financial Statements (Unaudited)</w:t>
            </w: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Consolidated Condensed Balance Sheets – April 4, 2026 and December 31,</w:t>
            </w:r>
          </w:p>
        </w:tc>
        <w:tc>
          <w:tcPr>
            <w:tcW w:w="900" w:type="dxa"/>
            <w:vAlign w:val="bottom"/>
            <w:gridSpan w:val="4"/>
            <w:vMerge w:val="restart"/>
            <w:shd w:val="clear" w:color="auto" w:fill="CCEEFF"/>
          </w:tcPr>
          <w:p>
            <w:pPr>
              <w:jc w:val="center"/>
              <w:ind w:left="543"/>
              <w:spacing w:after="0"/>
              <w:rPr>
                <w:sz w:val="20"/>
                <w:szCs w:val="20"/>
                <w:color w:val="auto"/>
              </w:rPr>
            </w:pPr>
            <w:r>
              <w:rPr>
                <w:rFonts w:ascii="Times New Roman" w:cs="Times New Roman" w:eastAsia="Times New Roman" w:hAnsi="Times New Roman"/>
                <w:sz w:val="23"/>
                <w:szCs w:val="23"/>
                <w:color w:val="0000EE"/>
              </w:rPr>
              <w:t>4</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0000EE"/>
            </w:tcBorders>
            <w:shd w:val="clear" w:color="auto" w:fill="CCEEFF"/>
          </w:tcPr>
          <w:p>
            <w:pPr>
              <w:spacing w:after="0" w:line="250" w:lineRule="exact"/>
              <w:rPr>
                <w:sz w:val="20"/>
                <w:szCs w:val="20"/>
                <w:color w:val="auto"/>
              </w:rPr>
            </w:pPr>
            <w:r>
              <w:rPr>
                <w:rFonts w:ascii="Times New Roman" w:cs="Times New Roman" w:eastAsia="Times New Roman" w:hAnsi="Times New Roman"/>
                <w:sz w:val="23"/>
                <w:szCs w:val="23"/>
                <w:color w:val="0000EE"/>
                <w:w w:val="99"/>
              </w:rPr>
              <w:t>2025</w:t>
            </w:r>
          </w:p>
        </w:tc>
        <w:tc>
          <w:tcPr>
            <w:tcW w:w="300" w:type="dxa"/>
            <w:vAlign w:val="bottom"/>
            <w:tcBorders>
              <w:top w:val="single" w:sz="8" w:color="0000EE"/>
            </w:tcBorders>
            <w:shd w:val="clear" w:color="auto" w:fill="CCEEFF"/>
          </w:tcPr>
          <w:p>
            <w:pPr>
              <w:spacing w:after="0"/>
              <w:rPr>
                <w:sz w:val="24"/>
                <w:szCs w:val="24"/>
                <w:color w:val="auto"/>
              </w:rPr>
            </w:pPr>
          </w:p>
        </w:tc>
        <w:tc>
          <w:tcPr>
            <w:tcW w:w="400" w:type="dxa"/>
            <w:vAlign w:val="bottom"/>
            <w:tcBorders>
              <w:top w:val="single" w:sz="8" w:color="0000EE"/>
            </w:tcBorders>
            <w:shd w:val="clear" w:color="auto" w:fill="CCEEFF"/>
          </w:tcPr>
          <w:p>
            <w:pPr>
              <w:spacing w:after="0"/>
              <w:rPr>
                <w:sz w:val="24"/>
                <w:szCs w:val="24"/>
                <w:color w:val="auto"/>
              </w:rPr>
            </w:pPr>
          </w:p>
        </w:tc>
        <w:tc>
          <w:tcPr>
            <w:tcW w:w="10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560" w:type="dxa"/>
            <w:vAlign w:val="bottom"/>
            <w:tcBorders>
              <w:top w:val="single" w:sz="8" w:color="0000EE"/>
            </w:tcBorders>
            <w:shd w:val="clear" w:color="auto" w:fill="CCEEFF"/>
          </w:tcPr>
          <w:p>
            <w:pPr>
              <w:spacing w:after="0"/>
              <w:rPr>
                <w:sz w:val="24"/>
                <w:szCs w:val="24"/>
                <w:color w:val="auto"/>
              </w:rPr>
            </w:pPr>
          </w:p>
        </w:tc>
        <w:tc>
          <w:tcPr>
            <w:tcW w:w="340" w:type="dxa"/>
            <w:vAlign w:val="bottom"/>
            <w:tcBorders>
              <w:top w:val="single" w:sz="8" w:color="0000EE"/>
            </w:tcBorders>
            <w:shd w:val="clear" w:color="auto" w:fill="CCEEFF"/>
          </w:tcPr>
          <w:p>
            <w:pPr>
              <w:spacing w:after="0"/>
              <w:rPr>
                <w:sz w:val="24"/>
                <w:szCs w:val="24"/>
                <w:color w:val="auto"/>
              </w:rPr>
            </w:pPr>
          </w:p>
        </w:tc>
        <w:tc>
          <w:tcPr>
            <w:tcW w:w="380" w:type="dxa"/>
            <w:vAlign w:val="bottom"/>
            <w:tcBorders>
              <w:top w:val="single" w:sz="8" w:color="0000EE"/>
            </w:tcBorders>
            <w:shd w:val="clear" w:color="auto" w:fill="CCEEFF"/>
          </w:tcPr>
          <w:p>
            <w:pPr>
              <w:spacing w:after="0"/>
              <w:rPr>
                <w:sz w:val="24"/>
                <w:szCs w:val="24"/>
                <w:color w:val="auto"/>
              </w:rPr>
            </w:pPr>
          </w:p>
        </w:tc>
        <w:tc>
          <w:tcPr>
            <w:tcW w:w="10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60" w:type="dxa"/>
            <w:vAlign w:val="bottom"/>
            <w:tcBorders>
              <w:top w:val="single" w:sz="8" w:color="0000EE"/>
            </w:tcBorders>
            <w:shd w:val="clear" w:color="auto" w:fill="CCEEFF"/>
          </w:tcPr>
          <w:p>
            <w:pPr>
              <w:spacing w:after="0"/>
              <w:rPr>
                <w:sz w:val="24"/>
                <w:szCs w:val="24"/>
                <w:color w:val="auto"/>
              </w:rPr>
            </w:pPr>
          </w:p>
        </w:tc>
        <w:tc>
          <w:tcPr>
            <w:tcW w:w="560" w:type="dxa"/>
            <w:vAlign w:val="bottom"/>
            <w:tcBorders>
              <w:top w:val="single" w:sz="8" w:color="0000EE"/>
            </w:tcBorders>
            <w:shd w:val="clear" w:color="auto" w:fill="CCEEFF"/>
          </w:tcPr>
          <w:p>
            <w:pPr>
              <w:spacing w:after="0"/>
              <w:rPr>
                <w:sz w:val="24"/>
                <w:szCs w:val="24"/>
                <w:color w:val="auto"/>
              </w:rPr>
            </w:pPr>
          </w:p>
        </w:tc>
        <w:tc>
          <w:tcPr>
            <w:tcW w:w="300" w:type="dxa"/>
            <w:vAlign w:val="bottom"/>
            <w:tcBorders>
              <w:top w:val="single" w:sz="8" w:color="0000EE"/>
            </w:tcBorders>
            <w:shd w:val="clear" w:color="auto" w:fill="CCEEFF"/>
          </w:tcPr>
          <w:p>
            <w:pPr>
              <w:spacing w:after="0"/>
              <w:rPr>
                <w:sz w:val="24"/>
                <w:szCs w:val="24"/>
                <w:color w:val="auto"/>
              </w:rPr>
            </w:pPr>
          </w:p>
        </w:tc>
        <w:tc>
          <w:tcPr>
            <w:tcW w:w="480" w:type="dxa"/>
            <w:vAlign w:val="bottom"/>
            <w:tcBorders>
              <w:top w:val="single" w:sz="8" w:color="0000EE"/>
            </w:tcBorders>
            <w:shd w:val="clear" w:color="auto" w:fill="CCEEFF"/>
          </w:tcPr>
          <w:p>
            <w:pPr>
              <w:spacing w:after="0"/>
              <w:rPr>
                <w:sz w:val="24"/>
                <w:szCs w:val="24"/>
                <w:color w:val="auto"/>
              </w:rPr>
            </w:pPr>
          </w:p>
        </w:tc>
        <w:tc>
          <w:tcPr>
            <w:tcW w:w="4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1080" w:type="dxa"/>
            <w:vAlign w:val="bottom"/>
            <w:tcBorders>
              <w:top w:val="single" w:sz="8" w:color="0000EE"/>
            </w:tcBorders>
            <w:shd w:val="clear" w:color="auto" w:fill="CCEEFF"/>
          </w:tcPr>
          <w:p>
            <w:pPr>
              <w:spacing w:after="0"/>
              <w:rPr>
                <w:sz w:val="24"/>
                <w:szCs w:val="24"/>
                <w:color w:val="auto"/>
              </w:rPr>
            </w:pPr>
          </w:p>
        </w:tc>
        <w:tc>
          <w:tcPr>
            <w:tcW w:w="24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CCEEFF"/>
            </w:tcBorders>
            <w:gridSpan w:val="4"/>
            <w:vMerge w:val="continue"/>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0000EE"/>
            </w:tcBorders>
            <w:gridSpan w:val="2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Consolidated Condensed Statements of Operations – Fiscal Quarters Ended</w:t>
            </w: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4"/>
            <w:vMerge w:val="restart"/>
            <w:shd w:val="clear" w:color="auto" w:fill="CCEEFF"/>
          </w:tcPr>
          <w:p>
            <w:pPr>
              <w:jc w:val="center"/>
              <w:ind w:left="543"/>
              <w:spacing w:after="0"/>
              <w:rPr>
                <w:sz w:val="20"/>
                <w:szCs w:val="20"/>
                <w:color w:val="auto"/>
              </w:rPr>
            </w:pPr>
            <w:r>
              <w:rPr>
                <w:rFonts w:ascii="Times New Roman" w:cs="Times New Roman" w:eastAsia="Times New Roman" w:hAnsi="Times New Roman"/>
                <w:sz w:val="23"/>
                <w:szCs w:val="23"/>
                <w:color w:val="0000EE"/>
              </w:rPr>
              <w:t>6</w:t>
            </w: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80" w:type="dxa"/>
            <w:vAlign w:val="bottom"/>
            <w:gridSpan w:val="24"/>
            <w:shd w:val="clear" w:color="auto" w:fill="CCEEFF"/>
          </w:tcPr>
          <w:p>
            <w:pPr>
              <w:spacing w:after="0" w:line="250" w:lineRule="exact"/>
              <w:rPr>
                <w:sz w:val="20"/>
                <w:szCs w:val="20"/>
                <w:color w:val="auto"/>
              </w:rPr>
            </w:pPr>
            <w:r>
              <w:rPr>
                <w:rFonts w:ascii="Times New Roman" w:cs="Times New Roman" w:eastAsia="Times New Roman" w:hAnsi="Times New Roman"/>
                <w:sz w:val="23"/>
                <w:szCs w:val="23"/>
                <w:color w:val="0000EE"/>
              </w:rPr>
              <w:t>April 4, 2026 and March 29, 2025</w:t>
            </w:r>
          </w:p>
        </w:tc>
        <w:tc>
          <w:tcPr>
            <w:tcW w:w="900" w:type="dxa"/>
            <w:vAlign w:val="bottom"/>
            <w:gridSpan w:val="4"/>
            <w:vMerge w:val="continue"/>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0000EE"/>
            </w:tcBorders>
            <w:gridSpan w:val="20"/>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Consolidated Condensed Statements of Comprehensive Income – Fiscal</w:t>
            </w:r>
          </w:p>
        </w:tc>
        <w:tc>
          <w:tcPr>
            <w:tcW w:w="920" w:type="dxa"/>
            <w:vAlign w:val="bottom"/>
            <w:tcBorders>
              <w:bottom w:val="single" w:sz="8" w:color="CCEEFF"/>
            </w:tcBorders>
            <w:gridSpan w:val="4"/>
            <w:shd w:val="clear" w:color="auto" w:fill="CCEEFF"/>
          </w:tcPr>
          <w:p>
            <w:pPr>
              <w:spacing w:after="0"/>
              <w:rPr>
                <w:sz w:val="18"/>
                <w:szCs w:val="18"/>
                <w:color w:val="auto"/>
              </w:rPr>
            </w:pPr>
          </w:p>
        </w:tc>
        <w:tc>
          <w:tcPr>
            <w:tcW w:w="900" w:type="dxa"/>
            <w:vAlign w:val="bottom"/>
            <w:tcBorders>
              <w:bottom w:val="single" w:sz="8" w:color="CCEEFF"/>
            </w:tcBorders>
            <w:gridSpan w:val="4"/>
            <w:vMerge w:val="restart"/>
            <w:shd w:val="clear" w:color="auto" w:fill="CCEEFF"/>
          </w:tcPr>
          <w:p>
            <w:pPr>
              <w:jc w:val="center"/>
              <w:ind w:left="543"/>
              <w:spacing w:after="0"/>
              <w:rPr>
                <w:sz w:val="20"/>
                <w:szCs w:val="20"/>
                <w:color w:val="auto"/>
              </w:rPr>
            </w:pPr>
            <w:r>
              <w:rPr>
                <w:rFonts w:ascii="Times New Roman" w:cs="Times New Roman" w:eastAsia="Times New Roman" w:hAnsi="Times New Roman"/>
                <w:sz w:val="23"/>
                <w:szCs w:val="23"/>
                <w:color w:val="0000EE"/>
              </w:rPr>
              <w:t>7</w:t>
            </w: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80" w:type="dxa"/>
            <w:vAlign w:val="bottom"/>
            <w:gridSpan w:val="24"/>
            <w:shd w:val="clear" w:color="auto" w:fill="CCEEFF"/>
          </w:tcPr>
          <w:p>
            <w:pPr>
              <w:spacing w:after="0" w:line="250" w:lineRule="exact"/>
              <w:rPr>
                <w:sz w:val="20"/>
                <w:szCs w:val="20"/>
                <w:color w:val="auto"/>
              </w:rPr>
            </w:pPr>
            <w:r>
              <w:rPr>
                <w:rFonts w:ascii="Times New Roman" w:cs="Times New Roman" w:eastAsia="Times New Roman" w:hAnsi="Times New Roman"/>
                <w:sz w:val="23"/>
                <w:szCs w:val="23"/>
                <w:color w:val="0000EE"/>
              </w:rPr>
              <w:t>Quarters Ended April 4, 2026 and March 29, 2025</w:t>
            </w:r>
          </w:p>
        </w:tc>
        <w:tc>
          <w:tcPr>
            <w:tcW w:w="900" w:type="dxa"/>
            <w:vAlign w:val="bottom"/>
            <w:gridSpan w:val="4"/>
            <w:vMerge w:val="continue"/>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Consolidated Condensed Statements of Cash Flows – Three Fiscal Months</w:t>
            </w:r>
          </w:p>
        </w:tc>
        <w:tc>
          <w:tcPr>
            <w:tcW w:w="900" w:type="dxa"/>
            <w:vAlign w:val="bottom"/>
            <w:gridSpan w:val="4"/>
            <w:vMerge w:val="restart"/>
            <w:shd w:val="clear" w:color="auto" w:fill="CCEEFF"/>
          </w:tcPr>
          <w:p>
            <w:pPr>
              <w:jc w:val="center"/>
              <w:ind w:left="543"/>
              <w:spacing w:after="0"/>
              <w:rPr>
                <w:sz w:val="20"/>
                <w:szCs w:val="20"/>
                <w:color w:val="auto"/>
              </w:rPr>
            </w:pPr>
            <w:r>
              <w:rPr>
                <w:rFonts w:ascii="Times New Roman" w:cs="Times New Roman" w:eastAsia="Times New Roman" w:hAnsi="Times New Roman"/>
                <w:sz w:val="23"/>
                <w:szCs w:val="23"/>
                <w:color w:val="0000EE"/>
              </w:rPr>
              <w:t>8</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7000" w:type="dxa"/>
            <w:vAlign w:val="bottom"/>
            <w:tcBorders>
              <w:top w:val="single" w:sz="8" w:color="0000EE"/>
            </w:tcBorders>
            <w:gridSpan w:val="21"/>
            <w:shd w:val="clear" w:color="auto" w:fill="CCEEFF"/>
          </w:tcPr>
          <w:p>
            <w:pPr>
              <w:spacing w:after="0" w:line="250" w:lineRule="exact"/>
              <w:rPr>
                <w:sz w:val="20"/>
                <w:szCs w:val="20"/>
                <w:color w:val="auto"/>
              </w:rPr>
            </w:pPr>
            <w:r>
              <w:rPr>
                <w:rFonts w:ascii="Times New Roman" w:cs="Times New Roman" w:eastAsia="Times New Roman" w:hAnsi="Times New Roman"/>
                <w:sz w:val="23"/>
                <w:szCs w:val="23"/>
                <w:color w:val="0000EE"/>
              </w:rPr>
              <w:t>Ended April 4, 2026 and March 29, 2025</w:t>
            </w:r>
          </w:p>
        </w:tc>
        <w:tc>
          <w:tcPr>
            <w:tcW w:w="680" w:type="dxa"/>
            <w:vAlign w:val="bottom"/>
            <w:tcBorders>
              <w:top w:val="single" w:sz="8" w:color="CCEEFF"/>
            </w:tcBorders>
            <w:gridSpan w:val="3"/>
            <w:shd w:val="clear" w:color="auto" w:fill="CCEEFF"/>
          </w:tcPr>
          <w:p>
            <w:pPr>
              <w:spacing w:after="0"/>
              <w:rPr>
                <w:sz w:val="24"/>
                <w:szCs w:val="24"/>
                <w:color w:val="auto"/>
              </w:rPr>
            </w:pPr>
          </w:p>
        </w:tc>
        <w:tc>
          <w:tcPr>
            <w:tcW w:w="900" w:type="dxa"/>
            <w:vAlign w:val="bottom"/>
            <w:tcBorders>
              <w:top w:val="single" w:sz="8" w:color="CCEEFF"/>
            </w:tcBorders>
            <w:gridSpan w:val="4"/>
            <w:vMerge w:val="continue"/>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Consolidated Condensed Statements of Equity</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9</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Notes to Consolidated Condensed Financial Statements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10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w w:val="98"/>
              </w:rPr>
              <w:t>Item 2.</w:t>
            </w:r>
          </w:p>
        </w:tc>
        <w:tc>
          <w:tcPr>
            <w:tcW w:w="380" w:type="dxa"/>
            <w:vAlign w:val="bottom"/>
            <w:gridSpan w:val="2"/>
            <w:shd w:val="clear" w:color="auto" w:fill="CCEEFF"/>
          </w:tcPr>
          <w:p>
            <w:pPr>
              <w:spacing w:after="0"/>
              <w:rPr>
                <w:sz w:val="18"/>
                <w:szCs w:val="18"/>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Management’s Discussion and Analysis of Financial Condition and Results</w:t>
            </w:r>
          </w:p>
        </w:tc>
        <w:tc>
          <w:tcPr>
            <w:tcW w:w="900" w:type="dxa"/>
            <w:vAlign w:val="bottom"/>
            <w:gridSpan w:val="4"/>
            <w:vMerge w:val="restart"/>
            <w:shd w:val="clear" w:color="auto" w:fill="CCEEFF"/>
          </w:tcPr>
          <w:p>
            <w:pPr>
              <w:jc w:val="center"/>
              <w:ind w:left="543"/>
              <w:spacing w:after="0"/>
              <w:rPr>
                <w:sz w:val="20"/>
                <w:szCs w:val="20"/>
                <w:color w:val="auto"/>
              </w:rPr>
            </w:pPr>
            <w:r>
              <w:rPr>
                <w:rFonts w:ascii="Times New Roman" w:cs="Times New Roman" w:eastAsia="Times New Roman" w:hAnsi="Times New Roman"/>
                <w:sz w:val="23"/>
                <w:szCs w:val="23"/>
                <w:color w:val="0000EE"/>
              </w:rPr>
              <w:t>21</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0000EE"/>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7060" w:type="dxa"/>
            <w:vAlign w:val="bottom"/>
            <w:tcBorders>
              <w:top w:val="single" w:sz="8" w:color="0000EE"/>
            </w:tcBorders>
            <w:gridSpan w:val="22"/>
            <w:shd w:val="clear" w:color="auto" w:fill="CCEEFF"/>
          </w:tcPr>
          <w:p>
            <w:pPr>
              <w:spacing w:after="0" w:line="250" w:lineRule="exact"/>
              <w:rPr>
                <w:sz w:val="20"/>
                <w:szCs w:val="20"/>
                <w:color w:val="auto"/>
              </w:rPr>
            </w:pPr>
            <w:r>
              <w:rPr>
                <w:rFonts w:ascii="Times New Roman" w:cs="Times New Roman" w:eastAsia="Times New Roman" w:hAnsi="Times New Roman"/>
                <w:sz w:val="23"/>
                <w:szCs w:val="23"/>
                <w:color w:val="0000EE"/>
              </w:rPr>
              <w:t>of Operations</w:t>
            </w:r>
          </w:p>
        </w:tc>
        <w:tc>
          <w:tcPr>
            <w:tcW w:w="620" w:type="dxa"/>
            <w:vAlign w:val="bottom"/>
            <w:tcBorders>
              <w:top w:val="single" w:sz="8" w:color="CCEEFF"/>
            </w:tcBorders>
            <w:gridSpan w:val="2"/>
            <w:shd w:val="clear" w:color="auto" w:fill="CCEEFF"/>
          </w:tcPr>
          <w:p>
            <w:pPr>
              <w:spacing w:after="0"/>
              <w:rPr>
                <w:sz w:val="24"/>
                <w:szCs w:val="24"/>
                <w:color w:val="auto"/>
              </w:rPr>
            </w:pPr>
          </w:p>
        </w:tc>
        <w:tc>
          <w:tcPr>
            <w:tcW w:w="900" w:type="dxa"/>
            <w:vAlign w:val="bottom"/>
            <w:tcBorders>
              <w:top w:val="single" w:sz="8" w:color="CCEEFF"/>
            </w:tcBorders>
            <w:gridSpan w:val="4"/>
            <w:vMerge w:val="continue"/>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3.</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Quantitative and Qualitative Disclosures About Market Risk</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39</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4.</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Controls and Procedures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39</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00" w:type="dxa"/>
            <w:vAlign w:val="bottom"/>
            <w:gridSpan w:val="6"/>
            <w:shd w:val="clear" w:color="auto" w:fill="CCEEFF"/>
          </w:tcPr>
          <w:p>
            <w:pPr>
              <w:spacing w:after="0" w:line="216" w:lineRule="exact"/>
              <w:rPr>
                <w:sz w:val="20"/>
                <w:szCs w:val="20"/>
                <w:color w:val="auto"/>
              </w:rPr>
            </w:pPr>
            <w:r>
              <w:rPr>
                <w:rFonts w:ascii="Times New Roman" w:cs="Times New Roman" w:eastAsia="Times New Roman" w:hAnsi="Times New Roman"/>
                <w:sz w:val="23"/>
                <w:szCs w:val="23"/>
                <w:b w:val="1"/>
                <w:bCs w:val="1"/>
                <w:color w:val="0000EE"/>
              </w:rPr>
              <w:t>PART II.</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b w:val="1"/>
                <w:bCs w:val="1"/>
                <w:color w:val="0000EE"/>
              </w:rPr>
              <w:t>OTHER INFORMATION</w:t>
            </w: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1.</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Legal Proceedings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1A.</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Risk Factors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2.</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Unregistered Sales of Equity Securities and Use of Proceeds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3.</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Defaults Upon Senior Securities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4.</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Mine Safety Disclosures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5.</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Other Information</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Item 6.</w:t>
            </w: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0000EE"/>
              </w:rPr>
              <w:t>Exhibits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40</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80" w:type="dxa"/>
            <w:vAlign w:val="bottom"/>
            <w:gridSpan w:val="24"/>
            <w:shd w:val="clear" w:color="auto" w:fill="CCEEFF"/>
          </w:tcPr>
          <w:p>
            <w:pPr>
              <w:spacing w:after="0" w:line="216" w:lineRule="exact"/>
              <w:rPr>
                <w:sz w:val="20"/>
                <w:szCs w:val="20"/>
                <w:color w:val="auto"/>
              </w:rPr>
            </w:pPr>
            <w:r>
              <w:rPr>
                <w:rFonts w:ascii="Times New Roman" w:cs="Times New Roman" w:eastAsia="Times New Roman" w:hAnsi="Times New Roman"/>
                <w:sz w:val="23"/>
                <w:szCs w:val="23"/>
                <w:b w:val="1"/>
                <w:bCs w:val="1"/>
                <w:color w:val="0000EE"/>
              </w:rPr>
              <w:t>SIGNATURES</w:t>
            </w:r>
          </w:p>
        </w:tc>
        <w:tc>
          <w:tcPr>
            <w:tcW w:w="900" w:type="dxa"/>
            <w:vAlign w:val="bottom"/>
            <w:gridSpan w:val="4"/>
            <w:shd w:val="clear" w:color="auto" w:fill="CCEEFF"/>
          </w:tcPr>
          <w:p>
            <w:pPr>
              <w:jc w:val="center"/>
              <w:ind w:left="543"/>
              <w:spacing w:after="0" w:line="216" w:lineRule="exact"/>
              <w:rPr>
                <w:sz w:val="20"/>
                <w:szCs w:val="20"/>
                <w:color w:val="auto"/>
              </w:rPr>
            </w:pPr>
            <w:r>
              <w:rPr>
                <w:rFonts w:ascii="Times New Roman" w:cs="Times New Roman" w:eastAsia="Times New Roman" w:hAnsi="Times New Roman"/>
                <w:sz w:val="23"/>
                <w:szCs w:val="23"/>
                <w:color w:val="0000EE"/>
              </w:rPr>
              <w:t>41</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00" w:type="dxa"/>
            <w:vAlign w:val="bottom"/>
            <w:tcBorders>
              <w:top w:val="single" w:sz="8" w:color="0000EE"/>
            </w:tcBorders>
            <w:gridSpan w:val="5"/>
          </w:tcPr>
          <w:p>
            <w:pPr>
              <w:spacing w:after="0"/>
              <w:rPr>
                <w:sz w:val="24"/>
                <w:szCs w:val="24"/>
                <w:color w:val="auto"/>
              </w:rPr>
            </w:pPr>
          </w:p>
        </w:tc>
        <w:tc>
          <w:tcPr>
            <w:tcW w:w="2360" w:type="dxa"/>
            <w:vAlign w:val="bottom"/>
            <w:tcBorders>
              <w:top w:val="single" w:sz="8" w:color="CCEEFF"/>
            </w:tcBorders>
            <w:gridSpan w:val="9"/>
          </w:tcPr>
          <w:p>
            <w:pPr>
              <w:jc w:val="center"/>
              <w:ind w:left="1777"/>
              <w:spacing w:after="0"/>
              <w:rPr>
                <w:sz w:val="20"/>
                <w:szCs w:val="20"/>
                <w:color w:val="auto"/>
              </w:rPr>
            </w:pPr>
            <w:r>
              <w:rPr>
                <w:rFonts w:ascii="Times New Roman" w:cs="Times New Roman" w:eastAsia="Times New Roman" w:hAnsi="Times New Roman"/>
                <w:sz w:val="18"/>
                <w:szCs w:val="18"/>
                <w:color w:val="auto"/>
                <w:w w:val="88"/>
              </w:rPr>
              <w:t>3</w:t>
            </w:r>
          </w:p>
        </w:tc>
        <w:tc>
          <w:tcPr>
            <w:tcW w:w="5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-4234180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960" w:type="dxa"/>
            <w:vAlign w:val="bottom"/>
          </w:tcPr>
          <w:p>
            <w:pPr>
              <w:ind w:left="1000"/>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 w:type="dxa"/>
            <w:vAlign w:val="bottom"/>
          </w:tcPr>
          <w:p>
            <w:pPr>
              <w:spacing w:after="0"/>
              <w:rPr>
                <w:sz w:val="24"/>
                <w:szCs w:val="24"/>
                <w:color w:val="auto"/>
              </w:rPr>
            </w:pPr>
          </w:p>
        </w:tc>
        <w:tc>
          <w:tcPr>
            <w:tcW w:w="860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8600" w:type="dxa"/>
            <w:vAlign w:val="bottom"/>
            <w:gridSpan w:val="4"/>
          </w:tcPr>
          <w:p>
            <w:pPr>
              <w:ind w:left="20"/>
              <w:spacing w:after="0" w:line="239" w:lineRule="exact"/>
              <w:rPr>
                <w:sz w:val="20"/>
                <w:szCs w:val="20"/>
                <w:color w:val="auto"/>
              </w:rPr>
            </w:pPr>
            <w:r>
              <w:rPr>
                <w:rFonts w:ascii="Times New Roman" w:cs="Times New Roman" w:eastAsia="Times New Roman" w:hAnsi="Times New Roman"/>
                <w:sz w:val="22"/>
                <w:szCs w:val="22"/>
                <w:color w:val="auto"/>
              </w:rPr>
              <w:t>Consolidated Condensed Balance Sheets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80" w:type="dxa"/>
            <w:vAlign w:val="bottom"/>
          </w:tcPr>
          <w:p>
            <w:pPr>
              <w:spacing w:after="0"/>
              <w:rPr>
                <w:sz w:val="24"/>
                <w:szCs w:val="24"/>
                <w:color w:val="auto"/>
              </w:rPr>
            </w:pPr>
          </w:p>
        </w:tc>
        <w:tc>
          <w:tcPr>
            <w:tcW w:w="8600" w:type="dxa"/>
            <w:vAlign w:val="bottom"/>
            <w:gridSpan w:val="4"/>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April 4,</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December</w:t>
            </w:r>
          </w:p>
        </w:tc>
        <w:tc>
          <w:tcPr>
            <w:tcW w:w="0" w:type="dxa"/>
            <w:vAlign w:val="bottom"/>
          </w:tcPr>
          <w:p>
            <w:pPr>
              <w:spacing w:after="0"/>
              <w:rPr>
                <w:sz w:val="1"/>
                <w:szCs w:val="1"/>
                <w:color w:val="auto"/>
              </w:rPr>
            </w:pPr>
          </w:p>
        </w:tc>
      </w:tr>
      <w:tr>
        <w:trPr>
          <w:trHeight w:val="281"/>
        </w:trPr>
        <w:tc>
          <w:tcPr>
            <w:tcW w:w="868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479,357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514,966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Short-term investments</w:t>
            </w:r>
          </w:p>
        </w:tc>
        <w:tc>
          <w:tcPr>
            <w:tcW w:w="14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Accounts receivable, net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369,222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381,802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Inventories: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Finished goods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182,179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182,444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4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347,994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331,347</w:t>
            </w:r>
          </w:p>
        </w:tc>
        <w:tc>
          <w:tcPr>
            <w:tcW w:w="0" w:type="dxa"/>
            <w:vAlign w:val="bottom"/>
          </w:tcPr>
          <w:p>
            <w:pPr>
              <w:spacing w:after="0"/>
              <w:rPr>
                <w:sz w:val="1"/>
                <w:szCs w:val="1"/>
                <w:color w:val="auto"/>
              </w:rPr>
            </w:pPr>
          </w:p>
        </w:tc>
      </w:tr>
      <w:tr>
        <w:trPr>
          <w:trHeight w:val="250"/>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Raw materials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260,611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245,412</w:t>
            </w:r>
          </w:p>
        </w:tc>
        <w:tc>
          <w:tcPr>
            <w:tcW w:w="0" w:type="dxa"/>
            <w:vAlign w:val="bottom"/>
          </w:tcPr>
          <w:p>
            <w:pPr>
              <w:spacing w:after="0"/>
              <w:rPr>
                <w:sz w:val="1"/>
                <w:szCs w:val="1"/>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8600" w:type="dxa"/>
            <w:vAlign w:val="bottom"/>
            <w:tcBorders>
              <w:top w:val="single" w:sz="8" w:color="CCEEFF"/>
            </w:tcBorders>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Total inventories</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790,784</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759,203</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Prepaid expenses and other current assets</w:t>
            </w:r>
          </w:p>
        </w:tc>
        <w:tc>
          <w:tcPr>
            <w:tcW w:w="14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237,429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231,004</w:t>
            </w: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1,876,983</w:t>
            </w: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1,887,240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Property and equipment, at cost: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Land</w:t>
            </w:r>
          </w:p>
        </w:tc>
        <w:tc>
          <w:tcPr>
            <w:tcW w:w="14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86,093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86,399</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836,309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839,856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Machinery and equipment</w:t>
            </w:r>
          </w:p>
        </w:tc>
        <w:tc>
          <w:tcPr>
            <w:tcW w:w="14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3,503,626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3,477,884</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8600" w:type="dxa"/>
            <w:vAlign w:val="bottom"/>
            <w:gridSpan w:val="4"/>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Construction in progress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509,318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464,475</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6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Allowance for depreciation</w:t>
            </w: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(3,215,047)</w:t>
            </w:r>
          </w:p>
        </w:tc>
        <w:tc>
          <w:tcPr>
            <w:tcW w:w="14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w w:val="99"/>
              </w:rPr>
              <w:t>(3,195,455)</w:t>
            </w: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Property and equipment, net</w:t>
            </w: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1,720,299</w:t>
            </w: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1,673,159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Right of use assets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116,526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119,746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182,693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183,016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Goodwill</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180,224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180,390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intangible assets, net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74,396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78,487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gridSpan w:val="5"/>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111,434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112,122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4,262,555</w:t>
            </w:r>
          </w:p>
        </w:tc>
        <w:tc>
          <w:tcPr>
            <w:tcW w:w="22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4,234,160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Continues on following page.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Condensed Balance Sheets (continued)</w:t>
      </w:r>
    </w:p>
    <w:p>
      <w:pPr>
        <w:spacing w:after="0"/>
        <w:rPr>
          <w:sz w:val="20"/>
          <w:szCs w:val="20"/>
          <w:color w:val="auto"/>
        </w:rPr>
      </w:pPr>
      <w:r>
        <w:rPr>
          <w:rFonts w:ascii="Times New Roman" w:cs="Times New Roman" w:eastAsia="Times New Roman" w:hAnsi="Times New Roman"/>
          <w:sz w:val="22"/>
          <w:szCs w:val="22"/>
          <w:i w:val="1"/>
          <w:iCs w:val="1"/>
          <w:color w:val="auto"/>
        </w:rPr>
        <w:t>(Unaudited -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April 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December</w:t>
            </w:r>
          </w:p>
        </w:tc>
        <w:tc>
          <w:tcPr>
            <w:tcW w:w="0" w:type="dxa"/>
            <w:vAlign w:val="bottom"/>
          </w:tcPr>
          <w:p>
            <w:pPr>
              <w:spacing w:after="0"/>
              <w:rPr>
                <w:sz w:val="1"/>
                <w:szCs w:val="1"/>
                <w:color w:val="auto"/>
              </w:rPr>
            </w:pPr>
          </w:p>
        </w:tc>
      </w:tr>
      <w:tr>
        <w:trPr>
          <w:trHeight w:val="281"/>
        </w:trPr>
        <w:tc>
          <w:tcPr>
            <w:tcW w:w="86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8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Trade accounts payable</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238,954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214,984</w:t>
            </w:r>
          </w:p>
        </w:tc>
        <w:tc>
          <w:tcPr>
            <w:tcW w:w="0" w:type="dxa"/>
            <w:vAlign w:val="bottom"/>
          </w:tcPr>
          <w:p>
            <w:pPr>
              <w:spacing w:after="0"/>
              <w:rPr>
                <w:sz w:val="1"/>
                <w:szCs w:val="1"/>
                <w:color w:val="auto"/>
              </w:rPr>
            </w:pPr>
          </w:p>
        </w:tc>
      </w:tr>
      <w:tr>
        <w:trPr>
          <w:trHeight w:val="243"/>
        </w:trPr>
        <w:tc>
          <w:tcPr>
            <w:tcW w:w="8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Payroll and related expenses</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166,690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164,114</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Lease liabilities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26,166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26,546</w:t>
            </w:r>
          </w:p>
        </w:tc>
        <w:tc>
          <w:tcPr>
            <w:tcW w:w="0" w:type="dxa"/>
            <w:vAlign w:val="bottom"/>
          </w:tcPr>
          <w:p>
            <w:pPr>
              <w:spacing w:after="0"/>
              <w:rPr>
                <w:sz w:val="1"/>
                <w:szCs w:val="1"/>
                <w:color w:val="auto"/>
              </w:rPr>
            </w:pPr>
          </w:p>
        </w:tc>
      </w:tr>
      <w:tr>
        <w:trPr>
          <w:trHeight w:val="243"/>
        </w:trPr>
        <w:tc>
          <w:tcPr>
            <w:tcW w:w="8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 accrued expenses</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269,049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300,031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11,376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14,751</w:t>
            </w:r>
          </w:p>
        </w:tc>
        <w:tc>
          <w:tcPr>
            <w:tcW w:w="0" w:type="dxa"/>
            <w:vAlign w:val="bottom"/>
          </w:tcPr>
          <w:p>
            <w:pPr>
              <w:spacing w:after="0"/>
              <w:rPr>
                <w:sz w:val="1"/>
                <w:szCs w:val="1"/>
                <w:color w:val="auto"/>
              </w:rPr>
            </w:pPr>
          </w:p>
        </w:tc>
      </w:tr>
      <w:tr>
        <w:trPr>
          <w:trHeight w:val="243"/>
        </w:trPr>
        <w:tc>
          <w:tcPr>
            <w:tcW w:w="868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Total current liabilities</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712,235</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720,426</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Long-term debt less current portion</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983,090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950,893</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97,717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96,818</w:t>
            </w:r>
          </w:p>
        </w:tc>
        <w:tc>
          <w:tcPr>
            <w:tcW w:w="0" w:type="dxa"/>
            <w:vAlign w:val="bottom"/>
          </w:tcPr>
          <w:p>
            <w:pPr>
              <w:spacing w:after="0"/>
              <w:rPr>
                <w:sz w:val="1"/>
                <w:szCs w:val="1"/>
                <w:color w:val="auto"/>
              </w:rPr>
            </w:pPr>
          </w:p>
        </w:tc>
      </w:tr>
      <w:tr>
        <w:trPr>
          <w:trHeight w:val="243"/>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Long-term lease liabilities</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92,458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95,799</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liabilities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131,702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109,228</w:t>
            </w:r>
          </w:p>
        </w:tc>
        <w:tc>
          <w:tcPr>
            <w:tcW w:w="0" w:type="dxa"/>
            <w:vAlign w:val="bottom"/>
          </w:tcPr>
          <w:p>
            <w:pPr>
              <w:spacing w:after="0"/>
              <w:rPr>
                <w:sz w:val="1"/>
                <w:szCs w:val="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pension and other postretirement costs</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169,488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172,723</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liabilities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2,186,690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2,145,887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Stockholders' equity:</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12,402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12,351</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B convertible common stock</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1,210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0" w:type="dxa"/>
            <w:vAlign w:val="bottom"/>
          </w:tcPr>
          <w:p>
            <w:pPr>
              <w:spacing w:after="0"/>
              <w:rPr>
                <w:sz w:val="1"/>
                <w:szCs w:val="1"/>
                <w:color w:val="auto"/>
              </w:rPr>
            </w:pPr>
          </w:p>
        </w:tc>
      </w:tr>
      <w:tr>
        <w:trPr>
          <w:trHeight w:val="243"/>
        </w:trPr>
        <w:tc>
          <w:tcPr>
            <w:tcW w:w="8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Capital in excess of par value</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1,109,461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1,101,086</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Retained earnings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885,771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892,232</w:t>
            </w:r>
          </w:p>
        </w:tc>
        <w:tc>
          <w:tcPr>
            <w:tcW w:w="0" w:type="dxa"/>
            <w:vAlign w:val="bottom"/>
          </w:tcPr>
          <w:p>
            <w:pPr>
              <w:spacing w:after="0"/>
              <w:rPr>
                <w:sz w:val="1"/>
                <w:szCs w:val="1"/>
                <w:color w:val="auto"/>
              </w:rPr>
            </w:pPr>
          </w:p>
        </w:tc>
      </w:tr>
      <w:tr>
        <w:trPr>
          <w:trHeight w:val="250"/>
        </w:trPr>
        <w:tc>
          <w:tcPr>
            <w:tcW w:w="8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Accumulated other comprehensive income</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67,021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81,394</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Total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2,075,865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2,088,273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liabilities and equity</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4,262,555</w:t>
            </w:r>
          </w:p>
        </w:tc>
        <w:tc>
          <w:tcPr>
            <w:tcW w:w="22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4,234,160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See accompanying notes.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Consolidated Condensed Statements of Operations</w:t>
      </w:r>
    </w:p>
    <w:p>
      <w:pPr>
        <w:ind w:left="100"/>
        <w:spacing w:after="0"/>
        <w:rPr>
          <w:sz w:val="20"/>
          <w:szCs w:val="20"/>
          <w:color w:val="auto"/>
        </w:rPr>
      </w:pPr>
      <w:r>
        <w:rPr>
          <w:rFonts w:ascii="Times New Roman" w:cs="Times New Roman" w:eastAsia="Times New Roman" w:hAnsi="Times New Roman"/>
          <w:sz w:val="22"/>
          <w:szCs w:val="22"/>
          <w:i w:val="1"/>
          <w:iCs w:val="1"/>
          <w:color w:val="auto"/>
        </w:rPr>
        <w:t>(Unaudited -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47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4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37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839,242</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715,236</w:t>
            </w:r>
          </w:p>
        </w:tc>
      </w:tr>
      <w:tr>
        <w:trPr>
          <w:trHeight w:val="250"/>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Costs of products sold</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662,630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579,682</w:t>
            </w: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36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176,612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135,554</w:t>
            </w:r>
          </w:p>
        </w:tc>
        <w:tc>
          <w:tcPr>
            <w:tcW w:w="100" w:type="dxa"/>
            <w:vAlign w:val="bottom"/>
            <w:shd w:val="clear" w:color="auto" w:fill="CCEEFF"/>
          </w:tcPr>
          <w:p>
            <w:pPr>
              <w:spacing w:after="0"/>
              <w:rPr>
                <w:sz w:val="21"/>
                <w:szCs w:val="21"/>
                <w:color w:val="auto"/>
              </w:rPr>
            </w:pP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0"/>
        </w:trPr>
        <w:tc>
          <w:tcPr>
            <w:tcW w:w="47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3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154,488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134,739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22,124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815</w:t>
            </w:r>
          </w:p>
        </w:tc>
      </w:tr>
      <w:tr>
        <w:trPr>
          <w:trHeight w:val="216"/>
        </w:trPr>
        <w:tc>
          <w:tcPr>
            <w:tcW w:w="47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income (expense):</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Interest expense</w:t>
            </w: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(9,973)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(8,790)</w:t>
            </w:r>
          </w:p>
        </w:tc>
      </w:tr>
      <w:tr>
        <w:trPr>
          <w:trHeight w:val="250"/>
        </w:trPr>
        <w:tc>
          <w:tcPr>
            <w:tcW w:w="47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3,747</w:t>
            </w:r>
          </w:p>
        </w:tc>
      </w:tr>
      <w:tr>
        <w:trPr>
          <w:trHeight w:val="250"/>
        </w:trPr>
        <w:tc>
          <w:tcPr>
            <w:tcW w:w="47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other income (expense)</w:t>
            </w:r>
          </w:p>
        </w:tc>
        <w:tc>
          <w:tcPr>
            <w:tcW w:w="3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(9,272)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(loss) before taxes</w:t>
            </w: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12,852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(4,228)</w:t>
            </w: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 (benefit)</w:t>
            </w: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5,688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(136)</w:t>
            </w:r>
          </w:p>
        </w:tc>
      </w:tr>
      <w:tr>
        <w:trPr>
          <w:trHeight w:val="223"/>
        </w:trPr>
        <w:tc>
          <w:tcPr>
            <w:tcW w:w="47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47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3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7,164</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(4,092)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478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Basic earnings (loss) per share</w:t>
            </w:r>
          </w:p>
        </w:tc>
        <w:tc>
          <w:tcPr>
            <w:tcW w:w="37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0.05</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(0.03)</w:t>
            </w:r>
          </w:p>
        </w:tc>
      </w:tr>
      <w:tr>
        <w:trPr>
          <w:trHeight w:val="216"/>
        </w:trPr>
        <w:tc>
          <w:tcPr>
            <w:tcW w:w="478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Diluted earnings (loss) per share</w:t>
            </w:r>
          </w:p>
        </w:tc>
        <w:tc>
          <w:tcPr>
            <w:tcW w:w="37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0.05</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(0.03)</w:t>
            </w: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 outstanding - basic</w:t>
            </w: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136,045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135,799</w:t>
            </w:r>
          </w:p>
        </w:tc>
      </w:tr>
      <w:tr>
        <w:trPr>
          <w:trHeight w:val="216"/>
        </w:trPr>
        <w:tc>
          <w:tcPr>
            <w:tcW w:w="4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 outstanding - diluted</w:t>
            </w: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137,471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135,799</w:t>
            </w:r>
          </w:p>
        </w:tc>
      </w:tr>
      <w:tr>
        <w:trPr>
          <w:trHeight w:val="216"/>
        </w:trPr>
        <w:tc>
          <w:tcPr>
            <w:tcW w:w="478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43"/>
        </w:trPr>
        <w:tc>
          <w:tcPr>
            <w:tcW w:w="4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dividends per share</w:t>
            </w:r>
          </w:p>
        </w:tc>
        <w:tc>
          <w:tcPr>
            <w:tcW w:w="37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0.10</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0.10</w:t>
            </w:r>
          </w:p>
        </w:tc>
      </w:tr>
      <w:tr>
        <w:trPr>
          <w:trHeight w:val="471"/>
        </w:trPr>
        <w:tc>
          <w:tcPr>
            <w:tcW w:w="47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See accompanying notes.</w:t>
            </w: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780" w:type="dxa"/>
            <w:vAlign w:val="bottom"/>
          </w:tcPr>
          <w:p>
            <w:pPr>
              <w:spacing w:after="0"/>
              <w:rPr>
                <w:sz w:val="24"/>
                <w:szCs w:val="24"/>
                <w:color w:val="auto"/>
              </w:rPr>
            </w:pPr>
          </w:p>
        </w:tc>
        <w:tc>
          <w:tcPr>
            <w:tcW w:w="3620" w:type="dxa"/>
            <w:vAlign w:val="bottom"/>
          </w:tcPr>
          <w:p>
            <w:pPr>
              <w:jc w:val="right"/>
              <w:ind w:right="2636"/>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24" w:right="339"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Consolidated Statements of Comprehensive Income</w:t>
      </w:r>
    </w:p>
    <w:p>
      <w:pPr>
        <w:ind w:left="100"/>
        <w:spacing w:after="0"/>
        <w:rPr>
          <w:sz w:val="20"/>
          <w:szCs w:val="20"/>
          <w:color w:val="auto"/>
        </w:rPr>
      </w:pPr>
      <w:r>
        <w:rPr>
          <w:rFonts w:ascii="Times New Roman" w:cs="Times New Roman" w:eastAsia="Times New Roman" w:hAnsi="Times New Roman"/>
          <w:sz w:val="22"/>
          <w:szCs w:val="22"/>
          <w:i w:val="1"/>
          <w:iCs w:val="1"/>
          <w:color w:val="auto"/>
        </w:rPr>
        <w:t>(Unaudited -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49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4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16"/>
        </w:trPr>
        <w:tc>
          <w:tcPr>
            <w:tcW w:w="4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35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7,164</w:t>
            </w: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(4,092)</w:t>
            </w:r>
          </w:p>
        </w:tc>
      </w:tr>
      <w:tr>
        <w:trPr>
          <w:trHeight w:val="216"/>
        </w:trPr>
        <w:tc>
          <w:tcPr>
            <w:tcW w:w="4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comprehensive income (loss), net of tax</w:t>
            </w:r>
          </w:p>
        </w:tc>
        <w:tc>
          <w:tcPr>
            <w:tcW w:w="3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4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43"/>
        </w:trPr>
        <w:tc>
          <w:tcPr>
            <w:tcW w:w="49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Pension and other post-retirement actuarial items</w:t>
            </w:r>
          </w:p>
        </w:tc>
        <w:tc>
          <w:tcPr>
            <w:tcW w:w="3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339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302</w:t>
            </w:r>
          </w:p>
        </w:tc>
      </w:tr>
      <w:tr>
        <w:trPr>
          <w:trHeight w:val="216"/>
        </w:trPr>
        <w:tc>
          <w:tcPr>
            <w:tcW w:w="4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0"/>
        </w:trPr>
        <w:tc>
          <w:tcPr>
            <w:tcW w:w="49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Foreign currency translation adjustment</w:t>
            </w:r>
          </w:p>
        </w:tc>
        <w:tc>
          <w:tcPr>
            <w:tcW w:w="3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(14,712)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30,902</w:t>
            </w:r>
          </w:p>
        </w:tc>
      </w:tr>
      <w:tr>
        <w:trPr>
          <w:trHeight w:val="216"/>
        </w:trPr>
        <w:tc>
          <w:tcPr>
            <w:tcW w:w="49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comprehensive income (loss)</w:t>
            </w:r>
          </w:p>
        </w:tc>
        <w:tc>
          <w:tcPr>
            <w:tcW w:w="3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(14,373)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31,204</w:t>
            </w:r>
          </w:p>
        </w:tc>
      </w:tr>
      <w:tr>
        <w:trPr>
          <w:trHeight w:val="223"/>
        </w:trPr>
        <w:tc>
          <w:tcPr>
            <w:tcW w:w="49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84"/>
        </w:trPr>
        <w:tc>
          <w:tcPr>
            <w:tcW w:w="4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Comprehensive income (loss)</w:t>
            </w:r>
          </w:p>
        </w:tc>
        <w:tc>
          <w:tcPr>
            <w:tcW w:w="3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(7,209)</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27,112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64"/>
        </w:trPr>
        <w:tc>
          <w:tcPr>
            <w:tcW w:w="4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See accompanying notes.</w:t>
            </w: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980" w:type="dxa"/>
            <w:vAlign w:val="bottom"/>
          </w:tcPr>
          <w:p>
            <w:pPr>
              <w:spacing w:after="0"/>
              <w:rPr>
                <w:sz w:val="24"/>
                <w:szCs w:val="24"/>
                <w:color w:val="auto"/>
              </w:rPr>
            </w:pPr>
          </w:p>
        </w:tc>
        <w:tc>
          <w:tcPr>
            <w:tcW w:w="3420" w:type="dxa"/>
            <w:vAlign w:val="bottom"/>
          </w:tcPr>
          <w:p>
            <w:pPr>
              <w:jc w:val="right"/>
              <w:ind w:right="264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24" w:right="33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Consolidated Condensed Statements of Cash Flows</w:t>
      </w:r>
    </w:p>
    <w:p>
      <w:pPr>
        <w:ind w:left="100"/>
        <w:spacing w:after="0"/>
        <w:rPr>
          <w:sz w:val="20"/>
          <w:szCs w:val="20"/>
          <w:color w:val="auto"/>
        </w:rPr>
      </w:pPr>
      <w:r>
        <w:rPr>
          <w:rFonts w:ascii="Times New Roman" w:cs="Times New Roman" w:eastAsia="Times New Roman" w:hAnsi="Times New Roman"/>
          <w:sz w:val="22"/>
          <w:szCs w:val="22"/>
          <w:i w:val="1"/>
          <w:iCs w:val="1"/>
          <w:color w:val="auto"/>
        </w:rPr>
        <w:t>(Unaudited -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gridSpan w:val="6"/>
          </w:tcPr>
          <w:p>
            <w:pPr>
              <w:jc w:val="right"/>
              <w:ind w:right="260"/>
              <w:spacing w:after="0"/>
              <w:rPr>
                <w:sz w:val="20"/>
                <w:szCs w:val="20"/>
                <w:color w:val="auto"/>
              </w:rPr>
            </w:pPr>
            <w:r>
              <w:rPr>
                <w:rFonts w:ascii="Times New Roman" w:cs="Times New Roman" w:eastAsia="Times New Roman" w:hAnsi="Times New Roman"/>
                <w:sz w:val="22"/>
                <w:szCs w:val="22"/>
                <w:b w:val="1"/>
                <w:bCs w:val="1"/>
                <w:color w:val="auto"/>
                <w:w w:val="98"/>
              </w:rPr>
              <w:t>Three fiscal months ended</w:t>
            </w:r>
          </w:p>
        </w:tc>
      </w:tr>
      <w:tr>
        <w:trPr>
          <w:trHeight w:val="243"/>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459"/>
        </w:trPr>
        <w:tc>
          <w:tcPr>
            <w:tcW w:w="8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7,164</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(4,092)</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Adjustments to reconcile net earnings (loss) to net cash provided by operating activities: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0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58,211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53,773</w:t>
            </w:r>
          </w:p>
        </w:tc>
      </w:tr>
      <w:tr>
        <w:trPr>
          <w:trHeight w:val="243"/>
        </w:trPr>
        <w:tc>
          <w:tcPr>
            <w:tcW w:w="8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(Gain) loss on disposal of property and equipment</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189</w:t>
            </w:r>
          </w:p>
        </w:tc>
      </w:tr>
      <w:tr>
        <w:trPr>
          <w:trHeight w:val="243"/>
        </w:trPr>
        <w:tc>
          <w:tcPr>
            <w:tcW w:w="840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Inventory write-offs for obsolescence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11,065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9,030</w:t>
            </w:r>
          </w:p>
        </w:tc>
      </w:tr>
      <w:tr>
        <w:trPr>
          <w:trHeight w:val="243"/>
        </w:trPr>
        <w:tc>
          <w:tcPr>
            <w:tcW w:w="8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1,573</w:t>
            </w:r>
          </w:p>
        </w:tc>
      </w:tr>
      <w:tr>
        <w:trPr>
          <w:trHeight w:val="243"/>
        </w:trPr>
        <w:tc>
          <w:tcPr>
            <w:tcW w:w="840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Stock compensation expense</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12,273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6,051</w:t>
            </w:r>
          </w:p>
        </w:tc>
      </w:tr>
      <w:tr>
        <w:trPr>
          <w:trHeight w:val="243"/>
        </w:trPr>
        <w:tc>
          <w:tcPr>
            <w:tcW w:w="8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(1,476)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(1,380)</w:t>
            </w:r>
          </w:p>
        </w:tc>
      </w:tr>
      <w:tr>
        <w:trPr>
          <w:trHeight w:val="250"/>
        </w:trPr>
        <w:tc>
          <w:tcPr>
            <w:tcW w:w="840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Net change in operating assets and liabilities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(24,068)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(49,046)</w:t>
            </w:r>
          </w:p>
        </w:tc>
      </w:tr>
      <w:tr>
        <w:trPr>
          <w:trHeight w:val="243"/>
        </w:trPr>
        <w:tc>
          <w:tcPr>
            <w:tcW w:w="840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operating activities</w:t>
            </w: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63,669</w:t>
            </w: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16,098</w:t>
            </w:r>
          </w:p>
        </w:tc>
        <w:tc>
          <w:tcPr>
            <w:tcW w:w="100" w:type="dxa"/>
            <w:vAlign w:val="bottom"/>
            <w:tcBorders>
              <w:top w:val="single" w:sz="8" w:color="CCEEFF"/>
            </w:tcBorders>
          </w:tcPr>
          <w:p>
            <w:pPr>
              <w:spacing w:after="0"/>
              <w:rPr>
                <w:sz w:val="21"/>
                <w:szCs w:val="21"/>
                <w:color w:val="auto"/>
              </w:rPr>
            </w:pPr>
          </w:p>
        </w:tc>
      </w:tr>
      <w:tr>
        <w:trPr>
          <w:trHeight w:val="216"/>
        </w:trPr>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Investing activities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Capital expenditures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(110,661)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(61,569)</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Proceeds from sale of property and equipment</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279</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Purchase of short-term investments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(126)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(21,899)</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Maturity of short-term investments</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27,832</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investing activities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396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(661)</w:t>
            </w:r>
          </w:p>
        </w:tc>
      </w:tr>
      <w:tr>
        <w:trPr>
          <w:trHeight w:val="27"/>
        </w:trPr>
        <w:tc>
          <w:tcPr>
            <w:tcW w:w="8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cash used in investing activities</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(110,127)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(56,018)</w:t>
            </w:r>
          </w:p>
        </w:tc>
      </w:tr>
      <w:tr>
        <w:trPr>
          <w:trHeight w:val="216"/>
        </w:trPr>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Financing activities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proceeds from revolving credit facility</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31,000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82,000</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common stockholders</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(12,401)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(12,352)</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Class B common stockholders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(1,210)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(1,210)</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Repurchase of common stock</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(12,538)</w:t>
            </w:r>
          </w:p>
        </w:tc>
      </w:tr>
      <w:tr>
        <w:trPr>
          <w:trHeight w:val="250"/>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withholding taxes paid when shares withheld for vested equity awards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(3,861)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(3,893)</w:t>
            </w:r>
          </w:p>
        </w:tc>
      </w:tr>
      <w:tr>
        <w:trPr>
          <w:trHeight w:val="243"/>
        </w:trPr>
        <w:tc>
          <w:tcPr>
            <w:tcW w:w="840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financing activities</w:t>
            </w: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13,528</w:t>
            </w: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52,007</w:t>
            </w:r>
          </w:p>
        </w:tc>
        <w:tc>
          <w:tcPr>
            <w:tcW w:w="100" w:type="dxa"/>
            <w:vAlign w:val="bottom"/>
            <w:tcBorders>
              <w:top w:val="single" w:sz="8" w:color="CCEEFF"/>
            </w:tcBorders>
          </w:tcPr>
          <w:p>
            <w:pPr>
              <w:spacing w:after="0"/>
              <w:rPr>
                <w:sz w:val="21"/>
                <w:szCs w:val="21"/>
                <w:color w:val="auto"/>
              </w:rPr>
            </w:pPr>
          </w:p>
        </w:tc>
      </w:tr>
      <w:tr>
        <w:trPr>
          <w:trHeight w:val="250"/>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(2,679)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7,029</w:t>
            </w:r>
          </w:p>
        </w:tc>
      </w:tr>
      <w:tr>
        <w:trPr>
          <w:trHeight w:val="216"/>
        </w:trPr>
        <w:tc>
          <w:tcPr>
            <w:tcW w:w="8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increase (decrease) in cash and cash equivalents</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(35,609)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19,116</w:t>
            </w: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0"/>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514,966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590,286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 at end of period</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479,357</w:t>
            </w:r>
          </w:p>
        </w:tc>
        <w:tc>
          <w:tcPr>
            <w:tcW w:w="140" w:type="dxa"/>
            <w:vAlign w:val="bottom"/>
          </w:tcPr>
          <w:p>
            <w:pPr>
              <w:spacing w:after="0"/>
              <w:rPr>
                <w:sz w:val="21"/>
                <w:szCs w:val="21"/>
                <w:color w:val="auto"/>
              </w:rPr>
            </w:pPr>
          </w:p>
        </w:tc>
        <w:tc>
          <w:tcPr>
            <w:tcW w:w="4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609,402</w:t>
            </w:r>
          </w:p>
        </w:tc>
      </w:tr>
      <w:tr>
        <w:trPr>
          <w:trHeight w:val="20"/>
        </w:trPr>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See accompanying notes.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VISHAY INTERTECHNOLOGY,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Condensed Statements of Equity</w:t>
      </w:r>
    </w:p>
    <w:p>
      <w:pPr>
        <w:spacing w:after="0"/>
        <w:rPr>
          <w:sz w:val="20"/>
          <w:szCs w:val="20"/>
          <w:color w:val="auto"/>
        </w:rPr>
      </w:pPr>
      <w:r>
        <w:rPr>
          <w:rFonts w:ascii="Times New Roman" w:cs="Times New Roman" w:eastAsia="Times New Roman" w:hAnsi="Times New Roman"/>
          <w:sz w:val="22"/>
          <w:szCs w:val="22"/>
          <w:i w:val="1"/>
          <w:iCs w:val="1"/>
          <w:color w:val="auto"/>
        </w:rPr>
        <w:t>(Unaudited -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6"/>
              </w:rPr>
              <w:t>Class B</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Convertible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Capital in</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1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Excess of</w:t>
            </w:r>
          </w:p>
        </w:tc>
        <w:tc>
          <w:tcPr>
            <w:tcW w:w="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6"/>
              </w:rPr>
              <w:t>Retained</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8"/>
              </w:rPr>
              <w:t>Treasury</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Comprehensive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6"/>
              </w:rPr>
              <w:t>Stock</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Par Value</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Earnings</w:t>
            </w:r>
          </w:p>
        </w:tc>
        <w:tc>
          <w:tcPr>
            <w:tcW w:w="1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Income (Loss)</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13,361</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1,210</w:t>
            </w:r>
          </w:p>
        </w:tc>
        <w:tc>
          <w:tcPr>
            <w:tcW w:w="22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$1,306,245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4"/>
              </w:rPr>
              <w:t>$ 955,500</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9"/>
              </w:rPr>
              <w:t>(212,062)</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(35,292)</w:t>
            </w:r>
          </w:p>
        </w:tc>
        <w:tc>
          <w:tcPr>
            <w:tcW w:w="20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$2,028,962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Net earnings (loss)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(4,092)</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(4,092)</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31,204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31,204</w:t>
            </w:r>
          </w:p>
        </w:tc>
        <w:tc>
          <w:tcPr>
            <w:tcW w:w="0" w:type="dxa"/>
            <w:vAlign w:val="bottom"/>
          </w:tcPr>
          <w:p>
            <w:pPr>
              <w:spacing w:after="0"/>
              <w:rPr>
                <w:sz w:val="1"/>
                <w:szCs w:val="1"/>
                <w:color w:val="auto"/>
              </w:rPr>
            </w:pPr>
          </w:p>
        </w:tc>
      </w:tr>
      <w:tr>
        <w:trPr>
          <w:trHeight w:val="207"/>
        </w:trPr>
        <w:tc>
          <w:tcPr>
            <w:tcW w:w="33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Issuance of stock and related tax</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withholdings for vested restricted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units (506,430 shares)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(3,943)</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(3,893)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Dividends declared ($0.10 per share)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(13,575)</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(13,562)</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6,051</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6,051</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Repurchase of common stock held 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treasury (728,560 shares)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(12,538)</w:t>
            </w:r>
          </w:p>
        </w:tc>
        <w:tc>
          <w:tcPr>
            <w:tcW w:w="10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(12,538)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March 29, 2025</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13,411</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1,210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1,308,366</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$ 937,833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(224,600)</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(4,088)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2,032,132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12,351</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1,210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7"/>
              </w:rPr>
              <w:t>$1,101,086</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$ 892,232</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81,394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$2,088,273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earnings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7,164</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7,164</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(14,373)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(14,373)</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Issuance of stock and related tax</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withholdings for vested restricted</w:t>
            </w:r>
          </w:p>
        </w:tc>
        <w:tc>
          <w:tcPr>
            <w:tcW w:w="1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(3,912)</w:t>
            </w:r>
          </w:p>
        </w:tc>
        <w:tc>
          <w:tcPr>
            <w:tcW w:w="10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(3,861)</w:t>
            </w:r>
          </w:p>
        </w:tc>
        <w:tc>
          <w:tcPr>
            <w:tcW w:w="0" w:type="dxa"/>
            <w:vAlign w:val="bottom"/>
          </w:tcPr>
          <w:p>
            <w:pPr>
              <w:spacing w:after="0"/>
              <w:rPr>
                <w:sz w:val="1"/>
                <w:szCs w:val="1"/>
                <w:color w:val="auto"/>
              </w:rPr>
            </w:pPr>
          </w:p>
        </w:tc>
      </w:tr>
      <w:tr>
        <w:trPr>
          <w:trHeight w:val="252"/>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stock units (509,897 shares)</w:t>
            </w: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($0.10 per share)</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14</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(13,625)</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(13,611)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12,273</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12,273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April 4, 2026</w:t>
            </w:r>
          </w:p>
        </w:tc>
        <w:tc>
          <w:tcPr>
            <w:tcW w:w="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12,402</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1,210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u w:val="single" w:color="auto"/>
                <w:color w:val="auto"/>
                <w:w w:val="97"/>
              </w:rPr>
              <w:t>$</w:t>
            </w:r>
            <w:r>
              <w:rPr>
                <w:rFonts w:ascii="Times New Roman" w:cs="Times New Roman" w:eastAsia="Times New Roman" w:hAnsi="Times New Roman"/>
                <w:sz w:val="20"/>
                <w:szCs w:val="20"/>
                <w:b w:val="1"/>
                <w:bCs w:val="1"/>
                <w:color w:val="auto"/>
                <w:w w:val="97"/>
              </w:rPr>
              <w:t>1,109,461</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$ 885,771</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67,021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u w:val="single" w:color="auto"/>
                <w:color w:val="auto"/>
                <w:w w:val="99"/>
              </w:rPr>
              <w:t>$</w:t>
            </w:r>
            <w:r>
              <w:rPr>
                <w:rFonts w:ascii="Times New Roman" w:cs="Times New Roman" w:eastAsia="Times New Roman" w:hAnsi="Times New Roman"/>
                <w:sz w:val="20"/>
                <w:szCs w:val="20"/>
                <w:b w:val="1"/>
                <w:bCs w:val="1"/>
                <w:color w:val="auto"/>
                <w:w w:val="99"/>
              </w:rPr>
              <w:t>2,075,865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See accompanying notes.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1 – Basis of Presentation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accompanying unaudited consolidated condensed financial statements of Vishay Intertechnology, Inc. (“Vishay” or the “Company”) have been prepared in accordance with the instructions to Form 10-Q and therefore do not include all information and footnotes necessary for presentation of financial position, results of operations, and cash flows required by accounting principles generally accepted in the United States (“GAAP”) for complete financial statements. The information furnished reflects all normal recurring adjustments which are, in the opinion of management, necessary for a fair summary of the financial position, results of operations, and cash flows for the interim periods presented. The financial statements should be read in conjunction with the consolidated financial statements filed with the Company’s Annual Report on Form 10-K for the year ended December 31, 2025. The results of operations for the three fiscal months ended April 4, 2026 are not necessarily indicative of the results to be expected for the full year.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reports interim financial information for 13-week periods beginning on a Sunday and ending on a Saturday, except for the first fiscal quarter, which always begins on January 1, and the fourth fiscal quarter, which always ends on December 31. The four fiscal quarters in 2026 end on April 4, 2026, July 4, 2026, October 3, 2026, and December 31, 2026, respectively. The four fiscal quarters in 2025 ended on March 29, 2025, June 28, 2025, September 27, 2025, and December 31,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Accounts Receivable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sells certain of its non-U.S. accounts receivable on a non-recourse basis to third-party financial institutions. These transactions are recognized as sales of receivables because effective control over, and risk related to, the receivables is transferred to the buyers. The Company had $125,324 and $62,175 outstanding on its revolving accounts receivable securitization program as of April 4, 2026 and December 31, 2025, respectively. The cash proceeds are presented as cash provided by operating activities in the consolidated condensed statement of cash flows. After the sale of the accounts receivable, the Company collects payment from the customers and remits it to the third-party financial institutions.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Recently Adopted Accounting Guidance</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In July 2025, the FASB issued ASU No. 2025-05, </w:t>
      </w:r>
      <w:r>
        <w:rPr>
          <w:rFonts w:ascii="Times New Roman" w:cs="Times New Roman" w:eastAsia="Times New Roman" w:hAnsi="Times New Roman"/>
          <w:sz w:val="21"/>
          <w:szCs w:val="21"/>
          <w:i w:val="1"/>
          <w:iCs w:val="1"/>
          <w:color w:val="auto"/>
        </w:rPr>
        <w:t>Measurement of Credit Losses for Accounts Receivable and Contract Assets</w:t>
      </w:r>
      <w:r>
        <w:rPr>
          <w:rFonts w:ascii="Times New Roman" w:cs="Times New Roman" w:eastAsia="Times New Roman" w:hAnsi="Times New Roman"/>
          <w:sz w:val="21"/>
          <w:szCs w:val="21"/>
          <w:color w:val="auto"/>
        </w:rPr>
        <w:t>. The ASU allows entities to elect a practical expedient that assumes the current conditions as of the balance sheet date do not change the remaining life of the asset when developing reasonable and supportable forecasts as part of estimating expected credit losses. The Company adopted the ASU effective January 1, 2026. The Company elected the practical expedient made available by the ASU. The adoption of the ASU did not impact the Company's financial position, results of operations, or cash flows.</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September 2025, the FASB issued ASU No. 2025-06, </w:t>
      </w:r>
      <w:r>
        <w:rPr>
          <w:rFonts w:ascii="Times New Roman" w:cs="Times New Roman" w:eastAsia="Times New Roman" w:hAnsi="Times New Roman"/>
          <w:sz w:val="22"/>
          <w:szCs w:val="22"/>
          <w:i w:val="1"/>
          <w:iCs w:val="1"/>
          <w:color w:val="auto"/>
        </w:rPr>
        <w:t>Targeted Improvements to the Accounting for Internal-Use Software</w:t>
      </w:r>
      <w:r>
        <w:rPr>
          <w:rFonts w:ascii="Times New Roman" w:cs="Times New Roman" w:eastAsia="Times New Roman" w:hAnsi="Times New Roman"/>
          <w:sz w:val="22"/>
          <w:szCs w:val="22"/>
          <w:color w:val="auto"/>
        </w:rPr>
        <w:t>. The ASU requires entities to capitalize software costs when management has authorized and committed to funding the software project and it is probable that the project will be completed and the software will be used to perform the function intended. The Company prospectively adopted the ASU effective January 1, 2026. The adoption of the ASU did not impact the Company's financial position, results of operations, or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Reclassifications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prior period amounts have been reclassified to conform to the current financial statement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2 – Restructuring and Related Activities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2024, the Company announced the implementation of restructuring actions designed to optimize the Company’s manufacturing footprint and streamline business decision making.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2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table summarizes activity to date related to this program:</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0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Expense recorded in 2024</w:t>
            </w:r>
          </w:p>
        </w:tc>
        <w:tc>
          <w:tcPr>
            <w:tcW w:w="280" w:type="dxa"/>
            <w:vAlign w:val="bottom"/>
            <w:shd w:val="clear" w:color="auto" w:fill="CCEE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40,614</w:t>
            </w:r>
          </w:p>
        </w:tc>
        <w:tc>
          <w:tcPr>
            <w:tcW w:w="100" w:type="dxa"/>
            <w:vAlign w:val="bottom"/>
            <w:shd w:val="clear" w:color="auto" w:fill="CCEEFF"/>
          </w:tcPr>
          <w:p>
            <w:pPr>
              <w:spacing w:after="0"/>
              <w:rPr>
                <w:sz w:val="21"/>
                <w:szCs w:val="21"/>
                <w:color w:val="auto"/>
              </w:rPr>
            </w:pPr>
          </w:p>
        </w:tc>
      </w:tr>
      <w:tr>
        <w:trPr>
          <w:trHeight w:val="243"/>
        </w:trPr>
        <w:tc>
          <w:tcPr>
            <w:tcW w:w="10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Utilized</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(8,734)</w:t>
            </w:r>
          </w:p>
        </w:tc>
      </w:tr>
      <w:tr>
        <w:trPr>
          <w:trHeight w:val="250"/>
        </w:trPr>
        <w:tc>
          <w:tcPr>
            <w:tcW w:w="10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translation</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(1,292)</w:t>
            </w:r>
          </w:p>
        </w:tc>
      </w:tr>
      <w:tr>
        <w:trPr>
          <w:trHeight w:val="243"/>
        </w:trPr>
        <w:tc>
          <w:tcPr>
            <w:tcW w:w="10020" w:type="dxa"/>
            <w:vAlign w:val="bottom"/>
            <w:tcBorders>
              <w:top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Balance at December 31, 2024</w:t>
            </w:r>
          </w:p>
        </w:tc>
        <w:tc>
          <w:tcPr>
            <w:tcW w:w="280" w:type="dxa"/>
            <w:vAlign w:val="bottom"/>
            <w:tcBorders>
              <w:top w:val="single" w:sz="8" w:color="auto"/>
            </w:tcBorders>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30,588</w:t>
            </w:r>
          </w:p>
        </w:tc>
        <w:tc>
          <w:tcPr>
            <w:tcW w:w="100" w:type="dxa"/>
            <w:vAlign w:val="bottom"/>
            <w:tcBorders>
              <w:top w:val="single" w:sz="8" w:color="CCEEFF"/>
            </w:tcBorders>
          </w:tcPr>
          <w:p>
            <w:pPr>
              <w:spacing w:after="0"/>
              <w:rPr>
                <w:sz w:val="21"/>
                <w:szCs w:val="21"/>
                <w:color w:val="auto"/>
              </w:rPr>
            </w:pPr>
          </w:p>
        </w:tc>
      </w:tr>
      <w:tr>
        <w:trPr>
          <w:trHeight w:val="243"/>
        </w:trPr>
        <w:tc>
          <w:tcPr>
            <w:tcW w:w="10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Utilized</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(15,268)</w:t>
            </w:r>
          </w:p>
        </w:tc>
      </w:tr>
      <w:tr>
        <w:trPr>
          <w:trHeight w:val="250"/>
        </w:trPr>
        <w:tc>
          <w:tcPr>
            <w:tcW w:w="10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 currency translation</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2,106</w:t>
            </w:r>
          </w:p>
        </w:tc>
        <w:tc>
          <w:tcPr>
            <w:tcW w:w="100" w:type="dxa"/>
            <w:vAlign w:val="bottom"/>
          </w:tcPr>
          <w:p>
            <w:pPr>
              <w:spacing w:after="0"/>
              <w:rPr>
                <w:sz w:val="21"/>
                <w:szCs w:val="21"/>
                <w:color w:val="auto"/>
              </w:rPr>
            </w:pPr>
          </w:p>
        </w:tc>
      </w:tr>
      <w:tr>
        <w:trPr>
          <w:trHeight w:val="243"/>
        </w:trPr>
        <w:tc>
          <w:tcPr>
            <w:tcW w:w="10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Balance at December 31, 2025</w:t>
            </w:r>
          </w:p>
        </w:tc>
        <w:tc>
          <w:tcPr>
            <w:tcW w:w="280" w:type="dxa"/>
            <w:vAlign w:val="bottom"/>
            <w:shd w:val="clear" w:color="auto" w:fill="CCEE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17,426</w:t>
            </w:r>
          </w:p>
        </w:tc>
        <w:tc>
          <w:tcPr>
            <w:tcW w:w="100" w:type="dxa"/>
            <w:vAlign w:val="bottom"/>
            <w:shd w:val="clear" w:color="auto" w:fill="CCEEFF"/>
          </w:tcPr>
          <w:p>
            <w:pPr>
              <w:spacing w:after="0"/>
              <w:rPr>
                <w:sz w:val="21"/>
                <w:szCs w:val="21"/>
                <w:color w:val="auto"/>
              </w:rPr>
            </w:pPr>
          </w:p>
        </w:tc>
      </w:tr>
      <w:tr>
        <w:trPr>
          <w:trHeight w:val="243"/>
        </w:trPr>
        <w:tc>
          <w:tcPr>
            <w:tcW w:w="10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Utilized</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(2,501)</w:t>
            </w:r>
          </w:p>
        </w:tc>
      </w:tr>
      <w:tr>
        <w:trPr>
          <w:trHeight w:val="250"/>
        </w:trPr>
        <w:tc>
          <w:tcPr>
            <w:tcW w:w="1002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translation</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0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Balance at April 4, 2026</w:t>
            </w:r>
          </w:p>
        </w:tc>
        <w:tc>
          <w:tcPr>
            <w:tcW w:w="280" w:type="dxa"/>
            <w:vAlign w:val="bottom"/>
            <w:tcBorders>
              <w:bottom w:val="single" w:sz="8" w:color="auto"/>
            </w:tcBorders>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15,071</w:t>
            </w:r>
          </w:p>
        </w:tc>
        <w:tc>
          <w:tcPr>
            <w:tcW w:w="100" w:type="dxa"/>
            <w:vAlign w:val="bottom"/>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11" w:right="339" w:bottom="55"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Severance payment terms vary by country, but are generally paid in a lump sum at cessation of employment. Some payments are made over an extended period. Substantially all of the liability is current and is included in other accrued expenses in the accompanying consolidated condensed balance sheets.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3 – Income Taxes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provision for income taxes consists of provisions for federal, state, and foreign income taxes. The effective tax rates for the periods ended April 4, 2026 and March 29, 2025 reflect the Company’s expected tax rate on reported income before income tax and tax adjustments. The Company operates in a global environment with significant operations in various jurisdictions outside the United States. Accordingly, the consolidated income tax rate is a composite rate reflecting the Company’s earnings and the applicable tax rates in the various jurisdictions where the Company operates.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three fiscal months ended April 4, 2026, the liabilities for unrecognized tax benefits decreased $908 on a net basis, primarily due to settlements and foreign currency adjustments, partially offset by accruals for the current period.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Note 4 – Long-Term Debt</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Long-term debt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23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April 4,</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December</w:t>
            </w:r>
          </w:p>
        </w:tc>
      </w:tr>
      <w:tr>
        <w:trPr>
          <w:trHeight w:val="281"/>
        </w:trPr>
        <w:tc>
          <w:tcPr>
            <w:tcW w:w="23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31, 2025</w:t>
            </w:r>
          </w:p>
        </w:tc>
        <w:tc>
          <w:tcPr>
            <w:tcW w:w="100" w:type="dxa"/>
            <w:vAlign w:val="bottom"/>
          </w:tcPr>
          <w:p>
            <w:pPr>
              <w:spacing w:after="0"/>
              <w:rPr>
                <w:sz w:val="24"/>
                <w:szCs w:val="24"/>
                <w:color w:val="auto"/>
              </w:rPr>
            </w:pPr>
          </w:p>
        </w:tc>
      </w:tr>
      <w:tr>
        <w:trPr>
          <w:trHeight w:val="216"/>
        </w:trPr>
        <w:tc>
          <w:tcPr>
            <w:tcW w:w="23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43"/>
        </w:trPr>
        <w:tc>
          <w:tcPr>
            <w:tcW w:w="86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Credit facility</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250,000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219,000</w:t>
            </w:r>
          </w:p>
        </w:tc>
      </w:tr>
      <w:tr>
        <w:trPr>
          <w:trHeight w:val="243"/>
        </w:trPr>
        <w:tc>
          <w:tcPr>
            <w:tcW w:w="8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Convertible senior notes, due 2030</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750,000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750,000</w:t>
            </w:r>
          </w:p>
        </w:tc>
      </w:tr>
      <w:tr>
        <w:trPr>
          <w:trHeight w:val="250"/>
        </w:trPr>
        <w:tc>
          <w:tcPr>
            <w:tcW w:w="86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Deferred financing costs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(16,910)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(18,107)</w:t>
            </w:r>
          </w:p>
        </w:tc>
      </w:tr>
      <w:tr>
        <w:trPr>
          <w:trHeight w:val="243"/>
        </w:trPr>
        <w:tc>
          <w:tcPr>
            <w:tcW w:w="2360" w:type="dxa"/>
            <w:vAlign w:val="bottom"/>
            <w:tcBorders>
              <w:top w:val="single" w:sz="8" w:color="CCEEFF"/>
            </w:tcBorders>
          </w:tcPr>
          <w:p>
            <w:pPr>
              <w:spacing w:after="0"/>
              <w:rPr>
                <w:sz w:val="21"/>
                <w:szCs w:val="21"/>
                <w:color w:val="auto"/>
              </w:rPr>
            </w:pPr>
          </w:p>
        </w:tc>
        <w:tc>
          <w:tcPr>
            <w:tcW w:w="63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983,090</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950,893</w:t>
            </w:r>
          </w:p>
        </w:tc>
        <w:tc>
          <w:tcPr>
            <w:tcW w:w="100" w:type="dxa"/>
            <w:vAlign w:val="bottom"/>
            <w:tcBorders>
              <w:top w:val="single" w:sz="8" w:color="CCEEFF"/>
            </w:tcBorders>
          </w:tcPr>
          <w:p>
            <w:pPr>
              <w:spacing w:after="0"/>
              <w:rPr>
                <w:sz w:val="21"/>
                <w:szCs w:val="21"/>
                <w:color w:val="auto"/>
              </w:rPr>
            </w:pPr>
          </w:p>
        </w:tc>
      </w:tr>
      <w:tr>
        <w:trPr>
          <w:trHeight w:val="250"/>
        </w:trPr>
        <w:tc>
          <w:tcPr>
            <w:tcW w:w="8680" w:type="dxa"/>
            <w:vAlign w:val="bottom"/>
            <w:tcBorders>
              <w:bottom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Less current portion</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983,090</w:t>
            </w:r>
          </w:p>
        </w:tc>
        <w:tc>
          <w:tcPr>
            <w:tcW w:w="22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950,893</w:t>
            </w:r>
          </w:p>
        </w:tc>
      </w:tr>
      <w:tr>
        <w:trPr>
          <w:trHeight w:val="20"/>
        </w:trPr>
        <w:tc>
          <w:tcPr>
            <w:tcW w:w="23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some key facts and terms regarding the outstanding convertible senior notes as of April 4, 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2030 Notes</w:t>
            </w:r>
          </w:p>
        </w:tc>
      </w:tr>
      <w:tr>
        <w:trPr>
          <w:trHeight w:val="243"/>
        </w:trPr>
        <w:tc>
          <w:tcPr>
            <w:tcW w:w="9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Issuance date</w:t>
            </w:r>
          </w:p>
        </w:tc>
        <w:tc>
          <w:tcPr>
            <w:tcW w:w="1740" w:type="dxa"/>
            <w:vAlign w:val="bottom"/>
            <w:tcBorders>
              <w:top w:val="single" w:sz="8" w:color="auto"/>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w w:val="97"/>
              </w:rPr>
              <w:t>September 12, 2023</w:t>
            </w:r>
          </w:p>
        </w:tc>
        <w:tc>
          <w:tcPr>
            <w:tcW w:w="180" w:type="dxa"/>
            <w:vAlign w:val="bottom"/>
            <w:shd w:val="clear" w:color="auto" w:fill="CCEEFF"/>
          </w:tcPr>
          <w:p>
            <w:pPr>
              <w:spacing w:after="0"/>
              <w:rPr>
                <w:sz w:val="21"/>
                <w:szCs w:val="21"/>
                <w:color w:val="auto"/>
              </w:rPr>
            </w:pPr>
          </w:p>
        </w:tc>
      </w:tr>
      <w:tr>
        <w:trPr>
          <w:trHeight w:val="243"/>
        </w:trPr>
        <w:tc>
          <w:tcPr>
            <w:tcW w:w="9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Maturity date</w:t>
            </w:r>
          </w:p>
        </w:tc>
        <w:tc>
          <w:tcPr>
            <w:tcW w:w="19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September 15, 2030</w:t>
            </w:r>
          </w:p>
        </w:tc>
      </w:tr>
      <w:tr>
        <w:trPr>
          <w:trHeight w:val="243"/>
        </w:trPr>
        <w:tc>
          <w:tcPr>
            <w:tcW w:w="9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Principal amount as of April 4, 2026</w:t>
            </w:r>
          </w:p>
        </w:tc>
        <w:tc>
          <w:tcPr>
            <w:tcW w:w="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750,000</w:t>
            </w:r>
          </w:p>
        </w:tc>
      </w:tr>
      <w:tr>
        <w:trPr>
          <w:trHeight w:val="243"/>
        </w:trPr>
        <w:tc>
          <w:tcPr>
            <w:tcW w:w="9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coupon rate (per annum)</w:t>
            </w:r>
          </w:p>
        </w:tc>
        <w:tc>
          <w:tcPr>
            <w:tcW w:w="240" w:type="dxa"/>
            <w:vAlign w:val="bottom"/>
          </w:tcPr>
          <w:p>
            <w:pPr>
              <w:spacing w:after="0"/>
              <w:rPr>
                <w:sz w:val="21"/>
                <w:szCs w:val="21"/>
                <w:color w:val="auto"/>
              </w:rPr>
            </w:pPr>
          </w:p>
        </w:tc>
        <w:tc>
          <w:tcPr>
            <w:tcW w:w="1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2.25%</w:t>
            </w:r>
          </w:p>
        </w:tc>
      </w:tr>
      <w:tr>
        <w:trPr>
          <w:trHeight w:val="243"/>
        </w:trPr>
        <w:tc>
          <w:tcPr>
            <w:tcW w:w="9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Conversion rate (per $1 principal amount)</w:t>
            </w: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33.1609</w:t>
            </w:r>
          </w:p>
        </w:tc>
      </w:tr>
      <w:tr>
        <w:trPr>
          <w:trHeight w:val="243"/>
        </w:trPr>
        <w:tc>
          <w:tcPr>
            <w:tcW w:w="9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Effective conversion price (per share)</w:t>
            </w:r>
          </w:p>
        </w:tc>
        <w:tc>
          <w:tcPr>
            <w:tcW w:w="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30.16</w:t>
            </w:r>
          </w:p>
        </w:tc>
      </w:tr>
      <w:tr>
        <w:trPr>
          <w:trHeight w:val="243"/>
        </w:trPr>
        <w:tc>
          <w:tcPr>
            <w:tcW w:w="9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130% of the current effective conversion price (per share)</w:t>
            </w:r>
          </w:p>
        </w:tc>
        <w:tc>
          <w:tcPr>
            <w:tcW w:w="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39.21</w:t>
            </w: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Deferred financing costs are recognized as non-cash interest expense. Non-cash interest expense was $1,195 and $1,223 for the fiscal quarters ended April 4, 2026 and March 29, 2025,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5 – Stockholders' Equity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activity pursuant to the Company's Stockholder Return Policy: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Fiscal quarters ended</w:t>
            </w:r>
          </w:p>
        </w:tc>
      </w:tr>
      <w:tr>
        <w:trPr>
          <w:trHeight w:val="281"/>
        </w:trPr>
        <w:tc>
          <w:tcPr>
            <w:tcW w:w="816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6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w w:val="97"/>
              </w:rPr>
              <w:t>March 29, 2025</w:t>
            </w:r>
          </w:p>
        </w:tc>
      </w:tr>
      <w:tr>
        <w:trPr>
          <w:trHeight w:val="243"/>
        </w:trPr>
        <w:tc>
          <w:tcPr>
            <w:tcW w:w="8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stockholders</w:t>
            </w:r>
          </w:p>
        </w:tc>
        <w:tc>
          <w:tcPr>
            <w:tcW w:w="320" w:type="dxa"/>
            <w:vAlign w:val="bottom"/>
            <w:tcBorders>
              <w:top w:val="single" w:sz="8" w:color="auto"/>
            </w:tcBorders>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13,611</w:t>
            </w: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13,562</w:t>
            </w:r>
          </w:p>
        </w:tc>
        <w:tc>
          <w:tcPr>
            <w:tcW w:w="100" w:type="dxa"/>
            <w:vAlign w:val="bottom"/>
            <w:shd w:val="clear" w:color="auto" w:fill="CCEEFF"/>
          </w:tcPr>
          <w:p>
            <w:pPr>
              <w:spacing w:after="0"/>
              <w:rPr>
                <w:sz w:val="21"/>
                <w:szCs w:val="21"/>
                <w:color w:val="auto"/>
              </w:rPr>
            </w:pPr>
          </w:p>
        </w:tc>
      </w:tr>
      <w:tr>
        <w:trPr>
          <w:trHeight w:val="250"/>
        </w:trPr>
        <w:tc>
          <w:tcPr>
            <w:tcW w:w="8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repurchases</w:t>
            </w:r>
          </w:p>
        </w:tc>
        <w:tc>
          <w:tcPr>
            <w:tcW w:w="3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12,538</w:t>
            </w:r>
          </w:p>
        </w:tc>
      </w:tr>
      <w:tr>
        <w:trPr>
          <w:trHeight w:val="283"/>
        </w:trPr>
        <w:tc>
          <w:tcPr>
            <w:tcW w:w="81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320" w:type="dxa"/>
            <w:vAlign w:val="bottom"/>
            <w:tcBorders>
              <w:top w:val="single" w:sz="8" w:color="auto"/>
              <w:bottom w:val="single" w:sz="8" w:color="auto"/>
            </w:tcBorders>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26,100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shares of common stock held as treasury stock as of April 4, 2026 and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Note 6 – Revenue Recognition</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2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1"/>
        </w:trPr>
        <w:tc>
          <w:tcPr>
            <w:tcW w:w="8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Sales returns and allowances accrual activity is shown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27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276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27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Pr>
          <w:p>
            <w:pPr>
              <w:spacing w:after="0"/>
              <w:rPr>
                <w:sz w:val="24"/>
                <w:szCs w:val="24"/>
                <w:color w:val="auto"/>
              </w:rPr>
            </w:pPr>
          </w:p>
        </w:tc>
      </w:tr>
      <w:tr>
        <w:trPr>
          <w:trHeight w:val="243"/>
        </w:trPr>
        <w:tc>
          <w:tcPr>
            <w:tcW w:w="84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Beginning balance</w:t>
            </w:r>
          </w:p>
        </w:tc>
        <w:tc>
          <w:tcPr>
            <w:tcW w:w="24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41,249</w:t>
            </w:r>
          </w:p>
        </w:tc>
        <w:tc>
          <w:tcPr>
            <w:tcW w:w="2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43,445</w:t>
            </w:r>
          </w:p>
        </w:tc>
        <w:tc>
          <w:tcPr>
            <w:tcW w:w="80" w:type="dxa"/>
            <w:vAlign w:val="bottom"/>
            <w:shd w:val="clear" w:color="auto" w:fill="CCEEFF"/>
          </w:tcPr>
          <w:p>
            <w:pPr>
              <w:spacing w:after="0"/>
              <w:rPr>
                <w:sz w:val="21"/>
                <w:szCs w:val="21"/>
                <w:color w:val="auto"/>
              </w:rPr>
            </w:pPr>
          </w:p>
        </w:tc>
      </w:tr>
      <w:tr>
        <w:trPr>
          <w:trHeight w:val="243"/>
        </w:trPr>
        <w:tc>
          <w:tcPr>
            <w:tcW w:w="8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Sales allowances</w:t>
            </w:r>
          </w:p>
        </w:tc>
        <w:tc>
          <w:tcPr>
            <w:tcW w:w="2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22,197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20,186</w:t>
            </w:r>
          </w:p>
        </w:tc>
      </w:tr>
      <w:tr>
        <w:trPr>
          <w:trHeight w:val="270"/>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Credits issued</w:t>
            </w: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(30,574)</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(25,589</w:t>
            </w:r>
            <w:r>
              <w:rPr>
                <w:rFonts w:ascii="Times New Roman" w:cs="Times New Roman" w:eastAsia="Times New Roman" w:hAnsi="Times New Roman"/>
                <w:sz w:val="23"/>
                <w:szCs w:val="23"/>
                <w:color w:val="auto"/>
              </w:rPr>
              <w:t>)</w:t>
            </w:r>
          </w:p>
        </w:tc>
      </w:tr>
      <w:tr>
        <w:trPr>
          <w:trHeight w:val="250"/>
        </w:trPr>
        <w:tc>
          <w:tcPr>
            <w:tcW w:w="8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Foreign currency</w:t>
            </w:r>
          </w:p>
        </w:tc>
        <w:tc>
          <w:tcPr>
            <w:tcW w:w="24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(134)</w:t>
            </w:r>
          </w:p>
        </w:tc>
        <w:tc>
          <w:tcPr>
            <w:tcW w:w="120" w:type="dxa"/>
            <w:vAlign w:val="bottom"/>
          </w:tcPr>
          <w:p>
            <w:pPr>
              <w:spacing w:after="0"/>
              <w:rPr>
                <w:sz w:val="21"/>
                <w:szCs w:val="21"/>
                <w:color w:val="auto"/>
              </w:rPr>
            </w:pPr>
          </w:p>
        </w:tc>
        <w:tc>
          <w:tcPr>
            <w:tcW w:w="11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396</w:t>
            </w:r>
          </w:p>
        </w:tc>
      </w:tr>
      <w:tr>
        <w:trPr>
          <w:trHeight w:val="284"/>
        </w:trPr>
        <w:tc>
          <w:tcPr>
            <w:tcW w:w="8480" w:type="dxa"/>
            <w:vAlign w:val="bottom"/>
            <w:tcBorders>
              <w:bottom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Ending balance</w:t>
            </w:r>
          </w:p>
        </w:tc>
        <w:tc>
          <w:tcPr>
            <w:tcW w:w="24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32,738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38,438</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disaggregated revenue information in Note 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7 – Accumulated Other Comprehensive Income (Loss)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cumulative balance of each component of other comprehensive income (loss) and the income tax effects allocated to each component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Pension and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tcPr>
          <w:p>
            <w:pPr>
              <w:spacing w:after="0"/>
              <w:rPr>
                <w:sz w:val="21"/>
                <w:szCs w:val="21"/>
                <w:color w:val="auto"/>
              </w:rPr>
            </w:pPr>
          </w:p>
        </w:tc>
        <w:tc>
          <w:tcPr>
            <w:tcW w:w="1380" w:type="dxa"/>
            <w:vAlign w:val="bottom"/>
            <w:gridSpan w:val="3"/>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other post-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tcPr>
          <w:p>
            <w:pPr>
              <w:spacing w:after="0"/>
              <w:rPr>
                <w:sz w:val="21"/>
                <w:szCs w:val="21"/>
                <w:color w:val="auto"/>
              </w:rPr>
            </w:pPr>
          </w:p>
        </w:tc>
        <w:tc>
          <w:tcPr>
            <w:tcW w:w="1380" w:type="dxa"/>
            <w:vAlign w:val="bottom"/>
            <w:gridSpan w:val="3"/>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retirement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Currency</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actuarial</w:t>
            </w:r>
          </w:p>
        </w:tc>
        <w:tc>
          <w:tcPr>
            <w:tcW w:w="1320" w:type="dxa"/>
            <w:vAlign w:val="bottom"/>
            <w:gridSpan w:val="3"/>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translation</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9"/>
              </w:rPr>
              <w:t>items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7"/>
              </w:rPr>
              <w:t>adjustment</w:t>
            </w:r>
          </w:p>
        </w:tc>
        <w:tc>
          <w:tcPr>
            <w:tcW w:w="22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43"/>
        </w:trPr>
        <w:tc>
          <w:tcPr>
            <w:tcW w:w="7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Balance at January 1, 2026</w:t>
            </w:r>
          </w:p>
        </w:tc>
        <w:tc>
          <w:tcPr>
            <w:tcW w:w="14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(2,137)</w:t>
            </w:r>
          </w:p>
        </w:tc>
        <w:tc>
          <w:tcPr>
            <w:tcW w:w="2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83,531</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81,394</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 comprehensive income (loss) before reclassifications</w:t>
            </w: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(14,712)</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(14,712)</w:t>
            </w:r>
          </w:p>
        </w:tc>
      </w:tr>
      <w:tr>
        <w:trPr>
          <w:trHeight w:val="243"/>
        </w:trPr>
        <w:tc>
          <w:tcPr>
            <w:tcW w:w="73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Tax effect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 comprehensive income (loss) before reclassifications, net of tax</w:t>
            </w: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(14,712)</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(14,712)</w:t>
            </w:r>
          </w:p>
        </w:tc>
      </w:tr>
      <w:tr>
        <w:trPr>
          <w:trHeight w:val="243"/>
        </w:trPr>
        <w:tc>
          <w:tcPr>
            <w:tcW w:w="73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Amounts reclassified out of AOCI</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368</w:t>
            </w:r>
          </w:p>
        </w:tc>
      </w:tr>
      <w:tr>
        <w:trPr>
          <w:trHeight w:val="250"/>
        </w:trPr>
        <w:tc>
          <w:tcPr>
            <w:tcW w:w="7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Tax effect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(29)</w:t>
            </w:r>
          </w:p>
        </w:tc>
      </w:tr>
      <w:tr>
        <w:trPr>
          <w:trHeight w:val="243"/>
        </w:trPr>
        <w:tc>
          <w:tcPr>
            <w:tcW w:w="73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Amounts reclassified out of AOCI, net of tax</w:t>
            </w: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339</w:t>
            </w:r>
          </w:p>
        </w:tc>
        <w:tc>
          <w:tcPr>
            <w:tcW w:w="2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339</w:t>
            </w:r>
          </w:p>
        </w:tc>
        <w:tc>
          <w:tcPr>
            <w:tcW w:w="100" w:type="dxa"/>
            <w:vAlign w:val="bottom"/>
            <w:shd w:val="clear" w:color="auto" w:fill="CCEEFF"/>
          </w:tcPr>
          <w:p>
            <w:pPr>
              <w:spacing w:after="0"/>
              <w:rPr>
                <w:sz w:val="21"/>
                <w:szCs w:val="21"/>
                <w:color w:val="auto"/>
              </w:rPr>
            </w:pPr>
          </w:p>
        </w:tc>
      </w:tr>
      <w:tr>
        <w:trPr>
          <w:trHeight w:val="250"/>
        </w:trPr>
        <w:tc>
          <w:tcPr>
            <w:tcW w:w="73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Net other comprehensive income (loss)</w:t>
            </w:r>
          </w:p>
        </w:tc>
        <w:tc>
          <w:tcPr>
            <w:tcW w:w="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339</w:t>
            </w:r>
          </w:p>
        </w:tc>
        <w:tc>
          <w:tcPr>
            <w:tcW w:w="24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(14,712)</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0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(14,373)</w:t>
            </w:r>
          </w:p>
        </w:tc>
      </w:tr>
      <w:tr>
        <w:trPr>
          <w:trHeight w:val="284"/>
        </w:trPr>
        <w:tc>
          <w:tcPr>
            <w:tcW w:w="732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Balance at April 4, 2026</w:t>
            </w:r>
          </w:p>
        </w:tc>
        <w:tc>
          <w:tcPr>
            <w:tcW w:w="14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(1,798)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68,819</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67,021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Reclassifications of pension and other post-retirement actuarial items out of AOCI are included in the computation of net periodic benefit cost. See Note 8 for further information.</w:t>
      </w:r>
    </w:p>
    <w:p>
      <w:pPr>
        <w:sectPr>
          <w:pgSz w:w="11900" w:h="16838" w:orient="portrait"/>
          <w:cols w:equalWidth="0" w:num="1">
            <w:col w:w="11240"/>
          </w:cols>
          <w:pgMar w:left="320" w:top="112" w:right="3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8 – Pensions and Other Postretirement Benefits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service cost component of net periodic pension cost is classified in costs of products sold or selling, general, and administrative expenses on the consolidated condensed statements of operations based on the respective employee's function. The other components of net periodic pension cost are classified as other expense on the consolidated condensed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Defined Benefit Pension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components of the net periodic pension cost for the first fiscal quarters of 2026 and 2025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defined benefit pension plans: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52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180" w:type="dxa"/>
            <w:vAlign w:val="bottom"/>
          </w:tcPr>
          <w:p>
            <w:pPr>
              <w:spacing w:after="0"/>
              <w:rPr>
                <w:sz w:val="22"/>
                <w:szCs w:val="22"/>
                <w:color w:val="auto"/>
              </w:rPr>
            </w:pPr>
          </w:p>
        </w:tc>
        <w:tc>
          <w:tcPr>
            <w:tcW w:w="2360" w:type="dxa"/>
            <w:vAlign w:val="bottom"/>
            <w:gridSpan w:val="5"/>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88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180" w:type="dxa"/>
            <w:vAlign w:val="bottom"/>
          </w:tcPr>
          <w:p>
            <w:pPr>
              <w:spacing w:after="0"/>
              <w:rPr>
                <w:sz w:val="21"/>
                <w:szCs w:val="21"/>
                <w:color w:val="auto"/>
              </w:rPr>
            </w:pPr>
          </w:p>
        </w:tc>
        <w:tc>
          <w:tcPr>
            <w:tcW w:w="2360" w:type="dxa"/>
            <w:vAlign w:val="bottom"/>
            <w:gridSpan w:val="5"/>
          </w:tcPr>
          <w:p>
            <w:pPr>
              <w:jc w:val="right"/>
              <w:ind w:right="600"/>
              <w:spacing w:after="0" w:line="243" w:lineRule="exact"/>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Non-U.S.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Non-U.S.</w:t>
            </w:r>
          </w:p>
        </w:tc>
      </w:tr>
      <w:tr>
        <w:trPr>
          <w:trHeight w:val="281"/>
        </w:trPr>
        <w:tc>
          <w:tcPr>
            <w:tcW w:w="59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U.S. Plans</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Plans</w:t>
            </w:r>
          </w:p>
        </w:tc>
        <w:tc>
          <w:tcPr>
            <w:tcW w:w="220" w:type="dxa"/>
            <w:vAlign w:val="bottom"/>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U.S. Plans</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Plans</w:t>
            </w: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service cost</w:t>
            </w:r>
          </w:p>
        </w:tc>
        <w:tc>
          <w:tcPr>
            <w:tcW w:w="2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755</w:t>
            </w:r>
          </w:p>
        </w:tc>
        <w:tc>
          <w:tcPr>
            <w:tcW w:w="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729</w:t>
            </w:r>
          </w:p>
        </w:tc>
      </w:tr>
      <w:tr>
        <w:trPr>
          <w:trHeight w:val="243"/>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352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1,748</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380</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1,488</w:t>
            </w: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(638)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(540)</w:t>
            </w:r>
          </w:p>
        </w:tc>
      </w:tr>
      <w:tr>
        <w:trPr>
          <w:trHeight w:val="243"/>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80</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losses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380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242</w:t>
            </w:r>
          </w:p>
        </w:tc>
      </w:tr>
      <w:tr>
        <w:trPr>
          <w:trHeight w:val="250"/>
        </w:trPr>
        <w:tc>
          <w:tcPr>
            <w:tcW w:w="5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Curtailment and settlement losses</w:t>
            </w: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18</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83"/>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periodic benefit cost</w:t>
            </w:r>
          </w:p>
        </w:tc>
        <w:tc>
          <w:tcPr>
            <w:tcW w:w="2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353</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2,343</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381</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1,976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Postretirement Benefits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components of the net periodic benefit cost for the first fiscal quarters of 2026 and 2025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other postretirement benefit plans: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12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Fiscal quarter ended</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right"/>
              <w:ind w:right="84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1"/>
                <w:szCs w:val="21"/>
                <w:color w:val="auto"/>
              </w:rPr>
            </w:pPr>
          </w:p>
        </w:tc>
        <w:tc>
          <w:tcPr>
            <w:tcW w:w="2520" w:type="dxa"/>
            <w:vAlign w:val="bottom"/>
            <w:gridSpan w:val="5"/>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March 29, 2025</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rPr>
              <w:t>Non-U.S.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Non-U.S.</w:t>
            </w:r>
          </w:p>
        </w:tc>
        <w:tc>
          <w:tcPr>
            <w:tcW w:w="0" w:type="dxa"/>
            <w:vAlign w:val="bottom"/>
          </w:tcPr>
          <w:p>
            <w:pPr>
              <w:spacing w:after="0"/>
              <w:rPr>
                <w:sz w:val="1"/>
                <w:szCs w:val="1"/>
                <w:color w:val="auto"/>
              </w:rPr>
            </w:pPr>
          </w:p>
        </w:tc>
      </w:tr>
      <w:tr>
        <w:trPr>
          <w:trHeight w:val="281"/>
        </w:trPr>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U.S. Plans</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Plans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U.S. Plans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Plans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Service cost</w:t>
            </w:r>
          </w:p>
        </w:tc>
        <w:tc>
          <w:tcPr>
            <w:tcW w:w="19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right w:val="single" w:sz="8" w:color="CCEEFF"/>
            </w:tcBorders>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rPr>
              <w:t>53</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43"/>
        </w:trPr>
        <w:tc>
          <w:tcPr>
            <w:tcW w:w="4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26</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rPr>
              <w:t>63</w:t>
            </w:r>
          </w:p>
        </w:tc>
        <w:tc>
          <w:tcPr>
            <w:tcW w:w="120" w:type="dxa"/>
            <w:vAlign w:val="bottom"/>
          </w:tcPr>
          <w:p>
            <w:pPr>
              <w:spacing w:after="0"/>
              <w:rPr>
                <w:sz w:val="21"/>
                <w:szCs w:val="21"/>
                <w:color w:val="auto"/>
              </w:rPr>
            </w:pPr>
          </w:p>
        </w:tc>
        <w:tc>
          <w:tcPr>
            <w:tcW w:w="12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140" w:type="dxa"/>
            <w:vAlign w:val="bottom"/>
          </w:tcPr>
          <w:p>
            <w:pPr>
              <w:spacing w:after="0"/>
              <w:rPr>
                <w:sz w:val="21"/>
                <w:szCs w:val="21"/>
                <w:color w:val="auto"/>
              </w:rPr>
            </w:pPr>
          </w:p>
        </w:tc>
        <w:tc>
          <w:tcPr>
            <w:tcW w:w="11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losses (gains)</w:t>
            </w: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(117)</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rPr>
              <w:t>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periodic benefit cost</w:t>
            </w:r>
          </w:p>
        </w:tc>
        <w:tc>
          <w:tcPr>
            <w:tcW w:w="19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(91)</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rPr>
              <w:t>122</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8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0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Note 9 – Stock-Based Compensation</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3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8"/>
        </w:trPr>
        <w:tc>
          <w:tcPr>
            <w:tcW w:w="8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following table summarizes stock-based compensation expense recognized: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3"/>
        </w:trPr>
        <w:tc>
          <w:tcPr>
            <w:tcW w:w="3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334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3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April 4, 2026</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43"/>
        </w:trPr>
        <w:tc>
          <w:tcPr>
            <w:tcW w:w="8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Restricted stock units ("RSUs")</w:t>
            </w:r>
          </w:p>
        </w:tc>
        <w:tc>
          <w:tcPr>
            <w:tcW w:w="2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12,197</w:t>
            </w:r>
          </w:p>
        </w:tc>
        <w:tc>
          <w:tcPr>
            <w:tcW w:w="3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5,968</w:t>
            </w:r>
          </w:p>
        </w:tc>
      </w:tr>
      <w:tr>
        <w:trPr>
          <w:trHeight w:val="250"/>
        </w:trPr>
        <w:tc>
          <w:tcPr>
            <w:tcW w:w="8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Phantom stock units</w:t>
            </w:r>
          </w:p>
        </w:tc>
        <w:tc>
          <w:tcPr>
            <w:tcW w:w="22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83"/>
        </w:trPr>
        <w:tc>
          <w:tcPr>
            <w:tcW w:w="8520" w:type="dxa"/>
            <w:vAlign w:val="bottom"/>
            <w:tcBorders>
              <w:bottom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22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12,273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6,051</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unrecognized compensation cost and the weighted average remaining amortization periods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April 4, 2026 </w:t>
      </w:r>
      <w:r>
        <w:rPr>
          <w:rFonts w:ascii="Times New Roman" w:cs="Times New Roman" w:eastAsia="Times New Roman" w:hAnsi="Times New Roman"/>
          <w:sz w:val="22"/>
          <w:szCs w:val="22"/>
          <w:i w:val="1"/>
          <w:iCs w:val="1"/>
          <w:color w:val="auto"/>
        </w:rPr>
        <w:t>(amortization periods in years)</w:t>
      </w:r>
      <w:r>
        <w:rPr>
          <w:rFonts w:ascii="Times New Roman" w:cs="Times New Roman" w:eastAsia="Times New Roman" w:hAnsi="Times New Roman"/>
          <w:sz w:val="22"/>
          <w:szCs w:val="22"/>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5"/>
              </w:rPr>
              <w:t>Weighted</w:t>
            </w:r>
          </w:p>
        </w:tc>
      </w:tr>
      <w:tr>
        <w:trPr>
          <w:trHeight w:val="243"/>
        </w:trPr>
        <w:tc>
          <w:tcPr>
            <w:tcW w:w="8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4"/>
              </w:rPr>
              <w:t>Average</w:t>
            </w:r>
          </w:p>
        </w:tc>
      </w:tr>
      <w:tr>
        <w:trPr>
          <w:trHeight w:val="243"/>
        </w:trPr>
        <w:tc>
          <w:tcPr>
            <w:tcW w:w="8400" w:type="dxa"/>
            <w:vAlign w:val="bottom"/>
          </w:tcPr>
          <w:p>
            <w:pPr>
              <w:spacing w:after="0"/>
              <w:rPr>
                <w:sz w:val="21"/>
                <w:szCs w:val="21"/>
                <w:color w:val="auto"/>
              </w:rPr>
            </w:pPr>
          </w:p>
        </w:tc>
        <w:tc>
          <w:tcPr>
            <w:tcW w:w="13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8"/>
              </w:rPr>
              <w:t>Unrecognized</w:t>
            </w:r>
          </w:p>
        </w:tc>
        <w:tc>
          <w:tcPr>
            <w:tcW w:w="220" w:type="dxa"/>
            <w:vAlign w:val="bottom"/>
          </w:tcPr>
          <w:p>
            <w:pPr>
              <w:spacing w:after="0"/>
              <w:rPr>
                <w:sz w:val="21"/>
                <w:szCs w:val="21"/>
                <w:color w:val="auto"/>
              </w:rPr>
            </w:pPr>
          </w:p>
        </w:tc>
        <w:tc>
          <w:tcPr>
            <w:tcW w:w="1280" w:type="dxa"/>
            <w:vAlign w:val="bottom"/>
            <w:gridSpan w:val="2"/>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Remaining</w:t>
            </w:r>
          </w:p>
        </w:tc>
      </w:tr>
      <w:tr>
        <w:trPr>
          <w:trHeight w:val="243"/>
        </w:trPr>
        <w:tc>
          <w:tcPr>
            <w:tcW w:w="8400" w:type="dxa"/>
            <w:vAlign w:val="bottom"/>
          </w:tcPr>
          <w:p>
            <w:pPr>
              <w:spacing w:after="0"/>
              <w:rPr>
                <w:sz w:val="21"/>
                <w:szCs w:val="21"/>
                <w:color w:val="auto"/>
              </w:rPr>
            </w:pPr>
          </w:p>
        </w:tc>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Compensation</w:t>
            </w:r>
          </w:p>
        </w:tc>
        <w:tc>
          <w:tcPr>
            <w:tcW w:w="1500" w:type="dxa"/>
            <w:vAlign w:val="bottom"/>
            <w:gridSpan w:val="3"/>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Amortization</w:t>
            </w:r>
          </w:p>
        </w:tc>
      </w:tr>
      <w:tr>
        <w:trPr>
          <w:trHeight w:val="281"/>
        </w:trPr>
        <w:tc>
          <w:tcPr>
            <w:tcW w:w="8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Cost</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Periods</w:t>
            </w:r>
          </w:p>
        </w:tc>
        <w:tc>
          <w:tcPr>
            <w:tcW w:w="60" w:type="dxa"/>
            <w:vAlign w:val="bottom"/>
          </w:tcPr>
          <w:p>
            <w:pPr>
              <w:spacing w:after="0"/>
              <w:rPr>
                <w:sz w:val="24"/>
                <w:szCs w:val="24"/>
                <w:color w:val="auto"/>
              </w:rPr>
            </w:pPr>
          </w:p>
        </w:tc>
      </w:tr>
      <w:tr>
        <w:trPr>
          <w:trHeight w:val="216"/>
        </w:trPr>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Restricted stock units</w:t>
            </w:r>
          </w:p>
        </w:tc>
        <w:tc>
          <w:tcPr>
            <w:tcW w:w="2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38,452</w:t>
            </w:r>
          </w:p>
        </w:tc>
        <w:tc>
          <w:tcPr>
            <w:tcW w:w="15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1.7</w:t>
            </w:r>
          </w:p>
        </w:tc>
      </w:tr>
      <w:tr>
        <w:trPr>
          <w:trHeight w:val="250"/>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Phantom stock units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n/a</w:t>
            </w:r>
          </w:p>
        </w:tc>
      </w:tr>
      <w:tr>
        <w:trPr>
          <w:trHeight w:val="283"/>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28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38,452</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Units</w:t>
      </w:r>
    </w:p>
    <w:p>
      <w:pPr>
        <w:spacing w:after="0" w:line="2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RSU activity as of April 4, 2026 and changes during the three fiscal months then ended are presented below </w:t>
      </w:r>
      <w:r>
        <w:rPr>
          <w:rFonts w:ascii="Times New Roman" w:cs="Times New Roman" w:eastAsia="Times New Roman" w:hAnsi="Times New Roman"/>
          <w:sz w:val="22"/>
          <w:szCs w:val="22"/>
          <w:i w:val="1"/>
          <w:iCs w:val="1"/>
          <w:color w:val="auto"/>
        </w:rPr>
        <w:t>(number of RSUs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r>
        <w:rPr>
          <w:rFonts w:ascii="Times New Roman" w:cs="Times New Roman" w:eastAsia="Times New Roman" w:hAnsi="Times New Roman"/>
          <w:sz w:val="22"/>
          <w:szCs w:val="22"/>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Average</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Grant-date</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Fair Value</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36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per</w:t>
            </w:r>
          </w:p>
        </w:tc>
        <w:tc>
          <w:tcPr>
            <w:tcW w:w="0" w:type="dxa"/>
            <w:vAlign w:val="bottom"/>
          </w:tcPr>
          <w:p>
            <w:pPr>
              <w:spacing w:after="0"/>
              <w:rPr>
                <w:sz w:val="1"/>
                <w:szCs w:val="1"/>
                <w:color w:val="auto"/>
              </w:rPr>
            </w:pPr>
          </w:p>
        </w:tc>
      </w:tr>
      <w:tr>
        <w:trPr>
          <w:trHeight w:val="281"/>
        </w:trPr>
        <w:tc>
          <w:tcPr>
            <w:tcW w:w="85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Outstanding:</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RSUs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Unit</w:t>
            </w:r>
          </w:p>
        </w:tc>
        <w:tc>
          <w:tcPr>
            <w:tcW w:w="0" w:type="dxa"/>
            <w:vAlign w:val="bottom"/>
          </w:tcPr>
          <w:p>
            <w:pPr>
              <w:spacing w:after="0"/>
              <w:rPr>
                <w:sz w:val="1"/>
                <w:szCs w:val="1"/>
                <w:color w:val="auto"/>
              </w:rPr>
            </w:pPr>
          </w:p>
        </w:tc>
      </w:tr>
      <w:tr>
        <w:trPr>
          <w:trHeight w:val="243"/>
        </w:trPr>
        <w:tc>
          <w:tcPr>
            <w:tcW w:w="8520" w:type="dxa"/>
            <w:vAlign w:val="bottom"/>
            <w:vMerge w:val="continue"/>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January 1, 2026</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3,485</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16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18.00</w:t>
            </w:r>
          </w:p>
        </w:tc>
        <w:tc>
          <w:tcPr>
            <w:tcW w:w="0" w:type="dxa"/>
            <w:vAlign w:val="bottom"/>
          </w:tcPr>
          <w:p>
            <w:pPr>
              <w:spacing w:after="0"/>
              <w:rPr>
                <w:sz w:val="1"/>
                <w:szCs w:val="1"/>
                <w:color w:val="auto"/>
              </w:rPr>
            </w:pPr>
          </w:p>
        </w:tc>
      </w:tr>
      <w:tr>
        <w:trPr>
          <w:trHeight w:val="243"/>
        </w:trPr>
        <w:tc>
          <w:tcPr>
            <w:tcW w:w="8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1,030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23.37</w:t>
            </w: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36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(737)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19.78</w:t>
            </w:r>
          </w:p>
        </w:tc>
        <w:tc>
          <w:tcPr>
            <w:tcW w:w="0" w:type="dxa"/>
            <w:vAlign w:val="bottom"/>
          </w:tcPr>
          <w:p>
            <w:pPr>
              <w:spacing w:after="0"/>
              <w:rPr>
                <w:sz w:val="1"/>
                <w:szCs w:val="1"/>
                <w:color w:val="auto"/>
              </w:rPr>
            </w:pPr>
          </w:p>
        </w:tc>
      </w:tr>
      <w:tr>
        <w:trPr>
          <w:trHeight w:val="250"/>
        </w:trPr>
        <w:tc>
          <w:tcPr>
            <w:tcW w:w="8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Cancelled or forfeited</w:t>
            </w:r>
          </w:p>
        </w:tc>
        <w:tc>
          <w:tcPr>
            <w:tcW w:w="13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25.24</w:t>
            </w:r>
          </w:p>
        </w:tc>
        <w:tc>
          <w:tcPr>
            <w:tcW w:w="0" w:type="dxa"/>
            <w:vAlign w:val="bottom"/>
          </w:tcPr>
          <w:p>
            <w:pPr>
              <w:spacing w:after="0"/>
              <w:rPr>
                <w:sz w:val="1"/>
                <w:szCs w:val="1"/>
                <w:color w:val="auto"/>
              </w:rPr>
            </w:pPr>
          </w:p>
        </w:tc>
      </w:tr>
      <w:tr>
        <w:trPr>
          <w:trHeight w:val="283"/>
        </w:trPr>
        <w:tc>
          <w:tcPr>
            <w:tcW w:w="852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Outstanding at April 4, 2026</w:t>
            </w:r>
          </w:p>
        </w:tc>
        <w:tc>
          <w:tcPr>
            <w:tcW w:w="12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3,621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160" w:type="dxa"/>
            <w:vAlign w:val="bottom"/>
            <w:tcBorders>
              <w:bottom w:val="single" w:sz="8" w:color="CCEEFF"/>
            </w:tcBorders>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b w:val="1"/>
                <w:bCs w:val="1"/>
                <w:color w:val="auto"/>
              </w:rPr>
              <w:t>18.85</w:t>
            </w:r>
          </w:p>
        </w:tc>
        <w:tc>
          <w:tcPr>
            <w:tcW w:w="0" w:type="dxa"/>
            <w:vAlign w:val="bottom"/>
          </w:tcPr>
          <w:p>
            <w:pPr>
              <w:spacing w:after="0"/>
              <w:rPr>
                <w:sz w:val="1"/>
                <w:szCs w:val="1"/>
                <w:color w:val="auto"/>
              </w:rPr>
            </w:pPr>
          </w:p>
        </w:tc>
      </w:tr>
      <w:tr>
        <w:trPr>
          <w:trHeight w:val="464"/>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Expected to vest at April 4, 2026</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number of RSUs vested includes shares that the Company withheld on behalf of employees to satisfy the statutory tax withholding requirements.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number of performance-based RSUs that are scheduled to vest increases ratably based on the achievement of defined performance and market criteria between the established target and maximum levels. RSUs with performance-based and market-based vesting criteria are expected to vest as follows </w:t>
      </w:r>
      <w:r>
        <w:rPr>
          <w:rFonts w:ascii="Times New Roman" w:cs="Times New Roman" w:eastAsia="Times New Roman" w:hAnsi="Times New Roman"/>
          <w:sz w:val="22"/>
          <w:szCs w:val="22"/>
          <w:i w:val="1"/>
          <w:iCs w:val="1"/>
          <w:color w:val="auto"/>
        </w:rPr>
        <w:t>(number of RSUs in thousands)</w:t>
      </w:r>
      <w:r>
        <w:rPr>
          <w:rFonts w:ascii="Times New Roman" w:cs="Times New Roman" w:eastAsia="Times New Roman" w:hAnsi="Times New Roman"/>
          <w:sz w:val="22"/>
          <w:szCs w:val="22"/>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Not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tcPr>
          <w:p>
            <w:pPr>
              <w:spacing w:after="0"/>
              <w:rPr>
                <w:sz w:val="21"/>
                <w:szCs w:val="21"/>
                <w:color w:val="auto"/>
              </w:rPr>
            </w:pPr>
          </w:p>
        </w:tc>
        <w:tc>
          <w:tcPr>
            <w:tcW w:w="13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Expected</w:t>
            </w:r>
          </w:p>
        </w:tc>
        <w:tc>
          <w:tcPr>
            <w:tcW w:w="1320" w:type="dxa"/>
            <w:vAlign w:val="bottom"/>
            <w:gridSpan w:val="2"/>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Expected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732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Vesting Date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4"/>
              </w:rPr>
              <w:t>to Vest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4"/>
              </w:rPr>
              <w:t>to Vest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43"/>
        </w:trPr>
        <w:tc>
          <w:tcPr>
            <w:tcW w:w="73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January 1, 2027</w:t>
            </w:r>
          </w:p>
        </w:tc>
        <w:tc>
          <w:tcPr>
            <w:tcW w:w="1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520</w:t>
            </w:r>
          </w:p>
        </w:tc>
        <w:tc>
          <w:tcPr>
            <w:tcW w:w="2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520</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tcPr>
          <w:p>
            <w:pPr>
              <w:ind w:left="2900"/>
              <w:spacing w:after="0" w:line="243" w:lineRule="exact"/>
              <w:rPr>
                <w:sz w:val="20"/>
                <w:szCs w:val="20"/>
                <w:color w:val="auto"/>
              </w:rPr>
            </w:pPr>
            <w:r>
              <w:rPr>
                <w:rFonts w:ascii="Times New Roman" w:cs="Times New Roman" w:eastAsia="Times New Roman" w:hAnsi="Times New Roman"/>
                <w:sz w:val="22"/>
                <w:szCs w:val="22"/>
                <w:color w:val="auto"/>
              </w:rPr>
              <w:t>January 1, 2028</w:t>
            </w:r>
          </w:p>
        </w:tc>
        <w:tc>
          <w:tcPr>
            <w:tcW w:w="13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881</w:t>
            </w: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881</w:t>
            </w:r>
          </w:p>
        </w:tc>
      </w:tr>
      <w:tr>
        <w:trPr>
          <w:trHeight w:val="243"/>
        </w:trPr>
        <w:tc>
          <w:tcPr>
            <w:tcW w:w="73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January 1, 2029</w:t>
            </w:r>
          </w:p>
        </w:tc>
        <w:tc>
          <w:tcPr>
            <w:tcW w:w="1380" w:type="dxa"/>
            <w:vAlign w:val="bottom"/>
            <w:gridSpan w:val="2"/>
            <w:shd w:val="clear" w:color="auto" w:fill="CCEE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706</w:t>
            </w: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706</w:t>
            </w:r>
          </w:p>
        </w:tc>
      </w:tr>
      <w:tr>
        <w:trPr>
          <w:trHeight w:val="282"/>
        </w:trPr>
        <w:tc>
          <w:tcPr>
            <w:tcW w:w="7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March 1, 2029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175</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Phantom Stock Units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following table summarizes the Company's phantom stock units activity </w:t>
      </w:r>
      <w:r>
        <w:rPr>
          <w:rFonts w:ascii="Times New Roman" w:cs="Times New Roman" w:eastAsia="Times New Roman" w:hAnsi="Times New Roman"/>
          <w:sz w:val="22"/>
          <w:szCs w:val="22"/>
          <w:i w:val="1"/>
          <w:iCs w:val="1"/>
          <w:color w:val="auto"/>
        </w:rPr>
        <w:t>(number of phantom stock units in thousands)</w:t>
      </w:r>
      <w:r>
        <w:rPr>
          <w:rFonts w:ascii="Times New Roman" w:cs="Times New Roman" w:eastAsia="Times New Roman" w:hAnsi="Times New Roman"/>
          <w:sz w:val="22"/>
          <w:szCs w:val="22"/>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Grant-date</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Fair Value</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24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 of</w:t>
            </w:r>
          </w:p>
        </w:tc>
        <w:tc>
          <w:tcPr>
            <w:tcW w:w="300" w:type="dxa"/>
            <w:vAlign w:val="bottom"/>
          </w:tcPr>
          <w:p>
            <w:pPr>
              <w:spacing w:after="0"/>
              <w:rPr>
                <w:sz w:val="21"/>
                <w:szCs w:val="21"/>
                <w:color w:val="auto"/>
              </w:rPr>
            </w:pPr>
          </w:p>
        </w:tc>
        <w:tc>
          <w:tcPr>
            <w:tcW w:w="1020" w:type="dxa"/>
            <w:vAlign w:val="bottom"/>
            <w:gridSpan w:val="2"/>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rPr>
              <w:t>per</w:t>
            </w:r>
          </w:p>
        </w:tc>
        <w:tc>
          <w:tcPr>
            <w:tcW w:w="0" w:type="dxa"/>
            <w:vAlign w:val="bottom"/>
          </w:tcPr>
          <w:p>
            <w:pPr>
              <w:spacing w:after="0"/>
              <w:rPr>
                <w:sz w:val="1"/>
                <w:szCs w:val="1"/>
                <w:color w:val="auto"/>
              </w:rPr>
            </w:pPr>
          </w:p>
        </w:tc>
      </w:tr>
      <w:tr>
        <w:trPr>
          <w:trHeight w:val="281"/>
        </w:trPr>
        <w:tc>
          <w:tcPr>
            <w:tcW w:w="86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Outstanding:</w:t>
            </w:r>
          </w:p>
        </w:tc>
        <w:tc>
          <w:tcPr>
            <w:tcW w:w="80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8"/>
              </w:rPr>
              <w:t>units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6"/>
              </w:rPr>
              <w:t>Unit</w:t>
            </w: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136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January 1, 2026</w:t>
            </w:r>
          </w:p>
        </w:tc>
        <w:tc>
          <w:tcPr>
            <w:tcW w:w="3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4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15.29</w:t>
            </w:r>
          </w:p>
        </w:tc>
        <w:tc>
          <w:tcPr>
            <w:tcW w:w="0" w:type="dxa"/>
            <w:vAlign w:val="bottom"/>
          </w:tcPr>
          <w:p>
            <w:pPr>
              <w:spacing w:after="0"/>
              <w:rPr>
                <w:sz w:val="1"/>
                <w:szCs w:val="1"/>
                <w:color w:val="auto"/>
              </w:rPr>
            </w:pPr>
          </w:p>
        </w:tc>
      </w:tr>
      <w:tr>
        <w:trPr>
          <w:trHeight w:val="250"/>
        </w:trPr>
        <w:tc>
          <w:tcPr>
            <w:tcW w:w="9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Dividend equivalents issued</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Outstanding at April 4, 2026</w:t>
            </w:r>
          </w:p>
        </w:tc>
        <w:tc>
          <w:tcPr>
            <w:tcW w:w="800" w:type="dxa"/>
            <w:vAlign w:val="bottom"/>
            <w:tcBorders>
              <w:top w:val="single" w:sz="8" w:color="auto"/>
              <w:bottom w:val="single" w:sz="8" w:color="auto"/>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142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8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6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10 – Segment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set forth reportable business segment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Optoelectronic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Corporate/</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2"/>
              </w:rPr>
              <w:t>MOSFETs</w:t>
            </w:r>
          </w:p>
        </w:tc>
        <w:tc>
          <w:tcPr>
            <w:tcW w:w="180" w:type="dxa"/>
            <w:vAlign w:val="bottom"/>
          </w:tcPr>
          <w:p>
            <w:pPr>
              <w:spacing w:after="0"/>
              <w:rPr>
                <w:sz w:val="23"/>
                <w:szCs w:val="2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Diodes</w:t>
            </w:r>
          </w:p>
        </w:tc>
        <w:tc>
          <w:tcPr>
            <w:tcW w:w="1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Components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5"/>
              </w:rPr>
              <w:t>Resistors</w:t>
            </w:r>
          </w:p>
        </w:tc>
        <w:tc>
          <w:tcPr>
            <w:tcW w:w="16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Inductors</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Capacitors</w:t>
            </w:r>
          </w:p>
        </w:tc>
        <w:tc>
          <w:tcPr>
            <w:tcW w:w="16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rPr>
              <w:t>Other</w:t>
            </w:r>
          </w:p>
        </w:tc>
        <w:tc>
          <w:tcPr>
            <w:tcW w:w="120" w:type="dxa"/>
            <w:vAlign w:val="bottom"/>
          </w:tcPr>
          <w:p>
            <w:pPr>
              <w:spacing w:after="0"/>
              <w:rPr>
                <w:sz w:val="23"/>
                <w:szCs w:val="2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5"/>
          </w:tcPr>
          <w:p>
            <w:pPr>
              <w:spacing w:after="0" w:line="203" w:lineRule="exact"/>
              <w:rPr>
                <w:sz w:val="20"/>
                <w:szCs w:val="20"/>
                <w:color w:val="auto"/>
              </w:rPr>
            </w:pPr>
            <w:r>
              <w:rPr>
                <w:rFonts w:ascii="Times New Roman" w:cs="Times New Roman" w:eastAsia="Times New Roman" w:hAnsi="Times New Roman"/>
                <w:sz w:val="22"/>
                <w:szCs w:val="22"/>
                <w:color w:val="auto"/>
                <w:w w:val="99"/>
              </w:rPr>
              <w:t>Fiscal quarter ended April 4, 2026:</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tcBorders>
              <w:righ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right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173,991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163,669</w:t>
            </w:r>
          </w:p>
        </w:tc>
        <w:tc>
          <w:tcPr>
            <w:tcW w:w="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58,875</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203,743</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92,225</w:t>
            </w:r>
          </w:p>
        </w:tc>
        <w:tc>
          <w:tcPr>
            <w:tcW w:w="2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146,739</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b w:val="1"/>
                <w:bCs w:val="1"/>
                <w:color w:val="auto"/>
              </w:rPr>
              <w:t>839,242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Cost of products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righ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(excluding</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138,054</w:t>
            </w:r>
          </w:p>
        </w:tc>
        <w:tc>
          <w:tcPr>
            <w:tcW w:w="180" w:type="dxa"/>
            <w:vAlign w:val="bottom"/>
            <w:shd w:val="clear" w:color="auto" w:fill="CCEEFF"/>
          </w:tcPr>
          <w:p>
            <w:pPr>
              <w:spacing w:after="0"/>
              <w:rPr>
                <w:sz w:val="21"/>
                <w:szCs w:val="2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5"/>
              </w:rPr>
              <w:t>116,959</w:t>
            </w: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44,071</w:t>
            </w:r>
          </w:p>
        </w:tc>
        <w:tc>
          <w:tcPr>
            <w:tcW w:w="80" w:type="dxa"/>
            <w:vAlign w:val="bottom"/>
            <w:shd w:val="clear" w:color="auto" w:fill="CCEEFF"/>
          </w:tcPr>
          <w:p>
            <w:pPr>
              <w:spacing w:after="0"/>
              <w:rPr>
                <w:sz w:val="21"/>
                <w:szCs w:val="21"/>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147,874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58,787</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105,802</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611,547</w:t>
            </w: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depreciation)</w:t>
            </w:r>
          </w:p>
        </w:tc>
        <w:tc>
          <w:tcPr>
            <w:tcW w:w="120" w:type="dxa"/>
            <w:vAlign w:val="bottom"/>
            <w:vMerge w:val="continue"/>
            <w:shd w:val="clear" w:color="auto" w:fill="CCEEFF"/>
          </w:tcPr>
          <w:p>
            <w:pPr>
              <w:spacing w:after="0"/>
              <w:rPr>
                <w:sz w:val="23"/>
                <w:szCs w:val="23"/>
                <w:color w:val="auto"/>
              </w:rPr>
            </w:pPr>
          </w:p>
        </w:tc>
        <w:tc>
          <w:tcPr>
            <w:tcW w:w="880" w:type="dxa"/>
            <w:vAlign w:val="bottom"/>
            <w:tcBorders>
              <w:right w:val="single" w:sz="8" w:color="CCEEFF"/>
            </w:tcBorders>
            <w:gridSpan w:val="2"/>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860" w:type="dxa"/>
            <w:vAlign w:val="bottom"/>
            <w:gridSpan w:val="2"/>
            <w:vMerge w:val="continue"/>
            <w:shd w:val="clear" w:color="auto" w:fill="CCEEFF"/>
          </w:tcPr>
          <w:p>
            <w:pPr>
              <w:spacing w:after="0"/>
              <w:rPr>
                <w:sz w:val="23"/>
                <w:szCs w:val="23"/>
                <w:color w:val="auto"/>
              </w:rPr>
            </w:pPr>
          </w:p>
        </w:tc>
        <w:tc>
          <w:tcPr>
            <w:tcW w:w="40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2"/>
            <w:vMerge w:val="continue"/>
            <w:shd w:val="clear" w:color="auto" w:fill="CCEEFF"/>
          </w:tcPr>
          <w:p>
            <w:pPr>
              <w:spacing w:after="0"/>
              <w:rPr>
                <w:sz w:val="23"/>
                <w:szCs w:val="23"/>
                <w:color w:val="auto"/>
              </w:rPr>
            </w:pPr>
          </w:p>
        </w:tc>
        <w:tc>
          <w:tcPr>
            <w:tcW w:w="88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900" w:type="dxa"/>
            <w:vAlign w:val="bottom"/>
            <w:gridSpan w:val="2"/>
            <w:vMerge w:val="continue"/>
            <w:shd w:val="clear" w:color="auto" w:fill="CCEEFF"/>
          </w:tcPr>
          <w:p>
            <w:pPr>
              <w:spacing w:after="0"/>
              <w:rPr>
                <w:sz w:val="23"/>
                <w:szCs w:val="23"/>
                <w:color w:val="auto"/>
              </w:rPr>
            </w:pPr>
          </w:p>
        </w:tc>
        <w:tc>
          <w:tcPr>
            <w:tcW w:w="20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9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Depreciation expense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 costs of products</w:t>
            </w:r>
          </w:p>
        </w:tc>
        <w:tc>
          <w:tcPr>
            <w:tcW w:w="120" w:type="dxa"/>
            <w:vAlign w:val="bottom"/>
          </w:tcPr>
          <w:p>
            <w:pPr>
              <w:spacing w:after="0"/>
              <w:rPr>
                <w:sz w:val="21"/>
                <w:szCs w:val="21"/>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13,560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11,879</w:t>
            </w:r>
          </w:p>
        </w:tc>
        <w:tc>
          <w:tcPr>
            <w:tcW w:w="4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3,857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11,073</w:t>
            </w:r>
          </w:p>
        </w:tc>
        <w:tc>
          <w:tcPr>
            <w:tcW w:w="160" w:type="dxa"/>
            <w:vAlign w:val="bottom"/>
          </w:tcPr>
          <w:p>
            <w:pPr>
              <w:spacing w:after="0"/>
              <w:rPr>
                <w:sz w:val="21"/>
                <w:szCs w:val="2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4,080</w:t>
            </w:r>
          </w:p>
        </w:tc>
        <w:tc>
          <w:tcPr>
            <w:tcW w:w="200" w:type="dxa"/>
            <w:vAlign w:val="bottom"/>
          </w:tcPr>
          <w:p>
            <w:pPr>
              <w:spacing w:after="0"/>
              <w:rPr>
                <w:sz w:val="21"/>
                <w:szCs w:val="2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6,634</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51,083</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sold</w:t>
            </w:r>
          </w:p>
        </w:tc>
        <w:tc>
          <w:tcPr>
            <w:tcW w:w="120" w:type="dxa"/>
            <w:vAlign w:val="bottom"/>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Total costs of products</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151,614</w:t>
            </w: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w w:val="7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5"/>
              </w:rPr>
              <w:t>128,838</w:t>
            </w: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47,928</w:t>
            </w:r>
          </w:p>
        </w:tc>
        <w:tc>
          <w:tcPr>
            <w:tcW w:w="8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158,947</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62,867</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112,436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662,630</w:t>
            </w: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sold</w:t>
            </w:r>
          </w:p>
        </w:tc>
        <w:tc>
          <w:tcPr>
            <w:tcW w:w="120" w:type="dxa"/>
            <w:vAlign w:val="bottom"/>
            <w:vMerge w:val="continue"/>
            <w:shd w:val="clear" w:color="auto" w:fill="CCEEFF"/>
          </w:tcPr>
          <w:p>
            <w:pPr>
              <w:spacing w:after="0"/>
              <w:rPr>
                <w:sz w:val="23"/>
                <w:szCs w:val="23"/>
                <w:color w:val="auto"/>
              </w:rPr>
            </w:pPr>
          </w:p>
        </w:tc>
        <w:tc>
          <w:tcPr>
            <w:tcW w:w="880" w:type="dxa"/>
            <w:vAlign w:val="bottom"/>
            <w:tcBorders>
              <w:right w:val="single" w:sz="8" w:color="CCEEFF"/>
            </w:tcBorders>
            <w:gridSpan w:val="2"/>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860" w:type="dxa"/>
            <w:vAlign w:val="bottom"/>
            <w:gridSpan w:val="2"/>
            <w:vMerge w:val="continue"/>
            <w:shd w:val="clear" w:color="auto" w:fill="CCEEFF"/>
          </w:tcPr>
          <w:p>
            <w:pPr>
              <w:spacing w:after="0"/>
              <w:rPr>
                <w:sz w:val="23"/>
                <w:szCs w:val="23"/>
                <w:color w:val="auto"/>
              </w:rPr>
            </w:pPr>
          </w:p>
        </w:tc>
        <w:tc>
          <w:tcPr>
            <w:tcW w:w="40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2"/>
            <w:vMerge w:val="continue"/>
            <w:shd w:val="clear" w:color="auto" w:fill="CCEEFF"/>
          </w:tcPr>
          <w:p>
            <w:pPr>
              <w:spacing w:after="0"/>
              <w:rPr>
                <w:sz w:val="23"/>
                <w:szCs w:val="23"/>
                <w:color w:val="auto"/>
              </w:rPr>
            </w:pPr>
          </w:p>
        </w:tc>
        <w:tc>
          <w:tcPr>
            <w:tcW w:w="88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900" w:type="dxa"/>
            <w:vAlign w:val="bottom"/>
            <w:gridSpan w:val="2"/>
            <w:vMerge w:val="continue"/>
            <w:shd w:val="clear" w:color="auto" w:fill="CCEEFF"/>
          </w:tcPr>
          <w:p>
            <w:pPr>
              <w:spacing w:after="0"/>
              <w:rPr>
                <w:sz w:val="23"/>
                <w:szCs w:val="23"/>
                <w:color w:val="auto"/>
              </w:rPr>
            </w:pPr>
          </w:p>
        </w:tc>
        <w:tc>
          <w:tcPr>
            <w:tcW w:w="20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9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22,377</w:t>
            </w:r>
          </w:p>
        </w:tc>
        <w:tc>
          <w:tcPr>
            <w:tcW w:w="180" w:type="dxa"/>
            <w:vAlign w:val="bottom"/>
          </w:tcPr>
          <w:p>
            <w:pPr>
              <w:spacing w:after="0"/>
              <w:rPr>
                <w:sz w:val="21"/>
                <w:szCs w:val="21"/>
                <w:color w:val="auto"/>
              </w:rPr>
            </w:pP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34,831</w:t>
            </w:r>
          </w:p>
        </w:tc>
        <w:tc>
          <w:tcPr>
            <w:tcW w:w="4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10,947</w:t>
            </w:r>
          </w:p>
        </w:tc>
        <w:tc>
          <w:tcPr>
            <w:tcW w:w="80" w:type="dxa"/>
            <w:vAlign w:val="bottom"/>
          </w:tcPr>
          <w:p>
            <w:pPr>
              <w:spacing w:after="0"/>
              <w:rPr>
                <w:sz w:val="21"/>
                <w:szCs w:val="21"/>
                <w:color w:val="auto"/>
              </w:rPr>
            </w:pPr>
          </w:p>
        </w:tc>
        <w:tc>
          <w:tcPr>
            <w:tcW w:w="20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44,796</w:t>
            </w:r>
          </w:p>
        </w:tc>
        <w:tc>
          <w:tcPr>
            <w:tcW w:w="1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29,358</w:t>
            </w:r>
          </w:p>
        </w:tc>
        <w:tc>
          <w:tcPr>
            <w:tcW w:w="2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34,303</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b w:val="1"/>
                <w:bCs w:val="1"/>
                <w:color w:val="auto"/>
              </w:rPr>
              <w:t>176,612</w:t>
            </w:r>
          </w:p>
        </w:tc>
        <w:tc>
          <w:tcPr>
            <w:tcW w:w="0" w:type="dxa"/>
            <w:vAlign w:val="bottom"/>
          </w:tcPr>
          <w:p>
            <w:pPr>
              <w:spacing w:after="0"/>
              <w:rPr>
                <w:sz w:val="1"/>
                <w:szCs w:val="1"/>
                <w:color w:val="auto"/>
              </w:rPr>
            </w:pPr>
          </w:p>
        </w:tc>
      </w:tr>
      <w:tr>
        <w:trPr>
          <w:trHeight w:val="243"/>
        </w:trPr>
        <w:tc>
          <w:tcPr>
            <w:tcW w:w="500" w:type="dxa"/>
            <w:vAlign w:val="bottom"/>
            <w:shd w:val="clear" w:color="auto" w:fill="CCEEFF"/>
          </w:tcPr>
          <w:p>
            <w:pPr>
              <w:spacing w:after="0"/>
              <w:rPr>
                <w:sz w:val="21"/>
                <w:szCs w:val="21"/>
                <w:color w:val="auto"/>
              </w:rPr>
            </w:pPr>
          </w:p>
        </w:tc>
        <w:tc>
          <w:tcPr>
            <w:tcW w:w="1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Segment operating</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21,070</w:t>
            </w:r>
          </w:p>
        </w:tc>
        <w:tc>
          <w:tcPr>
            <w:tcW w:w="18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8,901</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6,223</w:t>
            </w:r>
          </w:p>
        </w:tc>
        <w:tc>
          <w:tcPr>
            <w:tcW w:w="80" w:type="dxa"/>
            <w:vAlign w:val="bottom"/>
          </w:tcPr>
          <w:p>
            <w:pPr>
              <w:spacing w:after="0"/>
              <w:rPr>
                <w:sz w:val="18"/>
                <w:szCs w:val="18"/>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10,643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4,060</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6,921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57,818</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expenses</w:t>
            </w:r>
          </w:p>
        </w:tc>
        <w:tc>
          <w:tcPr>
            <w:tcW w:w="120" w:type="dxa"/>
            <w:vAlign w:val="bottom"/>
            <w:vMerge w:val="continue"/>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0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vMerge w:val="continue"/>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Segment operating</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1,307</w:t>
            </w: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25,930</w:t>
            </w: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4,724</w:t>
            </w:r>
          </w:p>
        </w:tc>
        <w:tc>
          <w:tcPr>
            <w:tcW w:w="8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34,153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25,298</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27,382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118,794</w:t>
            </w:r>
          </w:p>
        </w:tc>
        <w:tc>
          <w:tcPr>
            <w:tcW w:w="0" w:type="dxa"/>
            <w:vAlign w:val="bottom"/>
          </w:tcPr>
          <w:p>
            <w:pPr>
              <w:spacing w:after="0"/>
              <w:rPr>
                <w:sz w:val="1"/>
                <w:szCs w:val="1"/>
                <w:color w:val="auto"/>
              </w:rPr>
            </w:pPr>
          </w:p>
        </w:tc>
      </w:tr>
      <w:tr>
        <w:trPr>
          <w:trHeight w:val="311"/>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income</w:t>
            </w:r>
          </w:p>
        </w:tc>
        <w:tc>
          <w:tcPr>
            <w:tcW w:w="120" w:type="dxa"/>
            <w:vAlign w:val="bottom"/>
            <w:vMerge w:val="continue"/>
            <w:shd w:val="clear" w:color="auto" w:fill="CCEEFF"/>
          </w:tcPr>
          <w:p>
            <w:pPr>
              <w:spacing w:after="0"/>
              <w:rPr>
                <w:sz w:val="24"/>
                <w:szCs w:val="24"/>
                <w:color w:val="auto"/>
              </w:rPr>
            </w:pPr>
          </w:p>
        </w:tc>
        <w:tc>
          <w:tcPr>
            <w:tcW w:w="880" w:type="dxa"/>
            <w:vAlign w:val="bottom"/>
            <w:tcBorders>
              <w:right w:val="single" w:sz="8" w:color="CCEEFF"/>
            </w:tcBorders>
            <w:gridSpan w:val="2"/>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860" w:type="dxa"/>
            <w:vAlign w:val="bottom"/>
            <w:gridSpan w:val="2"/>
            <w:vMerge w:val="continue"/>
            <w:shd w:val="clear" w:color="auto" w:fill="CCEEFF"/>
          </w:tcPr>
          <w:p>
            <w:pPr>
              <w:spacing w:after="0"/>
              <w:rPr>
                <w:sz w:val="24"/>
                <w:szCs w:val="24"/>
                <w:color w:val="auto"/>
              </w:rPr>
            </w:pPr>
          </w:p>
        </w:tc>
        <w:tc>
          <w:tcPr>
            <w:tcW w:w="400" w:type="dxa"/>
            <w:vAlign w:val="bottom"/>
            <w:vMerge w:val="continue"/>
            <w:shd w:val="clear" w:color="auto" w:fill="CCEEFF"/>
          </w:tcPr>
          <w:p>
            <w:pPr>
              <w:spacing w:after="0"/>
              <w:rPr>
                <w:sz w:val="24"/>
                <w:szCs w:val="24"/>
                <w:color w:val="auto"/>
              </w:rPr>
            </w:pPr>
          </w:p>
        </w:tc>
        <w:tc>
          <w:tcPr>
            <w:tcW w:w="98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900" w:type="dxa"/>
            <w:vAlign w:val="bottom"/>
            <w:gridSpan w:val="2"/>
            <w:vMerge w:val="continue"/>
            <w:shd w:val="clear" w:color="auto" w:fill="CCEEFF"/>
          </w:tcPr>
          <w:p>
            <w:pPr>
              <w:spacing w:after="0"/>
              <w:rPr>
                <w:sz w:val="24"/>
                <w:szCs w:val="24"/>
                <w:color w:val="auto"/>
              </w:rPr>
            </w:pPr>
          </w:p>
        </w:tc>
        <w:tc>
          <w:tcPr>
            <w:tcW w:w="200" w:type="dxa"/>
            <w:vAlign w:val="bottom"/>
            <w:vMerge w:val="continue"/>
            <w:shd w:val="clear" w:color="auto" w:fill="CCEEFF"/>
          </w:tcPr>
          <w:p>
            <w:pPr>
              <w:spacing w:after="0"/>
              <w:rPr>
                <w:sz w:val="24"/>
                <w:szCs w:val="24"/>
                <w:color w:val="auto"/>
              </w:rPr>
            </w:pPr>
          </w:p>
        </w:tc>
        <w:tc>
          <w:tcPr>
            <w:tcW w:w="96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Total depreciation</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14,344</w:t>
            </w: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12,330</w:t>
            </w: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3,976</w:t>
            </w:r>
          </w:p>
        </w:tc>
        <w:tc>
          <w:tcPr>
            <w:tcW w:w="8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11,264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4,114</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6,684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2,264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54,976</w:t>
            </w: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w:t>
            </w:r>
          </w:p>
        </w:tc>
        <w:tc>
          <w:tcPr>
            <w:tcW w:w="120" w:type="dxa"/>
            <w:vAlign w:val="bottom"/>
            <w:vMerge w:val="continue"/>
            <w:shd w:val="clear" w:color="auto" w:fill="CCEEFF"/>
          </w:tcPr>
          <w:p>
            <w:pPr>
              <w:spacing w:after="0"/>
              <w:rPr>
                <w:sz w:val="23"/>
                <w:szCs w:val="23"/>
                <w:color w:val="auto"/>
              </w:rPr>
            </w:pPr>
          </w:p>
        </w:tc>
        <w:tc>
          <w:tcPr>
            <w:tcW w:w="880" w:type="dxa"/>
            <w:vAlign w:val="bottom"/>
            <w:tcBorders>
              <w:right w:val="single" w:sz="8" w:color="CCEEFF"/>
            </w:tcBorders>
            <w:gridSpan w:val="2"/>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860" w:type="dxa"/>
            <w:vAlign w:val="bottom"/>
            <w:gridSpan w:val="2"/>
            <w:vMerge w:val="continue"/>
            <w:shd w:val="clear" w:color="auto" w:fill="CCEEFF"/>
          </w:tcPr>
          <w:p>
            <w:pPr>
              <w:spacing w:after="0"/>
              <w:rPr>
                <w:sz w:val="23"/>
                <w:szCs w:val="23"/>
                <w:color w:val="auto"/>
              </w:rPr>
            </w:pPr>
          </w:p>
        </w:tc>
        <w:tc>
          <w:tcPr>
            <w:tcW w:w="40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2"/>
            <w:vMerge w:val="continue"/>
            <w:shd w:val="clear" w:color="auto" w:fill="CCEEFF"/>
          </w:tcPr>
          <w:p>
            <w:pPr>
              <w:spacing w:after="0"/>
              <w:rPr>
                <w:sz w:val="23"/>
                <w:szCs w:val="23"/>
                <w:color w:val="auto"/>
              </w:rPr>
            </w:pPr>
          </w:p>
        </w:tc>
        <w:tc>
          <w:tcPr>
            <w:tcW w:w="88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900" w:type="dxa"/>
            <w:vAlign w:val="bottom"/>
            <w:gridSpan w:val="2"/>
            <w:vMerge w:val="continue"/>
            <w:shd w:val="clear" w:color="auto" w:fill="CCEEFF"/>
          </w:tcPr>
          <w:p>
            <w:pPr>
              <w:spacing w:after="0"/>
              <w:rPr>
                <w:sz w:val="23"/>
                <w:szCs w:val="23"/>
                <w:color w:val="auto"/>
              </w:rPr>
            </w:pPr>
          </w:p>
        </w:tc>
        <w:tc>
          <w:tcPr>
            <w:tcW w:w="20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9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Capital expenditures</w:t>
            </w:r>
          </w:p>
        </w:tc>
        <w:tc>
          <w:tcPr>
            <w:tcW w:w="12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94,682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4,261</w:t>
            </w:r>
          </w:p>
        </w:tc>
        <w:tc>
          <w:tcPr>
            <w:tcW w:w="4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2,334</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973</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7,828</w:t>
            </w:r>
          </w:p>
        </w:tc>
        <w:tc>
          <w:tcPr>
            <w:tcW w:w="160" w:type="dxa"/>
            <w:vAlign w:val="bottom"/>
          </w:tcPr>
          <w:p>
            <w:pPr>
              <w:spacing w:after="0"/>
              <w:rPr>
                <w:sz w:val="21"/>
                <w:szCs w:val="21"/>
                <w:color w:val="auto"/>
              </w:rPr>
            </w:pPr>
          </w:p>
        </w:tc>
        <w:tc>
          <w:tcPr>
            <w:tcW w:w="10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530</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b w:val="1"/>
                <w:bCs w:val="1"/>
                <w:color w:val="auto"/>
              </w:rPr>
              <w:t>110,661</w:t>
            </w:r>
          </w:p>
        </w:tc>
        <w:tc>
          <w:tcPr>
            <w:tcW w:w="0" w:type="dxa"/>
            <w:vAlign w:val="bottom"/>
          </w:tcPr>
          <w:p>
            <w:pPr>
              <w:spacing w:after="0"/>
              <w:rPr>
                <w:sz w:val="1"/>
                <w:szCs w:val="1"/>
                <w:color w:val="auto"/>
              </w:rPr>
            </w:pPr>
          </w:p>
        </w:tc>
      </w:tr>
      <w:tr>
        <w:trPr>
          <w:trHeight w:val="243"/>
        </w:trPr>
        <w:tc>
          <w:tcPr>
            <w:tcW w:w="500" w:type="dxa"/>
            <w:vAlign w:val="bottom"/>
            <w:shd w:val="clear" w:color="auto" w:fill="CCEEFF"/>
          </w:tcPr>
          <w:p>
            <w:pPr>
              <w:spacing w:after="0"/>
              <w:rPr>
                <w:sz w:val="21"/>
                <w:szCs w:val="21"/>
                <w:color w:val="auto"/>
              </w:rPr>
            </w:pPr>
          </w:p>
        </w:tc>
        <w:tc>
          <w:tcPr>
            <w:tcW w:w="1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Total assets as of April</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1,234,280</w:t>
            </w:r>
          </w:p>
        </w:tc>
        <w:tc>
          <w:tcPr>
            <w:tcW w:w="18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5"/>
              </w:rPr>
              <w:t>706,129</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352,067</w:t>
            </w:r>
          </w:p>
        </w:tc>
        <w:tc>
          <w:tcPr>
            <w:tcW w:w="80" w:type="dxa"/>
            <w:vAlign w:val="bottom"/>
          </w:tcPr>
          <w:p>
            <w:pPr>
              <w:spacing w:after="0"/>
              <w:rPr>
                <w:sz w:val="18"/>
                <w:szCs w:val="18"/>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919,561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300,716</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481,096</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268,706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w w:val="95"/>
              </w:rPr>
              <w:t>4,262,555</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2026:</w:t>
            </w:r>
          </w:p>
        </w:tc>
        <w:tc>
          <w:tcPr>
            <w:tcW w:w="120" w:type="dxa"/>
            <w:vAlign w:val="bottom"/>
            <w:vMerge w:val="continue"/>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0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vMerge w:val="continue"/>
          </w:tcPr>
          <w:p>
            <w:pPr>
              <w:spacing w:after="0"/>
              <w:rPr>
                <w:sz w:val="23"/>
                <w:szCs w:val="23"/>
                <w:color w:val="auto"/>
              </w:rPr>
            </w:pPr>
          </w:p>
        </w:tc>
        <w:tc>
          <w:tcPr>
            <w:tcW w:w="8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0" w:type="dxa"/>
            <w:vAlign w:val="bottom"/>
            <w:shd w:val="clear" w:color="auto" w:fill="CCEEFF"/>
          </w:tcPr>
          <w:p>
            <w:pPr>
              <w:spacing w:after="0"/>
              <w:rPr>
                <w:sz w:val="21"/>
                <w:szCs w:val="21"/>
                <w:color w:val="auto"/>
              </w:rPr>
            </w:pPr>
          </w:p>
        </w:tc>
        <w:tc>
          <w:tcPr>
            <w:tcW w:w="2200" w:type="dxa"/>
            <w:vAlign w:val="bottom"/>
            <w:gridSpan w:val="3"/>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80" w:type="dxa"/>
            <w:vAlign w:val="bottom"/>
            <w:gridSpan w:val="6"/>
          </w:tcPr>
          <w:p>
            <w:pPr>
              <w:spacing w:after="0" w:line="203" w:lineRule="exact"/>
              <w:rPr>
                <w:sz w:val="20"/>
                <w:szCs w:val="20"/>
                <w:color w:val="auto"/>
              </w:rPr>
            </w:pPr>
            <w:r>
              <w:rPr>
                <w:rFonts w:ascii="Times New Roman" w:cs="Times New Roman" w:eastAsia="Times New Roman" w:hAnsi="Times New Roman"/>
                <w:sz w:val="22"/>
                <w:szCs w:val="22"/>
                <w:color w:val="auto"/>
              </w:rPr>
              <w:t>Fiscal quarter ended March 29,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tcBorders>
              <w:righ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right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142,113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w w:val="95"/>
              </w:rPr>
              <w:t>140,963</w:t>
            </w:r>
          </w:p>
        </w:tc>
        <w:tc>
          <w:tcPr>
            <w:tcW w:w="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51,168</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8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w w:val="97"/>
              </w:rPr>
              <w:t>179,500</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84,121</w:t>
            </w:r>
          </w:p>
        </w:tc>
        <w:tc>
          <w:tcPr>
            <w:tcW w:w="2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117,371</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715,236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Cost of products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righ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(excluding</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depreciation)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117,507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w w:val="95"/>
              </w:rPr>
              <w:t>101,829</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36,658</w:t>
            </w: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w w:val="97"/>
              </w:rPr>
              <w:t>128,472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62,282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85,954</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532,702</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Depreciation expense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 cost of products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sold</w:t>
            </w:r>
          </w:p>
        </w:tc>
        <w:tc>
          <w:tcPr>
            <w:tcW w:w="1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11,112</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10,674</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4,242</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4,142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46,980</w:t>
            </w: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Total cost of products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sold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130,507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u w:val="single" w:color="auto"/>
                <w:color w:val="auto"/>
                <w:w w:val="72"/>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w w:val="95"/>
              </w:rPr>
              <w:t>112,941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40,468</w:t>
            </w: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w w:val="97"/>
              </w:rPr>
              <w:t>139,146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66,524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90,096</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579,682</w:t>
            </w: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11,606</w:t>
            </w:r>
          </w:p>
        </w:tc>
        <w:tc>
          <w:tcPr>
            <w:tcW w:w="180" w:type="dxa"/>
            <w:vAlign w:val="bottom"/>
          </w:tcPr>
          <w:p>
            <w:pPr>
              <w:spacing w:after="0"/>
              <w:rPr>
                <w:sz w:val="21"/>
                <w:szCs w:val="21"/>
                <w:color w:val="auto"/>
              </w:rPr>
            </w:pP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28,022</w:t>
            </w:r>
          </w:p>
        </w:tc>
        <w:tc>
          <w:tcPr>
            <w:tcW w:w="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10,700</w:t>
            </w:r>
          </w:p>
        </w:tc>
        <w:tc>
          <w:tcPr>
            <w:tcW w:w="80" w:type="dxa"/>
            <w:vAlign w:val="bottom"/>
          </w:tcPr>
          <w:p>
            <w:pPr>
              <w:spacing w:after="0"/>
              <w:rPr>
                <w:sz w:val="21"/>
                <w:szCs w:val="21"/>
                <w:color w:val="auto"/>
              </w:rPr>
            </w:pPr>
          </w:p>
        </w:tc>
        <w:tc>
          <w:tcPr>
            <w:tcW w:w="20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40,354</w:t>
            </w:r>
          </w:p>
        </w:tc>
        <w:tc>
          <w:tcPr>
            <w:tcW w:w="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17,597</w:t>
            </w:r>
          </w:p>
        </w:tc>
        <w:tc>
          <w:tcPr>
            <w:tcW w:w="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27,275</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135,554</w:t>
            </w:r>
          </w:p>
        </w:tc>
        <w:tc>
          <w:tcPr>
            <w:tcW w:w="0" w:type="dxa"/>
            <w:vAlign w:val="bottom"/>
          </w:tcPr>
          <w:p>
            <w:pPr>
              <w:spacing w:after="0"/>
              <w:rPr>
                <w:sz w:val="1"/>
                <w:szCs w:val="1"/>
                <w:color w:val="auto"/>
              </w:rPr>
            </w:pPr>
          </w:p>
        </w:tc>
      </w:tr>
      <w:tr>
        <w:trPr>
          <w:trHeight w:val="243"/>
        </w:trPr>
        <w:tc>
          <w:tcPr>
            <w:tcW w:w="500" w:type="dxa"/>
            <w:vAlign w:val="bottom"/>
            <w:shd w:val="clear" w:color="auto" w:fill="CCEEFF"/>
          </w:tcPr>
          <w:p>
            <w:pPr>
              <w:spacing w:after="0"/>
              <w:rPr>
                <w:sz w:val="21"/>
                <w:szCs w:val="21"/>
                <w:color w:val="auto"/>
              </w:rPr>
            </w:pPr>
          </w:p>
        </w:tc>
        <w:tc>
          <w:tcPr>
            <w:tcW w:w="1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Segment operating</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expenses</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20,345</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6,825</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5,281</w:t>
            </w:r>
          </w:p>
        </w:tc>
        <w:tc>
          <w:tcPr>
            <w:tcW w:w="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9,203</w:t>
            </w:r>
          </w:p>
        </w:tc>
        <w:tc>
          <w:tcPr>
            <w:tcW w:w="1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3,695</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6,701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52,050</w:t>
            </w: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Segment operating</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income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(8,739)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21,197</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5,419</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31,151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13,902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20,574</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83,504</w:t>
            </w:r>
          </w:p>
        </w:tc>
        <w:tc>
          <w:tcPr>
            <w:tcW w:w="0" w:type="dxa"/>
            <w:vAlign w:val="bottom"/>
          </w:tcPr>
          <w:p>
            <w:pPr>
              <w:spacing w:after="0"/>
              <w:rPr>
                <w:sz w:val="1"/>
                <w:szCs w:val="1"/>
                <w:color w:val="auto"/>
              </w:rPr>
            </w:pPr>
          </w:p>
        </w:tc>
      </w:tr>
      <w:tr>
        <w:trPr>
          <w:trHeight w:val="236"/>
        </w:trPr>
        <w:tc>
          <w:tcPr>
            <w:tcW w:w="5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Total depreciation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expense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13,572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11,483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3,917</w:t>
            </w: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10,864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4,283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4,184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2,215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50,518</w:t>
            </w: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Capital expenditures</w:t>
            </w:r>
          </w:p>
        </w:tc>
        <w:tc>
          <w:tcPr>
            <w:tcW w:w="12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46,303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4,329</w:t>
            </w:r>
          </w:p>
        </w:tc>
        <w:tc>
          <w:tcPr>
            <w:tcW w:w="4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3,047</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584</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5,975</w:t>
            </w:r>
          </w:p>
        </w:tc>
        <w:tc>
          <w:tcPr>
            <w:tcW w:w="160" w:type="dxa"/>
            <w:vAlign w:val="bottom"/>
          </w:tcPr>
          <w:p>
            <w:pPr>
              <w:spacing w:after="0"/>
              <w:rPr>
                <w:sz w:val="21"/>
                <w:szCs w:val="21"/>
                <w:color w:val="auto"/>
              </w:rPr>
            </w:pPr>
          </w:p>
        </w:tc>
        <w:tc>
          <w:tcPr>
            <w:tcW w:w="10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619</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61,569</w:t>
            </w:r>
          </w:p>
        </w:tc>
        <w:tc>
          <w:tcPr>
            <w:tcW w:w="0" w:type="dxa"/>
            <w:vAlign w:val="bottom"/>
          </w:tcPr>
          <w:p>
            <w:pPr>
              <w:spacing w:after="0"/>
              <w:rPr>
                <w:sz w:val="1"/>
                <w:szCs w:val="1"/>
                <w:color w:val="auto"/>
              </w:rPr>
            </w:pPr>
          </w:p>
        </w:tc>
      </w:tr>
      <w:tr>
        <w:trPr>
          <w:trHeight w:val="243"/>
        </w:trPr>
        <w:tc>
          <w:tcPr>
            <w:tcW w:w="500" w:type="dxa"/>
            <w:vAlign w:val="bottom"/>
            <w:shd w:val="clear" w:color="auto" w:fill="CCEEFF"/>
          </w:tcPr>
          <w:p>
            <w:pPr>
              <w:spacing w:after="0"/>
              <w:rPr>
                <w:sz w:val="21"/>
                <w:szCs w:val="21"/>
                <w:color w:val="auto"/>
              </w:rPr>
            </w:pPr>
          </w:p>
        </w:tc>
        <w:tc>
          <w:tcPr>
            <w:tcW w:w="1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Total assets as of</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March 29, 2025:</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7"/>
              </w:rPr>
              <w:t>1,080,665</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5"/>
              </w:rPr>
              <w:t>735,150</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354,747</w:t>
            </w:r>
          </w:p>
        </w:tc>
        <w:tc>
          <w:tcPr>
            <w:tcW w:w="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7"/>
              </w:rPr>
              <w:t>976,991</w:t>
            </w:r>
          </w:p>
        </w:tc>
        <w:tc>
          <w:tcPr>
            <w:tcW w:w="1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334,823</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467,561</w:t>
            </w:r>
          </w:p>
        </w:tc>
        <w:tc>
          <w:tcPr>
            <w:tcW w:w="1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250,305</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w w:val="95"/>
              </w:rPr>
              <w:t>4,200,242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785"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785"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20" w:type="dxa"/>
            <w:vAlign w:val="bottom"/>
            <w:gridSpan w:val="6"/>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March 29,</w:t>
            </w:r>
          </w:p>
        </w:tc>
        <w:tc>
          <w:tcPr>
            <w:tcW w:w="0" w:type="dxa"/>
            <w:vAlign w:val="bottom"/>
          </w:tcPr>
          <w:p>
            <w:pPr>
              <w:spacing w:after="0"/>
              <w:rPr>
                <w:sz w:val="1"/>
                <w:szCs w:val="1"/>
                <w:color w:val="auto"/>
              </w:rPr>
            </w:pPr>
          </w:p>
        </w:tc>
      </w:tr>
      <w:tr>
        <w:trPr>
          <w:trHeight w:val="281"/>
        </w:trPr>
        <w:tc>
          <w:tcPr>
            <w:tcW w:w="85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Reconciliation:</w:t>
            </w: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8"/>
              </w:rPr>
              <w:t>April 4, 2026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vMerge w:val="continue"/>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Income</w:t>
            </w:r>
          </w:p>
        </w:tc>
        <w:tc>
          <w:tcPr>
            <w:tcW w:w="2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10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rPr>
              <w:t>118,794</w:t>
            </w:r>
          </w:p>
        </w:tc>
        <w:tc>
          <w:tcPr>
            <w:tcW w:w="3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83,504</w:t>
            </w:r>
          </w:p>
        </w:tc>
        <w:tc>
          <w:tcPr>
            <w:tcW w:w="0" w:type="dxa"/>
            <w:vAlign w:val="bottom"/>
          </w:tcPr>
          <w:p>
            <w:pPr>
              <w:spacing w:after="0"/>
              <w:rPr>
                <w:sz w:val="1"/>
                <w:szCs w:val="1"/>
                <w:color w:val="auto"/>
              </w:rPr>
            </w:pPr>
          </w:p>
        </w:tc>
      </w:tr>
      <w:tr>
        <w:trPr>
          <w:trHeight w:val="250"/>
        </w:trPr>
        <w:tc>
          <w:tcPr>
            <w:tcW w:w="8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Unallocated Selling, General, and Administrative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(96,670)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(82,689)</w:t>
            </w:r>
          </w:p>
        </w:tc>
        <w:tc>
          <w:tcPr>
            <w:tcW w:w="0" w:type="dxa"/>
            <w:vAlign w:val="bottom"/>
          </w:tcPr>
          <w:p>
            <w:pPr>
              <w:spacing w:after="0"/>
              <w:rPr>
                <w:sz w:val="1"/>
                <w:szCs w:val="1"/>
                <w:color w:val="auto"/>
              </w:rPr>
            </w:pPr>
          </w:p>
        </w:tc>
      </w:tr>
      <w:tr>
        <w:trPr>
          <w:trHeight w:val="243"/>
        </w:trPr>
        <w:tc>
          <w:tcPr>
            <w:tcW w:w="8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Consolidated Operating Income</w:t>
            </w: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22,124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Unallocated Other Income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(9,272)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(5,043)</w:t>
            </w:r>
          </w:p>
        </w:tc>
        <w:tc>
          <w:tcPr>
            <w:tcW w:w="0" w:type="dxa"/>
            <w:vAlign w:val="bottom"/>
          </w:tcPr>
          <w:p>
            <w:pPr>
              <w:spacing w:after="0"/>
              <w:rPr>
                <w:sz w:val="1"/>
                <w:szCs w:val="1"/>
                <w:color w:val="auto"/>
              </w:rPr>
            </w:pPr>
          </w:p>
        </w:tc>
      </w:tr>
      <w:tr>
        <w:trPr>
          <w:trHeight w:val="284"/>
        </w:trPr>
        <w:tc>
          <w:tcPr>
            <w:tcW w:w="85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Consolidated Income (Loss) Before Taxes</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12,852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(4,228)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has a broad line of products that it sells to OEMs, EMS companies, and independent distributors. The distribution of sales by customer type is shown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8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740" w:type="dxa"/>
            <w:vAlign w:val="bottom"/>
            <w:gridSpan w:val="4"/>
          </w:tcPr>
          <w:p>
            <w:pPr>
              <w:ind w:left="22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Distributors</w:t>
            </w:r>
          </w:p>
        </w:tc>
        <w:tc>
          <w:tcPr>
            <w:tcW w:w="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461,847</w:t>
            </w:r>
          </w:p>
        </w:tc>
        <w:tc>
          <w:tcPr>
            <w:tcW w:w="22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388,493</w:t>
            </w:r>
          </w:p>
        </w:tc>
        <w:tc>
          <w:tcPr>
            <w:tcW w:w="100" w:type="dxa"/>
            <w:vAlign w:val="bottom"/>
            <w:shd w:val="clear" w:color="auto" w:fill="CCEEFF"/>
          </w:tcPr>
          <w:p>
            <w:pPr>
              <w:spacing w:after="0"/>
              <w:rPr>
                <w:sz w:val="21"/>
                <w:szCs w:val="2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OEMs</w:t>
            </w: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318,533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278,346</w:t>
            </w:r>
          </w:p>
        </w:tc>
      </w:tr>
      <w:tr>
        <w:trPr>
          <w:trHeight w:val="250"/>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EMS companies</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58,862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48,397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Total Revenue</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839,242</w:t>
            </w:r>
          </w:p>
        </w:tc>
        <w:tc>
          <w:tcPr>
            <w:tcW w:w="6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715,236</w:t>
            </w:r>
          </w:p>
        </w:tc>
      </w:tr>
      <w:tr>
        <w:trPr>
          <w:trHeight w:val="21"/>
        </w:trPr>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revenues were attributable to customers in the following regions:</w:t>
      </w:r>
    </w:p>
    <w:p>
      <w:pPr>
        <w:spacing w:after="0" w:line="20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22"/>
          <w:szCs w:val="22"/>
          <w:b w:val="1"/>
          <w:bCs w:val="1"/>
          <w:color w:val="auto"/>
        </w:rPr>
        <w:t>Fiscal quarters ended</w:t>
      </w:r>
    </w:p>
    <w:p>
      <w:pPr>
        <w:spacing w:after="0" w:line="8"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b w:val="1"/>
          <w:bCs w:val="1"/>
          <w:color w:val="auto"/>
        </w:rPr>
        <w:t>April 4,</w:t>
      </w:r>
    </w:p>
    <w:p>
      <w:pPr>
        <w:ind w:left="8720"/>
        <w:spacing w:after="0" w:line="233" w:lineRule="auto"/>
        <w:tabs>
          <w:tab w:leader="none" w:pos="9700" w:val="left"/>
        </w:tabs>
        <w:rPr>
          <w:sz w:val="20"/>
          <w:szCs w:val="20"/>
          <w:color w:val="auto"/>
        </w:rPr>
      </w:pPr>
      <w:r>
        <w:rPr>
          <w:rFonts w:ascii="Times New Roman" w:cs="Times New Roman" w:eastAsia="Times New Roman" w:hAnsi="Times New Roman"/>
          <w:sz w:val="22"/>
          <w:szCs w:val="22"/>
          <w:b w:val="1"/>
          <w:bCs w:val="1"/>
          <w:color w:val="auto"/>
        </w:rPr>
        <w:t>2026</w:t>
      </w:r>
      <w:r>
        <w:rPr>
          <w:sz w:val="20"/>
          <w:szCs w:val="20"/>
          <w:color w:val="auto"/>
        </w:rPr>
        <w:tab/>
      </w:r>
      <w:r>
        <w:rPr>
          <w:rFonts w:ascii="Times New Roman" w:cs="Times New Roman" w:eastAsia="Times New Roman" w:hAnsi="Times New Roman"/>
          <w:sz w:val="22"/>
          <w:szCs w:val="22"/>
          <w:b w:val="1"/>
          <w:bCs w:val="1"/>
          <w:color w:val="auto"/>
        </w:rPr>
        <w:t>March 29,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Asia</w:t>
            </w:r>
          </w:p>
        </w:tc>
        <w:tc>
          <w:tcPr>
            <w:tcW w:w="240" w:type="dxa"/>
            <w:vAlign w:val="bottom"/>
            <w:tcBorders>
              <w:top w:val="single" w:sz="8" w:color="auto"/>
            </w:tcBorders>
            <w:shd w:val="clear" w:color="auto" w:fill="CCEEFF"/>
          </w:tcPr>
          <w:p>
            <w:pPr>
              <w:jc w:val="right"/>
              <w:ind w:right="32"/>
              <w:spacing w:after="0" w:line="250"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335,139</w:t>
            </w:r>
          </w:p>
        </w:tc>
        <w:tc>
          <w:tcPr>
            <w:tcW w:w="22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284,579</w:t>
            </w:r>
          </w:p>
        </w:tc>
        <w:tc>
          <w:tcPr>
            <w:tcW w:w="100" w:type="dxa"/>
            <w:vAlign w:val="bottom"/>
            <w:shd w:val="clear" w:color="auto" w:fill="CCEEFF"/>
          </w:tcPr>
          <w:p>
            <w:pPr>
              <w:spacing w:after="0"/>
              <w:rPr>
                <w:sz w:val="21"/>
                <w:szCs w:val="2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Europe</w:t>
            </w: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296,816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255,331</w:t>
            </w:r>
          </w:p>
        </w:tc>
      </w:tr>
      <w:tr>
        <w:trPr>
          <w:trHeight w:val="250"/>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207,287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175,326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Total Revenue</w:t>
            </w:r>
          </w:p>
        </w:tc>
        <w:tc>
          <w:tcPr>
            <w:tcW w:w="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839,242</w:t>
            </w:r>
          </w:p>
        </w:tc>
        <w:tc>
          <w:tcPr>
            <w:tcW w:w="620" w:type="dxa"/>
            <w:vAlign w:val="bottom"/>
            <w:gridSpan w:val="2"/>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715,236</w:t>
            </w:r>
          </w:p>
        </w:tc>
      </w:tr>
      <w:tr>
        <w:trPr>
          <w:trHeight w:val="20"/>
        </w:trPr>
        <w:tc>
          <w:tcPr>
            <w:tcW w:w="8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generates substantially all of its revenue from product sales to end customers in the industrial, automotive, military and aerospace, healthcare, power supplies, telecommunications, consumer products, and computing end markets. Sales by end market are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8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740" w:type="dxa"/>
            <w:vAlign w:val="bottom"/>
            <w:gridSpan w:val="4"/>
          </w:tcPr>
          <w:p>
            <w:pPr>
              <w:ind w:left="22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Industrial</w:t>
            </w:r>
          </w:p>
        </w:tc>
        <w:tc>
          <w:tcPr>
            <w:tcW w:w="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298,903</w:t>
            </w:r>
          </w:p>
        </w:tc>
        <w:tc>
          <w:tcPr>
            <w:tcW w:w="22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244,926</w:t>
            </w:r>
          </w:p>
        </w:tc>
        <w:tc>
          <w:tcPr>
            <w:tcW w:w="100" w:type="dxa"/>
            <w:vAlign w:val="bottom"/>
            <w:shd w:val="clear" w:color="auto" w:fill="CCEEFF"/>
          </w:tcPr>
          <w:p>
            <w:pPr>
              <w:spacing w:after="0"/>
              <w:rPr>
                <w:sz w:val="21"/>
                <w:szCs w:val="2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Automotive</w:t>
            </w: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284,291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257,112</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Military and Aerospace</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89,173</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76,317</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Healthcare</w:t>
            </w: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40,592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36,532</w:t>
            </w:r>
          </w:p>
        </w:tc>
      </w:tr>
      <w:tr>
        <w:trPr>
          <w:trHeight w:val="250"/>
        </w:trPr>
        <w:tc>
          <w:tcPr>
            <w:tcW w:w="84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126,283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100,349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Revenue</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839,242</w:t>
            </w:r>
          </w:p>
        </w:tc>
        <w:tc>
          <w:tcPr>
            <w:tcW w:w="6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715,236</w:t>
            </w:r>
          </w:p>
        </w:tc>
      </w:tr>
      <w:tr>
        <w:trPr>
          <w:trHeight w:val="20"/>
        </w:trPr>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supplies, telecommunications, consumer products, and computing.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11 – Earnings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following table sets forth the computation of basic and diluted earnings (loss) per share </w:t>
      </w:r>
      <w:r>
        <w:rPr>
          <w:rFonts w:ascii="Times New Roman" w:cs="Times New Roman" w:eastAsia="Times New Roman" w:hAnsi="Times New Roman"/>
          <w:sz w:val="22"/>
          <w:szCs w:val="22"/>
          <w:i w:val="1"/>
          <w:iCs w:val="1"/>
          <w:color w:val="auto"/>
        </w:rPr>
        <w:t>(shares in thousands)</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00" w:type="dxa"/>
            <w:vAlign w:val="bottom"/>
            <w:gridSpan w:val="5"/>
          </w:tcPr>
          <w:p>
            <w:pPr>
              <w:jc w:val="right"/>
              <w:ind w:right="4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6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6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740" w:type="dxa"/>
            <w:vAlign w:val="bottom"/>
            <w:gridSpan w:val="4"/>
          </w:tcPr>
          <w:p>
            <w:pPr>
              <w:ind w:left="22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459"/>
        </w:trPr>
        <w:tc>
          <w:tcPr>
            <w:tcW w:w="63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Numerator:</w:t>
            </w:r>
          </w:p>
        </w:tc>
        <w:tc>
          <w:tcPr>
            <w:tcW w:w="2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3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218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7,164</w:t>
            </w:r>
          </w:p>
        </w:tc>
        <w:tc>
          <w:tcPr>
            <w:tcW w:w="620" w:type="dxa"/>
            <w:vAlign w:val="bottom"/>
            <w:gridSpan w:val="2"/>
            <w:shd w:val="clear" w:color="auto" w:fill="CCEEFF"/>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(4,092)</w:t>
            </w:r>
          </w:p>
        </w:tc>
      </w:tr>
      <w:tr>
        <w:trPr>
          <w:trHeight w:val="216"/>
        </w:trPr>
        <w:tc>
          <w:tcPr>
            <w:tcW w:w="6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Denominator:</w:t>
            </w:r>
          </w:p>
        </w:tc>
        <w:tc>
          <w:tcPr>
            <w:tcW w:w="2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Denominator for basic earnings (loss) per share:</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3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Weighted average shares</w:t>
            </w:r>
          </w:p>
        </w:tc>
        <w:tc>
          <w:tcPr>
            <w:tcW w:w="2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135,904</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135,666</w:t>
            </w:r>
          </w:p>
        </w:tc>
      </w:tr>
      <w:tr>
        <w:trPr>
          <w:trHeight w:val="250"/>
        </w:trPr>
        <w:tc>
          <w:tcPr>
            <w:tcW w:w="6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Outstanding phantom stock units</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141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63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Adjusted weighted average shares - basic</w:t>
            </w:r>
          </w:p>
        </w:tc>
        <w:tc>
          <w:tcPr>
            <w:tcW w:w="20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136,045</w:t>
            </w:r>
          </w:p>
        </w:tc>
        <w:tc>
          <w:tcPr>
            <w:tcW w:w="22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135,799</w:t>
            </w:r>
          </w:p>
        </w:tc>
        <w:tc>
          <w:tcPr>
            <w:tcW w:w="100" w:type="dxa"/>
            <w:vAlign w:val="bottom"/>
            <w:shd w:val="clear" w:color="auto" w:fill="CCEEFF"/>
          </w:tcPr>
          <w:p>
            <w:pPr>
              <w:spacing w:after="0"/>
              <w:rPr>
                <w:sz w:val="21"/>
                <w:szCs w:val="21"/>
                <w:color w:val="auto"/>
              </w:rPr>
            </w:pPr>
          </w:p>
        </w:tc>
      </w:tr>
      <w:tr>
        <w:trPr>
          <w:trHeight w:val="216"/>
        </w:trPr>
        <w:tc>
          <w:tcPr>
            <w:tcW w:w="6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2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6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Restricted stock units</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1,426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6360" w:type="dxa"/>
            <w:vAlign w:val="bottom"/>
            <w:tcBorders>
              <w:bottom w:val="single" w:sz="8" w:color="CCEEFF"/>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Dilutive potential common shares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1,426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6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Denominator for diluted earnings (loss) per share:</w:t>
            </w:r>
          </w:p>
        </w:tc>
        <w:tc>
          <w:tcPr>
            <w:tcW w:w="2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Adjusted weighted average shares - diluted</w:t>
            </w:r>
          </w:p>
        </w:tc>
        <w:tc>
          <w:tcPr>
            <w:tcW w:w="2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137,471</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135,799</w:t>
            </w:r>
          </w:p>
        </w:tc>
        <w:tc>
          <w:tcPr>
            <w:tcW w:w="100" w:type="dxa"/>
            <w:vAlign w:val="bottom"/>
          </w:tcPr>
          <w:p>
            <w:pPr>
              <w:spacing w:after="0"/>
              <w:rPr>
                <w:sz w:val="21"/>
                <w:szCs w:val="21"/>
                <w:color w:val="auto"/>
              </w:rPr>
            </w:pPr>
          </w:p>
        </w:tc>
      </w:tr>
      <w:tr>
        <w:trPr>
          <w:trHeight w:val="21"/>
        </w:trPr>
        <w:tc>
          <w:tcPr>
            <w:tcW w:w="6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43"/>
        </w:trPr>
        <w:tc>
          <w:tcPr>
            <w:tcW w:w="6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Basic earnings (loss) per share</w:t>
            </w:r>
          </w:p>
        </w:tc>
        <w:tc>
          <w:tcPr>
            <w:tcW w:w="21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0.05</w:t>
            </w:r>
          </w:p>
        </w:tc>
        <w:tc>
          <w:tcPr>
            <w:tcW w:w="6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(0.03)</w:t>
            </w:r>
          </w:p>
        </w:tc>
      </w:tr>
      <w:tr>
        <w:trPr>
          <w:trHeight w:val="216"/>
        </w:trPr>
        <w:tc>
          <w:tcPr>
            <w:tcW w:w="63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86"/>
        </w:trPr>
        <w:tc>
          <w:tcPr>
            <w:tcW w:w="6360" w:type="dxa"/>
            <w:vAlign w:val="bottom"/>
          </w:tcPr>
          <w:p>
            <w:pPr>
              <w:spacing w:after="0"/>
              <w:rPr>
                <w:sz w:val="20"/>
                <w:szCs w:val="20"/>
                <w:color w:val="auto"/>
              </w:rPr>
            </w:pPr>
            <w:r>
              <w:rPr>
                <w:rFonts w:ascii="Times New Roman" w:cs="Times New Roman" w:eastAsia="Times New Roman" w:hAnsi="Times New Roman"/>
                <w:sz w:val="22"/>
                <w:szCs w:val="22"/>
                <w:color w:val="auto"/>
              </w:rPr>
              <w:t>Diluted earnings (loss) per share</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0.05</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(0.03)</w:t>
            </w:r>
          </w:p>
        </w:tc>
      </w:tr>
    </w:tbl>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Diluted earnings (loss) per share for the periods presented do not reflect the following weighted average potential common shares that would have an antidilutive effect or have unsatisfied performance conditions </w:t>
      </w:r>
      <w:r>
        <w:rPr>
          <w:rFonts w:ascii="Times New Roman" w:cs="Times New Roman" w:eastAsia="Times New Roman" w:hAnsi="Times New Roman"/>
          <w:sz w:val="22"/>
          <w:szCs w:val="22"/>
          <w:i w:val="1"/>
          <w:iCs w:val="1"/>
          <w:color w:val="auto"/>
        </w:rPr>
        <w:t>(in thousands)</w:t>
      </w:r>
      <w:r>
        <w:rPr>
          <w:rFonts w:ascii="Times New Roman" w:cs="Times New Roman" w:eastAsia="Times New Roman" w:hAnsi="Times New Roman"/>
          <w:sz w:val="22"/>
          <w:szCs w:val="22"/>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1"/>
                <w:szCs w:val="21"/>
                <w:color w:val="auto"/>
              </w:rPr>
            </w:pPr>
          </w:p>
        </w:tc>
        <w:tc>
          <w:tcPr>
            <w:tcW w:w="284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840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April 4,</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84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74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Restricted stock units</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333</w:t>
            </w:r>
          </w:p>
        </w:tc>
        <w:tc>
          <w:tcPr>
            <w:tcW w:w="220" w:type="dxa"/>
            <w:vAlign w:val="bottom"/>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2,657</w:t>
            </w:r>
          </w:p>
        </w:tc>
        <w:tc>
          <w:tcPr>
            <w:tcW w:w="100" w:type="dxa"/>
            <w:vAlign w:val="bottom"/>
            <w:shd w:val="clear" w:color="auto" w:fill="CCEEFF"/>
          </w:tcPr>
          <w:p>
            <w:pPr>
              <w:spacing w:after="0"/>
              <w:rPr>
                <w:sz w:val="21"/>
                <w:szCs w:val="21"/>
                <w:color w:val="auto"/>
              </w:rPr>
            </w:pPr>
          </w:p>
        </w:tc>
      </w:tr>
    </w:tbl>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average market price of Vishay common stock is less than the effective conversion price of the convertible senior notes due 2030, no shares are included in the diluted earnings (loss) per share computation for the convertible senior notes due 2030. Pursuant to the indenture governing the convertible senior notes due 2030, Vishay will satisfy its conversion obligations by paying $1 cash per $1 principal amount of converted notes and settle any additional amounts due in cash and/or common stock. Similarly, the convertible senior notes due 2025 were considered, but not included, in the diluted earnings per share computation for any period presented or any period they were outstanding.</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issuance of the convertible senior notes due 2030, the Company entered into capped call transactions, which were not included in the calculation of diluted earnings per share as their effect would have been anti-dilutive. The capped calls are intended to reduce the potential dilution to the Company's common stock in the event that at the time of conversion of the convertible senior notes due 2030 the Company's common stock price exceeds the conversion price of the convertible senior notes due 2030.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12 – Fair Value Measurements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financial assets and liabilities carried at fair value measured on a recurring basis: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5"/>
              </w:rPr>
              <w:t>Total</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5"/>
              </w:rPr>
              <w:t>Fair Value</w:t>
            </w:r>
          </w:p>
        </w:tc>
        <w:tc>
          <w:tcPr>
            <w:tcW w:w="16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16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0" w:type="dxa"/>
            <w:vAlign w:val="bottom"/>
          </w:tcPr>
          <w:p>
            <w:pPr>
              <w:spacing w:after="0"/>
              <w:rPr>
                <w:sz w:val="1"/>
                <w:szCs w:val="1"/>
                <w:color w:val="auto"/>
              </w:rPr>
            </w:pPr>
          </w:p>
        </w:tc>
      </w:tr>
      <w:tr>
        <w:trPr>
          <w:trHeight w:val="216"/>
        </w:trPr>
        <w:tc>
          <w:tcPr>
            <w:tcW w:w="5980" w:type="dxa"/>
            <w:vAlign w:val="bottom"/>
            <w:gridSpan w:val="3"/>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Assets held in rabbi trusts</w:t>
            </w:r>
          </w:p>
        </w:tc>
        <w:tc>
          <w:tcPr>
            <w:tcW w:w="220" w:type="dxa"/>
            <w:vAlign w:val="bottom"/>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54,853</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22,883</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31,970</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0"/>
        </w:trPr>
        <w:tc>
          <w:tcPr>
            <w:tcW w:w="5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Available for sale securities</w:t>
            </w: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4,541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4,541</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1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59,394</w:t>
            </w:r>
          </w:p>
        </w:tc>
        <w:tc>
          <w:tcPr>
            <w:tcW w:w="2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27,424</w:t>
            </w: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31,970</w:t>
            </w: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Borders>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auto"/>
                <w:w w:val="97"/>
              </w:rPr>
              <w:t>Liability:</w:t>
            </w:r>
          </w:p>
        </w:tc>
        <w:tc>
          <w:tcPr>
            <w:tcW w:w="5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Acquisitions contingent consideration</w:t>
            </w: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2,901</w:t>
            </w:r>
          </w:p>
        </w:tc>
        <w:tc>
          <w:tcPr>
            <w:tcW w:w="2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2,901</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December 31, 2025</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auto"/>
                <w:w w:val="97"/>
              </w:rPr>
              <w:t>Assets:</w:t>
            </w:r>
          </w:p>
        </w:tc>
        <w:tc>
          <w:tcPr>
            <w:tcW w:w="534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Assets held in rabbi trusts</w:t>
            </w: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55,442</w:t>
            </w:r>
          </w:p>
        </w:tc>
        <w:tc>
          <w:tcPr>
            <w:tcW w:w="2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22,749</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32,693</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9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Available for sale securities</w:t>
            </w:r>
          </w:p>
        </w:tc>
        <w:tc>
          <w:tcPr>
            <w:tcW w:w="220" w:type="dxa"/>
            <w:vAlign w:val="bottom"/>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4,660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4,660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60,102</w:t>
            </w:r>
          </w:p>
        </w:tc>
        <w:tc>
          <w:tcPr>
            <w:tcW w:w="2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27,409</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32,693</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gridSpan w:val="3"/>
          </w:tcPr>
          <w:p>
            <w:pPr>
              <w:spacing w:after="0" w:line="203" w:lineRule="exact"/>
              <w:rPr>
                <w:sz w:val="20"/>
                <w:szCs w:val="20"/>
                <w:color w:val="auto"/>
              </w:rPr>
            </w:pPr>
            <w:r>
              <w:rPr>
                <w:rFonts w:ascii="Times New Roman" w:cs="Times New Roman" w:eastAsia="Times New Roman" w:hAnsi="Times New Roman"/>
                <w:sz w:val="22"/>
                <w:szCs w:val="22"/>
                <w:color w:val="auto"/>
              </w:rPr>
              <w:t>Liability: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Acquisitions contingent consideration</w:t>
            </w:r>
          </w:p>
        </w:tc>
        <w:tc>
          <w:tcPr>
            <w:tcW w:w="220" w:type="dxa"/>
            <w:vAlign w:val="bottom"/>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2,938</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2,938</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changes in the classification of any financial instruments within the fair value hierarchy in the periods presented.</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period.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holds investments in debt securities that are intended to fund a portion of its pension and other postretirement benefit obligations outside of the United States. The investments are valued based on quoted market prices on the last business day of the period. The fair value measurement of the investments is considered a Level 1 measurement within the fair value hierarchy.</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may be required to make certain contingent consideration payments related to acquisitions. The fair value of these contingent payments is determined by estimating the net present value of the expected cash flows based on the probability of expected payments. The fair value measurement of the contingent consideration payments is considered a Level 3 measurement within the fair value hierarchy.</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fair value of the long-term debt, excluding deferred financing costs, at April 4, 2026 and December 31, 2025 is approximately $978,000 and $896,100, respectively, compared to its carrying value, excluding deferred financing costs, of $1,000,000 and $969,000, respectively. The Company estimates the fair value of its long-term debt using a combination of quoted market prices for similar financing arrangements and expected future payments discounted at risk-adjusted rates, which are considered Level 2 inputs.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color w:val="auto"/>
        </w:rPr>
        <w:t>NOTES TO THE CONSOLIDATED CONDENSED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(dollars in thousands,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At April 4, 2026 and December 31, 2025,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At April 4, 2026 and December 31, 2025,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consolidated condensed balance sheets.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financial instruments also include accounts receivable and accounts payable. The carrying amounts for these financial instruments reported in the consolidated condensed balance sheets approximate their fair values.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2.  Management’s Discussion and Analysis of Financial Condition and Results of Operations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("MD&amp;A") is intended to provide an understanding of Vishay's financial condition, results of operations and cash flows by focusing on changes in certain key measures from period to period. The MD&amp;A should be read in conjunction with our Consolidated Condensed Financial Statements and accompanying Notes included in Item 1. This discussion contains forward-looking statements that involve risks and uncertainties. Our actual results could differ materially from those anticipated in these forward-looking statements as a result of various factors, including those discussed in our Annual Report on Form 10-K, particularly in Item 1A. "Risk Factors," filed with the Securities and Exchange Commission on February 13,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healthcare markets.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operate in six segments based on product functionality: MOSFETs, Diodes, Optoelectronic Components, Resistors, Inductors, and Capacitors.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goal is to enhance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As we advance our Think Customer First organizational culture in 2026, we are focused on maintaining capacity readiness to fulfill rising demand, growing existing customer relationships, attracting new customer relationships, driving innovation, delivering new products and solutions, and expanding production in low cost countries to support our regional competitiveness.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We are focused on realizing the full value of our broad product portfolio, becoming a customer-first company, and capitalizing on the mega trends of e-mobility, sustainability, and connectivity to drive top line growth, expand margins, and optimize stockholder returns. We are using eight strategic levers to achieve these goals. Our elevated capital expenditure levels over the past three years has positioned us with increased capacity to assure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will be invested in our 12-inch wafer fab we are building in Itzehoe, Germany.</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to enhancing stockholder value through growing our business, we continue to follow our Stockholder Return Policy, which calls for us to return at least 70% of free cash flow, net of scheduled principal payments of long-term debt, on an annual basis. See further discussion in “Stockholder Return Policy” below.</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utilize several financial metrics, including net revenues, gross profit margin, operating margin, segment operating income, segment operating margin,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Nearly all key financial metrics increased versus the prior fiscal quarter and the prior year quarter. Net revenues increased versus the prior fiscal quarter and the prior year quarter primarily due to higher sales volume. Margins were positively impacted by higher sales volume and associated manufacturing efficiencies, which offset higher metals and materials costs. Backlog and book-to-bill increased due to higher order volume.</w:t>
      </w:r>
    </w:p>
    <w:p>
      <w:pPr>
        <w:sectPr>
          <w:pgSz w:w="11900" w:h="16838" w:orient="portrait"/>
          <w:cols w:equalWidth="0" w:num="1">
            <w:col w:w="11240"/>
          </w:cols>
          <w:pgMar w:left="320" w:top="324"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22" w:name="page23"/>
    <w:bookmarkEnd w:id="22"/>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Net revenues for the fiscal quarter ended April 4, 2026 were $839.2 million, compared to $800.9 million and $715.2 million for the fiscal quarters ended December 31, 2025 and March 29, 2025, respectively. Net earnings for the fiscal quarter ended April 4, 2026 were $7.2 million, or $0.05 per diluted share, compared to net earnings of $1.0 million, or $0.01 per diluted share for the fiscal quarter ended December 31, 2025, and a net loss of $(4.1) million, or $(0.03) per share for the fiscal quarter ended March 29, 2025.</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Measures such as free cash and segment operating income are considered non-GAAP measures. We define free cash as the cash flows generated from continuing operations less capital expenditures plus net proceeds from the sale of property and equipment. We define segment operating income as operating income excluding selling, general, and administrative costs of our global operations, sales and marketing, information systems, finance, and administrative groups, as well as restructuring and severance costs, goodwill impairments, and other items affecting comparability. The reconciliation of free cash is below. Note 10 to our consolidated condensed financial statements includes the reconciliation for segment operating income. These non-GAAP measures should not be viewed as alternatives to GAAP measures of performance or liquidity. Non-GAAP measures such as free cash and segment operating income do not have uniform definitions. These measures, as calculated by Vishay, may not be comparable to similarly titled measures used by other companies. Management believes that free cash is a meaningful measure of our ability to fund acquisitions, repay debt, and otherwise enhance stockholder value through stock repurchases or dividends. We utilize the free cash metric in defining our Stockholder Return Policy. Management uses segment operating income, along with segment gross profit, to make decisions, allocate resources, and assess performance of its operating segments.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Although the term "free cash" is not defined in GAAP, each of the elements used to calculate free cash for the year-to-date period is presented as a line item on the face of our consolidated condensed statement of cash flows prepared in accordance with GAAP and the quarterly amounts are derived from the year-to-date GAAP statements as of the beginning and end of the respective quarter. Free cash results are as follows </w:t>
      </w:r>
      <w:r>
        <w:rPr>
          <w:rFonts w:ascii="Times New Roman" w:cs="Times New Roman" w:eastAsia="Times New Roman" w:hAnsi="Times New Roman"/>
          <w:sz w:val="22"/>
          <w:szCs w:val="22"/>
          <w:color w:val="242424"/>
        </w:rPr>
        <w:t>(</w:t>
      </w:r>
      <w:r>
        <w:rPr>
          <w:rFonts w:ascii="Times New Roman" w:cs="Times New Roman" w:eastAsia="Times New Roman" w:hAnsi="Times New Roman"/>
          <w:sz w:val="22"/>
          <w:szCs w:val="22"/>
          <w:i w:val="1"/>
          <w:iCs w:val="1"/>
          <w:color w:val="242424"/>
        </w:rPr>
        <w:t>in thousands</w:t>
      </w:r>
      <w:r>
        <w:rPr>
          <w:rFonts w:ascii="Times New Roman" w:cs="Times New Roman" w:eastAsia="Times New Roman" w:hAnsi="Times New Roman"/>
          <w:sz w:val="22"/>
          <w:szCs w:val="22"/>
          <w:color w:val="242424"/>
        </w:rPr>
        <w:t>)</w:t>
      </w:r>
      <w:r>
        <w:rPr>
          <w:rFonts w:ascii="Times New Roman" w:cs="Times New Roman" w:eastAsia="Times New Roman" w:hAnsi="Times New Roman"/>
          <w:sz w:val="22"/>
          <w:szCs w:val="22"/>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60" w:type="dxa"/>
            <w:vAlign w:val="bottom"/>
            <w:gridSpan w:val="8"/>
          </w:tcPr>
          <w:p>
            <w:pPr>
              <w:ind w:left="8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rPr>
              <w:t>April 4,</w:t>
            </w:r>
          </w:p>
        </w:tc>
        <w:tc>
          <w:tcPr>
            <w:tcW w:w="80" w:type="dxa"/>
            <w:vAlign w:val="bottom"/>
          </w:tcPr>
          <w:p>
            <w:pPr>
              <w:spacing w:after="0"/>
              <w:rPr>
                <w:sz w:val="21"/>
                <w:szCs w:val="21"/>
                <w:color w:val="auto"/>
              </w:rPr>
            </w:pPr>
          </w:p>
        </w:tc>
        <w:tc>
          <w:tcPr>
            <w:tcW w:w="124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December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14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color w:val="auto"/>
              </w:rPr>
              <w:t>March 29, 2025</w:t>
            </w:r>
          </w:p>
        </w:tc>
      </w:tr>
      <w:tr>
        <w:trPr>
          <w:trHeight w:val="243"/>
        </w:trPr>
        <w:tc>
          <w:tcPr>
            <w:tcW w:w="7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continuing operating activities</w:t>
            </w: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63,669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149,362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16,098</w:t>
            </w:r>
          </w:p>
        </w:tc>
        <w:tc>
          <w:tcPr>
            <w:tcW w:w="100" w:type="dxa"/>
            <w:vAlign w:val="bottom"/>
            <w:shd w:val="clear" w:color="auto" w:fill="CCEEFF"/>
          </w:tcPr>
          <w:p>
            <w:pPr>
              <w:spacing w:after="0"/>
              <w:rPr>
                <w:sz w:val="21"/>
                <w:szCs w:val="21"/>
                <w:color w:val="auto"/>
              </w:rPr>
            </w:pPr>
          </w:p>
        </w:tc>
      </w:tr>
      <w:tr>
        <w:trPr>
          <w:trHeight w:val="243"/>
        </w:trPr>
        <w:tc>
          <w:tcPr>
            <w:tcW w:w="7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Proceeds from sale of property and equipment</w:t>
            </w:r>
          </w:p>
        </w:tc>
        <w:tc>
          <w:tcPr>
            <w:tcW w:w="1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279</w:t>
            </w:r>
          </w:p>
        </w:tc>
      </w:tr>
      <w:tr>
        <w:trPr>
          <w:trHeight w:val="27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Less: Capital expenditures</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(110,661)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(94,802</w:t>
            </w:r>
            <w:r>
              <w:rPr>
                <w:rFonts w:ascii="Times New Roman" w:cs="Times New Roman" w:eastAsia="Times New Roman" w:hAnsi="Times New Roman"/>
                <w:sz w:val="23"/>
                <w:szCs w:val="23"/>
                <w:color w:val="auto"/>
              </w:rPr>
              <w:t>)</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(61,569</w:t>
            </w:r>
            <w:r>
              <w:rPr>
                <w:rFonts w:ascii="Times New Roman" w:cs="Times New Roman" w:eastAsia="Times New Roman" w:hAnsi="Times New Roman"/>
                <w:sz w:val="23"/>
                <w:szCs w:val="23"/>
                <w:color w:val="auto"/>
              </w:rPr>
              <w:t>)</w:t>
            </w:r>
          </w:p>
        </w:tc>
      </w:tr>
      <w:tr>
        <w:trPr>
          <w:trHeight w:val="27"/>
        </w:trPr>
        <w:tc>
          <w:tcPr>
            <w:tcW w:w="7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Free cash</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10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b w:val="1"/>
                <w:bCs w:val="1"/>
                <w:color w:val="auto"/>
              </w:rPr>
              <w:t>(46,926)</w:t>
            </w:r>
          </w:p>
        </w:tc>
        <w:tc>
          <w:tcPr>
            <w:tcW w:w="2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54,868</w:t>
            </w:r>
          </w:p>
        </w:tc>
        <w:tc>
          <w:tcPr>
            <w:tcW w:w="140" w:type="dxa"/>
            <w:vAlign w:val="bottom"/>
          </w:tcPr>
          <w:p>
            <w:pPr>
              <w:spacing w:after="0"/>
              <w:rPr>
                <w:sz w:val="21"/>
                <w:szCs w:val="21"/>
                <w:color w:val="auto"/>
              </w:rPr>
            </w:pPr>
          </w:p>
        </w:tc>
        <w:tc>
          <w:tcPr>
            <w:tcW w:w="6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(45,192)</w:t>
            </w: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accelerated investments to expand capacity have positioned us to be able to better serve our customers and capture the early stages of upturns in end market demand. The long-term outlook for our business remains strong.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February 20, 2026, the United States Supreme Court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We continue to monitor and evaluate these developments and assess their potential impact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Stockholder Return Policy</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 be terminated or suspended at any time at our discretion, in accordance with applicable laws and regulations. For 2026, we expect to maintain our dividend and opportunistically repurchase shares based on U.S. available liquidity in line with this policy.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The following table summarizes activity pursuant to this policy </w:t>
            </w:r>
            <w:r>
              <w:rPr>
                <w:rFonts w:ascii="Times New Roman" w:cs="Times New Roman" w:eastAsia="Times New Roman" w:hAnsi="Times New Roman"/>
                <w:sz w:val="22"/>
                <w:szCs w:val="22"/>
                <w:i w:val="1"/>
                <w:iCs w:val="1"/>
                <w:color w:val="auto"/>
              </w:rPr>
              <w:t>(in thousands):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8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March 29,</w:t>
            </w:r>
          </w:p>
        </w:tc>
      </w:tr>
      <w:tr>
        <w:trPr>
          <w:trHeight w:val="281"/>
        </w:trPr>
        <w:tc>
          <w:tcPr>
            <w:tcW w:w="85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r>
      <w:tr>
        <w:trPr>
          <w:trHeight w:val="243"/>
        </w:trPr>
        <w:tc>
          <w:tcPr>
            <w:tcW w:w="8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Dividends paid to stockholders</w:t>
            </w:r>
          </w:p>
        </w:tc>
        <w:tc>
          <w:tcPr>
            <w:tcW w:w="18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13,611</w:t>
            </w:r>
          </w:p>
        </w:tc>
        <w:tc>
          <w:tcPr>
            <w:tcW w:w="1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13,562</w:t>
            </w:r>
          </w:p>
        </w:tc>
        <w:tc>
          <w:tcPr>
            <w:tcW w:w="100" w:type="dxa"/>
            <w:vAlign w:val="bottom"/>
            <w:shd w:val="clear" w:color="auto" w:fill="CCEEFF"/>
          </w:tcPr>
          <w:p>
            <w:pPr>
              <w:spacing w:after="0"/>
              <w:rPr>
                <w:sz w:val="21"/>
                <w:szCs w:val="21"/>
                <w:color w:val="auto"/>
              </w:rPr>
            </w:pPr>
          </w:p>
        </w:tc>
      </w:tr>
      <w:tr>
        <w:trPr>
          <w:trHeight w:val="250"/>
        </w:trPr>
        <w:tc>
          <w:tcPr>
            <w:tcW w:w="8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repurchases</w:t>
            </w:r>
          </w:p>
        </w:tc>
        <w:tc>
          <w:tcPr>
            <w:tcW w:w="1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12,538</w:t>
            </w:r>
          </w:p>
        </w:tc>
      </w:tr>
      <w:tr>
        <w:trPr>
          <w:trHeight w:val="283"/>
        </w:trPr>
        <w:tc>
          <w:tcPr>
            <w:tcW w:w="85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top w:val="single" w:sz="8" w:color="auto"/>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13,611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26,100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We have paid dividends each quarter since the first quarter of 2014, and the Stockholder Return Policy will remain in effect until such time as the Board votes to amend or rescind the policy. Implementation of the Stockholder Return Policy is subject to future declarations of dividends by the Board of Directors, market and business conditions, legal requirements, and other factors. The policy sets forth our intention, but does not obligate us to acquire any shares of common stock or declare any dividends, and the policy may be terminated or suspended at any time at our discretion, in accordance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Financial Metrics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utilize several financial metrics to evaluate the performance and assess the future direction of our business. These key financial measures and metrics include net revenues, gross profit margin, operating margin, segment operating income, segment operating margin, end-of-period backlog, and the book-to-bill ratio. We also monitor changes in inventory turnover and our or publicly available average selling prices (“ASP”).</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Operating margin is computed as gross profit less operating expenses, expressed as a percentage of net revenues. Operating margin is clearly a function of net revenues, but also reflects our cost management programs and our ability to contain fixed costs.</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chief operating decision maker makes decisions, allocates resources, and evaluates business segment performance based on segment gross profit and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does not include these SG&amp;A expenses that are not directly traceable to the segments. Segment operating income also would not include costs not routinely used in the management of the segments in periods when those items are present, such as restructuring and severance costs, goodwill impairment charges,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first fiscal quarter of 2025 through the first fiscal quarter of 2026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3rd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4th</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43"/>
        </w:trPr>
        <w:tc>
          <w:tcPr>
            <w:tcW w:w="3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1st Quarter</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Quarter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b w:val="1"/>
                <w:bCs w:val="1"/>
                <w:color w:val="auto"/>
              </w:rPr>
              <w:t>Quarter</w:t>
            </w:r>
          </w:p>
        </w:tc>
        <w:tc>
          <w:tcPr>
            <w:tcW w:w="40" w:type="dxa"/>
            <w:vAlign w:val="bottom"/>
          </w:tcPr>
          <w:p>
            <w:pPr>
              <w:spacing w:after="0"/>
              <w:rPr>
                <w:sz w:val="21"/>
                <w:szCs w:val="21"/>
                <w:color w:val="auto"/>
              </w:rPr>
            </w:pPr>
          </w:p>
        </w:tc>
        <w:tc>
          <w:tcPr>
            <w:tcW w:w="1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1st Quarter</w:t>
            </w:r>
          </w:p>
        </w:tc>
      </w:tr>
      <w:tr>
        <w:trPr>
          <w:trHeight w:val="281"/>
        </w:trPr>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2nd Quarter 2025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620" w:type="dxa"/>
            <w:vAlign w:val="bottom"/>
            <w:gridSpan w:val="2"/>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715,236</w:t>
            </w:r>
          </w:p>
        </w:tc>
        <w:tc>
          <w:tcPr>
            <w:tcW w:w="3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762,250</w:t>
            </w:r>
          </w:p>
        </w:tc>
        <w:tc>
          <w:tcPr>
            <w:tcW w:w="20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790,640</w:t>
            </w:r>
          </w:p>
        </w:tc>
        <w:tc>
          <w:tcPr>
            <w:tcW w:w="3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800,922</w:t>
            </w:r>
          </w:p>
        </w:tc>
        <w:tc>
          <w:tcPr>
            <w:tcW w:w="3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839,242</w:t>
            </w:r>
          </w:p>
        </w:tc>
        <w:tc>
          <w:tcPr>
            <w:tcW w:w="26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19.0%</w:t>
            </w: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19.5%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21.0%</w:t>
            </w: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97"/>
        </w:trPr>
        <w:tc>
          <w:tcPr>
            <w:tcW w:w="3240" w:type="dxa"/>
            <w:vAlign w:val="bottom"/>
            <w:shd w:val="clear" w:color="auto" w:fill="CCEEFF"/>
          </w:tcPr>
          <w:p>
            <w:pPr>
              <w:spacing w:after="0" w:line="297" w:lineRule="exact"/>
              <w:rPr>
                <w:sz w:val="20"/>
                <w:szCs w:val="20"/>
                <w:color w:val="auto"/>
              </w:rPr>
            </w:pPr>
            <w:r>
              <w:rPr>
                <w:rFonts w:ascii="Times New Roman" w:cs="Times New Roman" w:eastAsia="Times New Roman" w:hAnsi="Times New Roman"/>
                <w:sz w:val="21"/>
                <w:szCs w:val="21"/>
                <w:color w:val="auto"/>
              </w:rPr>
              <w:t>Operating margin</w:t>
            </w:r>
            <w:r>
              <w:rPr>
                <w:rFonts w:ascii="Times New Roman" w:cs="Times New Roman" w:eastAsia="Times New Roman" w:hAnsi="Times New Roman"/>
                <w:sz w:val="34"/>
                <w:szCs w:val="34"/>
                <w:color w:val="auto"/>
                <w:vertAlign w:val="superscript"/>
              </w:rPr>
              <w:t>(1)</w:t>
            </w: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0.1%</w:t>
            </w: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2.9%</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2.4%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1.8%</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2.6%</w:t>
            </w:r>
          </w:p>
        </w:tc>
      </w:tr>
      <w:tr>
        <w:trPr>
          <w:trHeight w:val="216"/>
        </w:trPr>
        <w:tc>
          <w:tcPr>
            <w:tcW w:w="32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End-of-period backlog</w:t>
            </w:r>
          </w:p>
        </w:tc>
        <w:tc>
          <w:tcPr>
            <w:tcW w:w="620" w:type="dxa"/>
            <w:vAlign w:val="bottom"/>
            <w:gridSpan w:val="2"/>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1,124,300</w:t>
            </w:r>
          </w:p>
        </w:tc>
        <w:tc>
          <w:tcPr>
            <w:tcW w:w="3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1,174,900</w:t>
            </w:r>
          </w:p>
        </w:tc>
        <w:tc>
          <w:tcPr>
            <w:tcW w:w="20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1,152,700</w:t>
            </w:r>
          </w:p>
        </w:tc>
        <w:tc>
          <w:tcPr>
            <w:tcW w:w="3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1,314,100</w:t>
            </w:r>
          </w:p>
        </w:tc>
        <w:tc>
          <w:tcPr>
            <w:tcW w:w="3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1,592,300</w:t>
            </w:r>
          </w:p>
        </w:tc>
        <w:tc>
          <w:tcPr>
            <w:tcW w:w="26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0.97</w:t>
            </w: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26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Inventory turnover</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260" w:type="dxa"/>
            <w:vAlign w:val="bottom"/>
            <w:shd w:val="clear" w:color="auto" w:fill="CCEEFF"/>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43"/>
        </w:trPr>
        <w:tc>
          <w:tcPr>
            <w:tcW w:w="32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Change in ASP vs. prior quarter</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46"/>
        </w:trPr>
        <w:tc>
          <w:tcPr>
            <w:tcW w:w="3240" w:type="dxa"/>
            <w:vAlign w:val="bottom"/>
          </w:tcPr>
          <w:p>
            <w:pPr>
              <w:spacing w:after="0"/>
              <w:rPr>
                <w:sz w:val="20"/>
                <w:szCs w:val="20"/>
                <w:color w:val="auto"/>
              </w:rPr>
            </w:pPr>
            <w:r>
              <w:rPr>
                <w:rFonts w:ascii="Times New Roman" w:cs="Times New Roman" w:eastAsia="Times New Roman" w:hAnsi="Times New Roman"/>
                <w:sz w:val="4"/>
                <w:szCs w:val="4"/>
                <w:color w:val="auto"/>
              </w:rPr>
              <w:t>_________________________________________</w:t>
            </w: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Operating margin for the second fiscal quarter of 2025 includes an $11.3 million gain recognized upon the favorable resolution of a contingency.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“Financial Metrics by Segment” below for net revenues, book-to-bill ratio, and gross profit margin broken out by segment.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Revenues increased versus the prior fiscal quarter and prior year quarter. The increases versus the prior fiscal quarter and prior year quarter are primarily due to higher sales volume. The book-to-bill ratio and backlog increased versus the prior fiscal quarter and prior year quarter due to higher order levels. We continue to increase capacity for critical product lines. Average selling prices, including tariff adders, decreased versus the prior fiscal quarter and prior year quarter.</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Gross profit margin increased versus the prior fiscal quarter and prior year quarter. The increases are primarily due to higher sales volume and associated manufacturing efficiencies, which offset higher metals and materials costs.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Financial Metrics by Segment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following table shows net revenues, book-to-bill ratio, gross profit margin, and segment operating margin broken out by segment for the five fiscal quarters beginning with the first fiscal quarter of 2025 through the first fiscal quarter of 2026 </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 thousands)</w:t>
      </w:r>
      <w:r>
        <w:rPr>
          <w:rFonts w:ascii="Times New Roman" w:cs="Times New Roman" w:eastAsia="Times New Roman" w:hAnsi="Times New Roman"/>
          <w:sz w:val="22"/>
          <w:szCs w:val="22"/>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1st</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3rd</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4th</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6"/>
              </w:rPr>
              <w:t>1st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Quarter</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Quarter</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Quarter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Quarter</w:t>
            </w:r>
          </w:p>
        </w:tc>
        <w:tc>
          <w:tcPr>
            <w:tcW w:w="0" w:type="dxa"/>
            <w:vAlign w:val="bottom"/>
          </w:tcPr>
          <w:p>
            <w:pPr>
              <w:spacing w:after="0"/>
              <w:rPr>
                <w:sz w:val="1"/>
                <w:szCs w:val="1"/>
                <w:color w:val="auto"/>
              </w:rPr>
            </w:pPr>
          </w:p>
        </w:tc>
      </w:tr>
      <w:tr>
        <w:trPr>
          <w:trHeight w:val="281"/>
        </w:trPr>
        <w:tc>
          <w:tcPr>
            <w:tcW w:w="3820" w:type="dxa"/>
            <w:vAlign w:val="bottom"/>
            <w:gridSpan w:val="7"/>
            <w:vMerge w:val="restart"/>
          </w:tcPr>
          <w:p>
            <w:pPr>
              <w:spacing w:after="0"/>
              <w:rPr>
                <w:sz w:val="20"/>
                <w:szCs w:val="20"/>
                <w:color w:val="auto"/>
              </w:rPr>
            </w:pPr>
            <w:r>
              <w:rPr>
                <w:rFonts w:ascii="Times New Roman" w:cs="Times New Roman" w:eastAsia="Times New Roman" w:hAnsi="Times New Roman"/>
                <w:sz w:val="22"/>
                <w:szCs w:val="22"/>
                <w:i w:val="1"/>
                <w:iCs w:val="1"/>
                <w:color w:val="auto"/>
              </w:rPr>
              <w:t>MOSFETs</w:t>
            </w: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4"/>
                <w:szCs w:val="24"/>
                <w:color w:val="auto"/>
              </w:rPr>
            </w:pP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2"/>
                <w:szCs w:val="22"/>
                <w:b w:val="1"/>
                <w:bCs w:val="1"/>
                <w:color w:val="auto"/>
              </w:rPr>
              <w:t>2nd Quarter 2025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20" w:type="dxa"/>
            <w:vAlign w:val="bottom"/>
            <w:gridSpan w:val="7"/>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142,113</w:t>
            </w: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148,633</w:t>
            </w:r>
          </w:p>
        </w:tc>
        <w:tc>
          <w:tcPr>
            <w:tcW w:w="1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167,133</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172,584</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173,991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0.86</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22"/>
                <w:szCs w:val="22"/>
                <w:i w:val="1"/>
                <w:iCs w:val="1"/>
                <w:color w:val="auto"/>
                <w:w w:val="96"/>
              </w:rPr>
              <w:t>Diodes</w:t>
            </w:r>
          </w:p>
        </w:tc>
        <w:tc>
          <w:tcPr>
            <w:tcW w:w="3200" w:type="dxa"/>
            <w:vAlign w:val="bottom"/>
            <w:tcBorders>
              <w:bottom w:val="single" w:sz="8" w:color="CCEEFF"/>
            </w:tcBorders>
            <w:gridSpan w:val="6"/>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140,963</w:t>
            </w:r>
          </w:p>
        </w:tc>
        <w:tc>
          <w:tcPr>
            <w:tcW w:w="300" w:type="dxa"/>
            <w:vAlign w:val="bottom"/>
          </w:tcPr>
          <w:p>
            <w:pPr>
              <w:spacing w:after="0"/>
              <w:rPr>
                <w:sz w:val="21"/>
                <w:szCs w:val="21"/>
                <w:color w:val="auto"/>
              </w:rPr>
            </w:pPr>
          </w:p>
        </w:tc>
        <w:tc>
          <w:tcPr>
            <w:tcW w:w="56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147,942</w:t>
            </w:r>
          </w:p>
        </w:tc>
        <w:tc>
          <w:tcPr>
            <w:tcW w:w="1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149,628</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154,224</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163,669</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0.99</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0.93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19.9%</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15.0%</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15.2%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gridSpan w:val="7"/>
          </w:tcPr>
          <w:p>
            <w:pPr>
              <w:spacing w:after="0" w:line="203" w:lineRule="exact"/>
              <w:rPr>
                <w:sz w:val="20"/>
                <w:szCs w:val="20"/>
                <w:color w:val="auto"/>
              </w:rPr>
            </w:pPr>
            <w:r>
              <w:rPr>
                <w:rFonts w:ascii="Times New Roman" w:cs="Times New Roman" w:eastAsia="Times New Roman" w:hAnsi="Times New Roman"/>
                <w:sz w:val="22"/>
                <w:szCs w:val="22"/>
                <w:i w:val="1"/>
                <w:iCs w:val="1"/>
                <w:color w:val="auto"/>
              </w:rPr>
              <w:t>Optoelectronic Components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51,168</w:t>
            </w: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54,119</w:t>
            </w:r>
          </w:p>
        </w:tc>
        <w:tc>
          <w:tcPr>
            <w:tcW w:w="1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55,590</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55,674</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58,875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0.90</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0.93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15.0%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12.6%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i w:val="1"/>
                <w:iCs w:val="1"/>
                <w:color w:val="auto"/>
                <w:w w:val="96"/>
              </w:rPr>
              <w:t>Resistors</w:t>
            </w:r>
          </w:p>
        </w:tc>
        <w:tc>
          <w:tcPr>
            <w:tcW w:w="3020" w:type="dxa"/>
            <w:vAlign w:val="bottom"/>
            <w:tcBorders>
              <w:bottom w:val="single" w:sz="8" w:color="CCEEFF"/>
            </w:tcBorders>
            <w:gridSpan w:val="5"/>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179,500</w:t>
            </w:r>
          </w:p>
        </w:tc>
        <w:tc>
          <w:tcPr>
            <w:tcW w:w="300" w:type="dxa"/>
            <w:vAlign w:val="bottom"/>
          </w:tcPr>
          <w:p>
            <w:pPr>
              <w:spacing w:after="0"/>
              <w:rPr>
                <w:sz w:val="21"/>
                <w:szCs w:val="21"/>
                <w:color w:val="auto"/>
              </w:rPr>
            </w:pPr>
          </w:p>
        </w:tc>
        <w:tc>
          <w:tcPr>
            <w:tcW w:w="56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194,769</w:t>
            </w:r>
          </w:p>
        </w:tc>
        <w:tc>
          <w:tcPr>
            <w:tcW w:w="1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195,707</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189,367</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203,743</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0.91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0.92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1.26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22.5%</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17.4%</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16.8%</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gridSpan w:val="7"/>
          </w:tcPr>
          <w:p>
            <w:pPr>
              <w:spacing w:after="0" w:line="203" w:lineRule="exact"/>
              <w:rPr>
                <w:sz w:val="20"/>
                <w:szCs w:val="20"/>
                <w:color w:val="auto"/>
              </w:rPr>
            </w:pPr>
            <w:r>
              <w:rPr>
                <w:rFonts w:ascii="Times New Roman" w:cs="Times New Roman" w:eastAsia="Times New Roman" w:hAnsi="Times New Roman"/>
                <w:sz w:val="22"/>
                <w:szCs w:val="22"/>
                <w:i w:val="1"/>
                <w:iCs w:val="1"/>
                <w:color w:val="auto"/>
              </w:rPr>
              <w:t>Inductors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84,121</w:t>
            </w: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95,675</w:t>
            </w:r>
          </w:p>
        </w:tc>
        <w:tc>
          <w:tcPr>
            <w:tcW w:w="1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91,990</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92,588</w:t>
            </w:r>
          </w:p>
        </w:tc>
        <w:tc>
          <w:tcPr>
            <w:tcW w:w="1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92,225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0.91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0.99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30.7%</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29.8%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16.5%</w:t>
            </w: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24.0%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26.6%</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25.4%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27.4%</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gridSpan w:val="7"/>
            <w:shd w:val="clear" w:color="auto" w:fill="CCEEFF"/>
          </w:tcPr>
          <w:p>
            <w:pPr>
              <w:spacing w:after="0" w:line="203" w:lineRule="exact"/>
              <w:rPr>
                <w:sz w:val="20"/>
                <w:szCs w:val="20"/>
                <w:color w:val="auto"/>
              </w:rPr>
            </w:pPr>
            <w:r>
              <w:rPr>
                <w:rFonts w:ascii="Times New Roman" w:cs="Times New Roman" w:eastAsia="Times New Roman" w:hAnsi="Times New Roman"/>
                <w:sz w:val="22"/>
                <w:szCs w:val="22"/>
                <w:i w:val="1"/>
                <w:iCs w:val="1"/>
                <w:color w:val="auto"/>
              </w:rPr>
              <w:t>Capacitors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117,371</w:t>
            </w:r>
          </w:p>
        </w:tc>
        <w:tc>
          <w:tcPr>
            <w:tcW w:w="300" w:type="dxa"/>
            <w:vAlign w:val="bottom"/>
          </w:tcPr>
          <w:p>
            <w:pPr>
              <w:spacing w:after="0"/>
              <w:rPr>
                <w:sz w:val="21"/>
                <w:szCs w:val="21"/>
                <w:color w:val="auto"/>
              </w:rPr>
            </w:pPr>
          </w:p>
        </w:tc>
        <w:tc>
          <w:tcPr>
            <w:tcW w:w="56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121,112</w:t>
            </w:r>
          </w:p>
        </w:tc>
        <w:tc>
          <w:tcPr>
            <w:tcW w:w="1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130,592</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136,485</w:t>
            </w: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146,739</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Book-to-bill ratio</w:t>
            </w: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8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Segment operating margin</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17.5%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16.3%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15.2%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16.6%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9" w:right="339" w:bottom="1055"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055"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6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9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Statements of operations’ captions as a percentage of net revenues and the effective tax rates were as follows: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9"/>
          </w:tcPr>
          <w:p>
            <w:pPr>
              <w:ind w:left="6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20" w:type="dxa"/>
            <w:vAlign w:val="bottom"/>
          </w:tcPr>
          <w:p>
            <w:pPr>
              <w:spacing w:after="0"/>
              <w:rPr>
                <w:sz w:val="23"/>
                <w:szCs w:val="23"/>
                <w:color w:val="auto"/>
              </w:rPr>
            </w:pPr>
          </w:p>
        </w:tc>
        <w:tc>
          <w:tcPr>
            <w:tcW w:w="14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6"/>
              </w:rPr>
              <w:t>April 4, 2026</w:t>
            </w:r>
          </w:p>
        </w:tc>
        <w:tc>
          <w:tcPr>
            <w:tcW w:w="60" w:type="dxa"/>
            <w:vAlign w:val="bottom"/>
          </w:tcPr>
          <w:p>
            <w:pPr>
              <w:spacing w:after="0"/>
              <w:rPr>
                <w:sz w:val="23"/>
                <w:szCs w:val="23"/>
                <w:color w:val="auto"/>
              </w:rPr>
            </w:pPr>
          </w:p>
        </w:tc>
        <w:tc>
          <w:tcPr>
            <w:tcW w:w="3720" w:type="dxa"/>
            <w:vAlign w:val="bottom"/>
            <w:gridSpan w:val="13"/>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rPr>
              <w:t>December 31, 2025   March 29, 2025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Cost of products sold</w:t>
            </w:r>
          </w:p>
        </w:tc>
        <w:tc>
          <w:tcPr>
            <w:tcW w:w="14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79.0%</w:t>
            </w: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80.4%</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81.0%</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4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19.0%</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Selling, general &amp; administrative expenses</w:t>
            </w:r>
          </w:p>
        </w:tc>
        <w:tc>
          <w:tcPr>
            <w:tcW w:w="14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18.4%</w:t>
            </w: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17.7%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18.8%</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14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(loss) before taxes</w:t>
            </w:r>
          </w:p>
        </w:tc>
        <w:tc>
          <w:tcPr>
            <w:tcW w:w="14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earnings (loss)</w:t>
            </w:r>
          </w:p>
        </w:tc>
        <w:tc>
          <w:tcPr>
            <w:tcW w:w="14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________</w:t>
            </w:r>
          </w:p>
        </w:tc>
        <w:tc>
          <w:tcPr>
            <w:tcW w:w="1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Effective tax rate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82.3%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Net Revenues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Net revenues were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13"/>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Fiscal quarters ended</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6"/>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December</w:t>
            </w:r>
          </w:p>
        </w:tc>
        <w:tc>
          <w:tcPr>
            <w:tcW w:w="100" w:type="dxa"/>
            <w:vAlign w:val="bottom"/>
          </w:tcPr>
          <w:p>
            <w:pPr>
              <w:spacing w:after="0"/>
              <w:rPr>
                <w:sz w:val="21"/>
                <w:szCs w:val="21"/>
                <w:color w:val="auto"/>
              </w:rPr>
            </w:pPr>
          </w:p>
        </w:tc>
        <w:tc>
          <w:tcPr>
            <w:tcW w:w="1220" w:type="dxa"/>
            <w:vAlign w:val="bottom"/>
            <w:gridSpan w:val="4"/>
          </w:tcPr>
          <w:p>
            <w:pPr>
              <w:jc w:val="right"/>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March 29,</w:t>
            </w:r>
          </w:p>
        </w:tc>
        <w:tc>
          <w:tcPr>
            <w:tcW w:w="0" w:type="dxa"/>
            <w:vAlign w:val="bottom"/>
          </w:tcPr>
          <w:p>
            <w:pPr>
              <w:spacing w:after="0"/>
              <w:rPr>
                <w:sz w:val="1"/>
                <w:szCs w:val="1"/>
                <w:color w:val="auto"/>
              </w:rPr>
            </w:pPr>
          </w:p>
        </w:tc>
      </w:tr>
      <w:tr>
        <w:trPr>
          <w:trHeight w:val="281"/>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April 4, 2026</w:t>
            </w:r>
          </w:p>
        </w:tc>
        <w:tc>
          <w:tcPr>
            <w:tcW w:w="180" w:type="dxa"/>
            <w:vAlign w:val="bottom"/>
          </w:tcPr>
          <w:p>
            <w:pPr>
              <w:spacing w:after="0"/>
              <w:rPr>
                <w:sz w:val="24"/>
                <w:szCs w:val="24"/>
                <w:color w:val="auto"/>
              </w:rPr>
            </w:pP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right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839,242</w:t>
            </w:r>
          </w:p>
        </w:tc>
        <w:tc>
          <w:tcPr>
            <w:tcW w:w="180" w:type="dxa"/>
            <w:vAlign w:val="bottom"/>
            <w:tcBorders>
              <w:top w:val="single" w:sz="8" w:color="auto"/>
              <w:left w:val="single" w:sz="8" w:color="CCEEFF"/>
            </w:tcBorders>
            <w:shd w:val="clear" w:color="auto" w:fill="CCEEFF"/>
          </w:tcPr>
          <w:p>
            <w:pPr>
              <w:ind w:left="6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gridSpan w:val="5"/>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800,922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Borders>
              <w:top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715,236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99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11"/>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11"/>
          </w:tcPr>
          <w:p>
            <w:pPr>
              <w:jc w:val="right"/>
              <w:ind w:right="86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gridSpan w:val="7"/>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Change in</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net revenues</w:t>
            </w:r>
          </w:p>
        </w:tc>
        <w:tc>
          <w:tcPr>
            <w:tcW w:w="200" w:type="dxa"/>
            <w:vAlign w:val="bottom"/>
            <w:gridSpan w:val="2"/>
          </w:tcPr>
          <w:p>
            <w:pPr>
              <w:spacing w:after="0"/>
              <w:rPr>
                <w:sz w:val="24"/>
                <w:szCs w:val="24"/>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 change</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1"/>
                <w:szCs w:val="21"/>
                <w:color w:val="auto"/>
              </w:rPr>
            </w:pPr>
          </w:p>
        </w:tc>
        <w:tc>
          <w:tcPr>
            <w:tcW w:w="2500" w:type="dxa"/>
            <w:vAlign w:val="bottom"/>
            <w:tcBorders>
              <w:right w:val="single" w:sz="8" w:color="CCEEFF"/>
            </w:tcBorders>
            <w:gridSpan w:val="4"/>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8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38,320</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82"/>
        </w:trPr>
        <w:tc>
          <w:tcPr>
            <w:tcW w:w="6020" w:type="dxa"/>
            <w:vAlign w:val="bottom"/>
          </w:tcPr>
          <w:p>
            <w:pPr>
              <w:spacing w:after="0"/>
              <w:rPr>
                <w:sz w:val="24"/>
                <w:szCs w:val="24"/>
                <w:color w:val="auto"/>
              </w:rPr>
            </w:pPr>
          </w:p>
        </w:tc>
        <w:tc>
          <w:tcPr>
            <w:tcW w:w="2500" w:type="dxa"/>
            <w:vAlign w:val="bottom"/>
            <w:gridSpan w:val="4"/>
          </w:tcPr>
          <w:p>
            <w:pPr>
              <w:jc w:val="right"/>
              <w:ind w:right="12"/>
              <w:spacing w:after="0"/>
              <w:rPr>
                <w:sz w:val="20"/>
                <w:szCs w:val="20"/>
                <w:color w:val="auto"/>
              </w:rPr>
            </w:pPr>
            <w:r>
              <w:rPr>
                <w:rFonts w:ascii="Times New Roman" w:cs="Times New Roman" w:eastAsia="Times New Roman" w:hAnsi="Times New Roman"/>
                <w:sz w:val="22"/>
                <w:szCs w:val="22"/>
                <w:color w:val="auto"/>
              </w:rPr>
              <w:t>March 29, 2025</w:t>
            </w:r>
          </w:p>
        </w:tc>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22"/>
                <w:szCs w:val="22"/>
                <w:color w:val="auto"/>
              </w:rPr>
              <w:t>124,006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17.3%</w:t>
            </w:r>
          </w:p>
        </w:tc>
        <w:tc>
          <w:tcPr>
            <w:tcW w:w="0" w:type="dxa"/>
            <w:vAlign w:val="bottom"/>
          </w:tcPr>
          <w:p>
            <w:pPr>
              <w:spacing w:after="0"/>
              <w:rPr>
                <w:sz w:val="1"/>
                <w:szCs w:val="1"/>
                <w:color w:val="auto"/>
              </w:rPr>
            </w:pPr>
          </w:p>
        </w:tc>
      </w:tr>
      <w:tr>
        <w:trPr>
          <w:trHeight w:val="648"/>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Changes in net revenues were attributable to the following:</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6"/>
              </w:rPr>
              <w:t>vs. Prior</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gridSpan w:val="7"/>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00" w:type="dxa"/>
            <w:vAlign w:val="bottom"/>
          </w:tcPr>
          <w:p>
            <w:pPr>
              <w:spacing w:after="0"/>
              <w:rPr>
                <w:sz w:val="21"/>
                <w:szCs w:val="21"/>
                <w:color w:val="auto"/>
              </w:rPr>
            </w:pPr>
          </w:p>
        </w:tc>
        <w:tc>
          <w:tcPr>
            <w:tcW w:w="1220" w:type="dxa"/>
            <w:vAlign w:val="bottom"/>
            <w:gridSpan w:val="4"/>
          </w:tcPr>
          <w:p>
            <w:pPr>
              <w:jc w:val="center"/>
              <w:ind w:right="400"/>
              <w:spacing w:after="0" w:line="243" w:lineRule="exact"/>
              <w:rPr>
                <w:sz w:val="20"/>
                <w:szCs w:val="20"/>
                <w:color w:val="auto"/>
              </w:rPr>
            </w:pPr>
            <w:r>
              <w:rPr>
                <w:rFonts w:ascii="Times New Roman" w:cs="Times New Roman" w:eastAsia="Times New Roman" w:hAnsi="Times New Roman"/>
                <w:sz w:val="22"/>
                <w:szCs w:val="22"/>
                <w:b w:val="1"/>
                <w:bCs w:val="1"/>
                <w:color w:val="auto"/>
                <w:w w:val="90"/>
              </w:rPr>
              <w:t>Year</w:t>
            </w:r>
          </w:p>
        </w:tc>
        <w:tc>
          <w:tcPr>
            <w:tcW w:w="0" w:type="dxa"/>
            <w:vAlign w:val="bottom"/>
          </w:tcPr>
          <w:p>
            <w:pPr>
              <w:spacing w:after="0"/>
              <w:rPr>
                <w:sz w:val="1"/>
                <w:szCs w:val="1"/>
                <w:color w:val="auto"/>
              </w:rPr>
            </w:pPr>
          </w:p>
        </w:tc>
      </w:tr>
      <w:tr>
        <w:trPr>
          <w:trHeight w:val="281"/>
        </w:trPr>
        <w:tc>
          <w:tcPr>
            <w:tcW w:w="60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gridSpan w:val="7"/>
          </w:tcPr>
          <w:p>
            <w:pPr>
              <w:ind w:left="6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00" w:type="dxa"/>
            <w:vAlign w:val="bottom"/>
          </w:tcPr>
          <w:p>
            <w:pPr>
              <w:spacing w:after="0"/>
              <w:rPr>
                <w:sz w:val="24"/>
                <w:szCs w:val="24"/>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6"/>
              </w:rPr>
              <w:t>Quarter</w:t>
            </w:r>
          </w:p>
        </w:tc>
        <w:tc>
          <w:tcPr>
            <w:tcW w:w="0" w:type="dxa"/>
            <w:vAlign w:val="bottom"/>
          </w:tcPr>
          <w:p>
            <w:pPr>
              <w:spacing w:after="0"/>
              <w:rPr>
                <w:sz w:val="1"/>
                <w:szCs w:val="1"/>
                <w:color w:val="auto"/>
              </w:rPr>
            </w:pPr>
          </w:p>
        </w:tc>
      </w:tr>
      <w:tr>
        <w:trPr>
          <w:trHeight w:val="243"/>
        </w:trPr>
        <w:tc>
          <w:tcPr>
            <w:tcW w:w="602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1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Decrease in average selling prices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5"/>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1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5"/>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12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17.3%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continued to see improving market conditions in the first fiscal quarter of 2026, resulting in revenue growth driven primarily by higher sales volume. This represents an improvement from most of 2025 when we experienced distribution customers digesting high channel inventories. The long-term prospects of our business remain favorable. We continue to increase manufacturing capacities for critical product 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Gross Profit Margins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Gross profit margins for the fiscal quarter ended April 4, 2026 were 21.0%, versus 19.6% and 19.0% for the comparable prior fiscal quarter and prior year period, respectively. Gross profit margin increased versus the prior fiscal quarter and prior year quarter primarily due to higher sales volume and associated manufacturing efficiencies, which offset higher metals and materials costs.</w:t>
      </w:r>
    </w:p>
    <w:p>
      <w:pPr>
        <w:sectPr>
          <w:pgSz w:w="11900" w:h="16838" w:orient="portrait"/>
          <w:cols w:equalWidth="0" w:num="1">
            <w:col w:w="11240"/>
          </w:cols>
          <w:pgMar w:left="320" w:top="324"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i w:val="1"/>
          <w:iCs w:val="1"/>
          <w:color w:val="auto"/>
        </w:rPr>
        <w:t>Segments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Analysis of revenues and margins for our segments is provided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MOSFETs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Net revenues, gross profit margins, and segment operating margins of the MOSFETs segment were as follows </w:t>
      </w:r>
      <w:r>
        <w:rPr>
          <w:rFonts w:ascii="Times New Roman" w:cs="Times New Roman" w:eastAsia="Times New Roman" w:hAnsi="Times New Roman"/>
          <w:sz w:val="22"/>
          <w:szCs w:val="22"/>
          <w:i w:val="1"/>
          <w:iCs w:val="1"/>
          <w:color w:val="auto"/>
        </w:rPr>
        <w:t>(dollars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00" w:type="dxa"/>
            <w:vAlign w:val="bottom"/>
          </w:tcPr>
          <w:p>
            <w:pPr>
              <w:spacing w:after="0"/>
              <w:rPr>
                <w:sz w:val="22"/>
                <w:szCs w:val="22"/>
                <w:color w:val="auto"/>
              </w:rPr>
            </w:pPr>
          </w:p>
        </w:tc>
        <w:tc>
          <w:tcPr>
            <w:tcW w:w="4340" w:type="dxa"/>
            <w:vAlign w:val="bottom"/>
            <w:gridSpan w:val="6"/>
          </w:tcPr>
          <w:p>
            <w:pPr>
              <w:jc w:val="right"/>
              <w:ind w:right="130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r>
      <w:tr>
        <w:trPr>
          <w:trHeight w:val="243"/>
        </w:trPr>
        <w:tc>
          <w:tcPr>
            <w:tcW w:w="6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380"/>
              <w:spacing w:after="0" w:line="243" w:lineRule="exact"/>
              <w:rPr>
                <w:sz w:val="20"/>
                <w:szCs w:val="20"/>
                <w:color w:val="auto"/>
              </w:rPr>
            </w:pPr>
            <w:r>
              <w:rPr>
                <w:rFonts w:ascii="Times New Roman" w:cs="Times New Roman" w:eastAsia="Times New Roman" w:hAnsi="Times New Roman"/>
                <w:sz w:val="22"/>
                <w:szCs w:val="22"/>
                <w:b w:val="1"/>
                <w:bCs w:val="1"/>
                <w:color w:val="auto"/>
              </w:rPr>
              <w:t>December</w:t>
            </w:r>
          </w:p>
        </w:tc>
        <w:tc>
          <w:tcPr>
            <w:tcW w:w="1480" w:type="dxa"/>
            <w:vAlign w:val="bottom"/>
            <w:gridSpan w:val="2"/>
          </w:tcPr>
          <w:p>
            <w:pPr>
              <w:jc w:val="right"/>
              <w:ind w:right="400"/>
              <w:spacing w:after="0" w:line="243" w:lineRule="exact"/>
              <w:rPr>
                <w:sz w:val="20"/>
                <w:szCs w:val="20"/>
                <w:color w:val="auto"/>
              </w:rPr>
            </w:pPr>
            <w:r>
              <w:rPr>
                <w:rFonts w:ascii="Times New Roman" w:cs="Times New Roman" w:eastAsia="Times New Roman" w:hAnsi="Times New Roman"/>
                <w:sz w:val="22"/>
                <w:szCs w:val="22"/>
                <w:b w:val="1"/>
                <w:bCs w:val="1"/>
                <w:color w:val="auto"/>
              </w:rPr>
              <w:t>March 29,</w:t>
            </w:r>
          </w:p>
        </w:tc>
      </w:tr>
      <w:tr>
        <w:trPr>
          <w:trHeight w:val="281"/>
        </w:trPr>
        <w:tc>
          <w:tcPr>
            <w:tcW w:w="690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w w:val="96"/>
              </w:rPr>
              <w:t>April 4, 2026</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31, 2025</w:t>
            </w:r>
          </w:p>
        </w:tc>
        <w:tc>
          <w:tcPr>
            <w:tcW w:w="240" w:type="dxa"/>
            <w:vAlign w:val="bottom"/>
          </w:tcPr>
          <w:p>
            <w:pPr>
              <w:spacing w:after="0"/>
              <w:rPr>
                <w:sz w:val="24"/>
                <w:szCs w:val="24"/>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60" w:type="dxa"/>
            <w:vAlign w:val="bottom"/>
          </w:tcPr>
          <w:p>
            <w:pPr>
              <w:spacing w:after="0"/>
              <w:rPr>
                <w:sz w:val="24"/>
                <w:szCs w:val="24"/>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12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   173,991</w:t>
            </w:r>
          </w:p>
        </w:tc>
        <w:tc>
          <w:tcPr>
            <w:tcW w:w="200" w:type="dxa"/>
            <w:vAlign w:val="bottom"/>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   172,584</w:t>
            </w:r>
          </w:p>
        </w:tc>
        <w:tc>
          <w:tcPr>
            <w:tcW w:w="240" w:type="dxa"/>
            <w:vAlign w:val="bottom"/>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   142,113</w:t>
            </w:r>
          </w:p>
        </w:tc>
        <w:tc>
          <w:tcPr>
            <w:tcW w:w="260" w:type="dxa"/>
            <w:vAlign w:val="bottom"/>
            <w:shd w:val="clear" w:color="auto" w:fill="CCEEFF"/>
          </w:tcPr>
          <w:p>
            <w:pPr>
              <w:spacing w:after="0"/>
              <w:rPr>
                <w:sz w:val="21"/>
                <w:szCs w:val="21"/>
                <w:color w:val="auto"/>
              </w:rPr>
            </w:pPr>
          </w:p>
        </w:tc>
      </w:tr>
      <w:tr>
        <w:trPr>
          <w:trHeight w:val="243"/>
        </w:trPr>
        <w:tc>
          <w:tcPr>
            <w:tcW w:w="6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14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14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14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6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14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4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6"/>
          </w:tcPr>
          <w:p>
            <w:pPr>
              <w:jc w:val="right"/>
              <w:ind w:right="86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Change in</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net revenues</w:t>
            </w:r>
          </w:p>
        </w:tc>
        <w:tc>
          <w:tcPr>
            <w:tcW w:w="160" w:type="dxa"/>
            <w:vAlign w:val="bottom"/>
          </w:tcPr>
          <w:p>
            <w:pPr>
              <w:spacing w:after="0"/>
              <w:rPr>
                <w:sz w:val="24"/>
                <w:szCs w:val="24"/>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8"/>
              </w:rPr>
              <w:t>% 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1,407</w:t>
            </w:r>
          </w:p>
        </w:tc>
        <w:tc>
          <w:tcPr>
            <w:tcW w:w="160" w:type="dxa"/>
            <w:vAlign w:val="bottom"/>
            <w:tcBorders>
              <w:right w:val="single" w:sz="8" w:color="CCEEFF"/>
            </w:tcBorders>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0" w:type="dxa"/>
            <w:vAlign w:val="bottom"/>
          </w:tcPr>
          <w:p>
            <w:pPr>
              <w:spacing w:after="0"/>
              <w:rPr>
                <w:sz w:val="1"/>
                <w:szCs w:val="1"/>
                <w:color w:val="auto"/>
              </w:rPr>
            </w:pPr>
          </w:p>
        </w:tc>
      </w:tr>
      <w:tr>
        <w:trPr>
          <w:trHeight w:val="282"/>
        </w:trPr>
        <w:tc>
          <w:tcPr>
            <w:tcW w:w="85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March 29, 2025</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22"/>
                <w:szCs w:val="22"/>
                <w:color w:val="auto"/>
              </w:rPr>
              <w:t>31,878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22.4%</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Changes in MOSFETs segment net revenues were attributable to the following:</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vs. Prior</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360" w:type="dxa"/>
            <w:vAlign w:val="bottom"/>
            <w:gridSpan w:val="3"/>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0"/>
              </w:rPr>
              <w:t>Year</w:t>
            </w:r>
          </w:p>
        </w:tc>
        <w:tc>
          <w:tcPr>
            <w:tcW w:w="0" w:type="dxa"/>
            <w:vAlign w:val="bottom"/>
          </w:tcPr>
          <w:p>
            <w:pPr>
              <w:spacing w:after="0"/>
              <w:rPr>
                <w:sz w:val="1"/>
                <w:szCs w:val="1"/>
                <w:color w:val="auto"/>
              </w:rPr>
            </w:pPr>
          </w:p>
        </w:tc>
      </w:tr>
      <w:tr>
        <w:trPr>
          <w:trHeight w:val="281"/>
        </w:trPr>
        <w:tc>
          <w:tcPr>
            <w:tcW w:w="8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20" w:type="dxa"/>
            <w:vAlign w:val="bottom"/>
          </w:tcPr>
          <w:p>
            <w:pPr>
              <w:spacing w:after="0"/>
              <w:rPr>
                <w:sz w:val="24"/>
                <w:szCs w:val="24"/>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Quarter</w:t>
            </w:r>
          </w:p>
        </w:tc>
        <w:tc>
          <w:tcPr>
            <w:tcW w:w="0" w:type="dxa"/>
            <w:vAlign w:val="bottom"/>
          </w:tcPr>
          <w:p>
            <w:pPr>
              <w:spacing w:after="0"/>
              <w:rPr>
                <w:sz w:val="1"/>
                <w:szCs w:val="1"/>
                <w:color w:val="auto"/>
              </w:rPr>
            </w:pPr>
          </w:p>
        </w:tc>
      </w:tr>
      <w:tr>
        <w:trPr>
          <w:trHeight w:val="243"/>
        </w:trPr>
        <w:tc>
          <w:tcPr>
            <w:tcW w:w="8400" w:type="dxa"/>
            <w:vAlign w:val="bottom"/>
            <w:vMerge w:val="continue"/>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60" w:type="dxa"/>
            <w:vAlign w:val="bottom"/>
            <w:tcBorders>
              <w:right w:val="single" w:sz="8" w:color="CCEEFF"/>
            </w:tcBorders>
            <w:shd w:val="clear" w:color="auto" w:fill="CCEEFF"/>
          </w:tcPr>
          <w:p>
            <w:pPr>
              <w:spacing w:after="0"/>
              <w:rPr>
                <w:sz w:val="21"/>
                <w:szCs w:val="21"/>
                <w:color w:val="auto"/>
              </w:rPr>
            </w:pPr>
          </w:p>
        </w:tc>
        <w:tc>
          <w:tcPr>
            <w:tcW w:w="136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26.8%</w:t>
            </w:r>
          </w:p>
        </w:tc>
        <w:tc>
          <w:tcPr>
            <w:tcW w:w="0" w:type="dxa"/>
            <w:vAlign w:val="bottom"/>
          </w:tcPr>
          <w:p>
            <w:pPr>
              <w:spacing w:after="0"/>
              <w:rPr>
                <w:sz w:val="1"/>
                <w:szCs w:val="1"/>
                <w:color w:val="auto"/>
              </w:rPr>
            </w:pPr>
          </w:p>
        </w:tc>
      </w:tr>
      <w:tr>
        <w:trPr>
          <w:trHeight w:val="243"/>
        </w:trPr>
        <w:tc>
          <w:tcPr>
            <w:tcW w:w="8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Decrease in average selling prices</w:t>
            </w:r>
          </w:p>
        </w:tc>
        <w:tc>
          <w:tcPr>
            <w:tcW w:w="12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13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60" w:type="dxa"/>
            <w:vAlign w:val="bottom"/>
            <w:tcBorders>
              <w:right w:val="single" w:sz="8" w:color="CCEEFF"/>
            </w:tcBorders>
            <w:shd w:val="clear" w:color="auto" w:fill="CCEEFF"/>
          </w:tcPr>
          <w:p>
            <w:pPr>
              <w:spacing w:after="0"/>
              <w:rPr>
                <w:sz w:val="21"/>
                <w:szCs w:val="21"/>
                <w:color w:val="auto"/>
              </w:rPr>
            </w:pPr>
          </w:p>
        </w:tc>
        <w:tc>
          <w:tcPr>
            <w:tcW w:w="136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60" w:type="dxa"/>
            <w:vAlign w:val="bottom"/>
          </w:tcPr>
          <w:p>
            <w:pPr>
              <w:spacing w:after="0"/>
              <w:rPr>
                <w:sz w:val="21"/>
                <w:szCs w:val="21"/>
                <w:color w:val="auto"/>
              </w:rPr>
            </w:pPr>
          </w:p>
        </w:tc>
        <w:tc>
          <w:tcPr>
            <w:tcW w:w="13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160" w:type="dxa"/>
            <w:vAlign w:val="bottom"/>
            <w:tcBorders>
              <w:right w:val="single" w:sz="8" w:color="CCEEFF"/>
            </w:tcBorders>
            <w:shd w:val="clear" w:color="auto" w:fill="CCEEFF"/>
          </w:tcPr>
          <w:p>
            <w:pPr>
              <w:spacing w:after="0"/>
              <w:rPr>
                <w:sz w:val="22"/>
                <w:szCs w:val="22"/>
                <w:color w:val="auto"/>
              </w:rPr>
            </w:pPr>
          </w:p>
        </w:tc>
        <w:tc>
          <w:tcPr>
            <w:tcW w:w="136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Net revenues of the MOSFETs segment increased versus the prior fiscal quarter and prior year quarter. The increase versus the prior fiscal quarter is primarily due to increased sales to OEM customers, customers in the industrial and telecommunications end markets, and customers in the Europe region, partially offset by decreased sales to distribution customers, customers in the computing end market, and customers in the Asia region due to Lunar New Year. The increase versus the prior year quarter is due to increased sales to customers in all sales channels, end markets, and regions, most significantly OEM and distribution customers, customers in the automotive and industrial end markets, and customers in the Asia and Europe regions.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Gross profit margin decreased versus the prior fiscal quarter, but increased versus the prior year quarter. The decrease versus the prior fiscal quarter is primarily due to lower average selling prices. The increase versus the prior year quarter is primarily due to higher sales volume, partially offset by lower average selling prices and higher metals costs.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and prior year quarter. The increases are primarily due to changes in gross profit and decreased segment SG&amp;A expenses associated with the Newport wafer fab.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and prior year quarter.</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continue to invest to expand mid- and long-term manufacturing capacity for strategic product lines. We plan to use the Newport wafer fab, acquired in 2024, to further develop and scale our SiC MOSFETs and diodes capabilities. We are also committed to building a 12-inch wafer fab in Itzehoe, Germany. These are long-term investments which were not expected to generate significant income or cash flows in the near-term, but should greatly enhance the long-term position of our MOSFETs business.</w:t>
      </w:r>
    </w:p>
    <w:p>
      <w:pPr>
        <w:sectPr>
          <w:pgSz w:w="11900" w:h="16838" w:orient="portrait"/>
          <w:cols w:equalWidth="0" w:num="1">
            <w:col w:w="11240"/>
          </w:cols>
          <w:pgMar w:left="320" w:top="322"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014"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2"/>
          <w:szCs w:val="22"/>
          <w:i w:val="1"/>
          <w:iCs w:val="1"/>
          <w:u w:val="single" w:color="auto"/>
          <w:color w:val="auto"/>
        </w:rPr>
        <w:t>Diodes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Net revenues, gross profit margins, and segment operating margins of the Diodes segment were as follows </w:t>
      </w:r>
      <w:r>
        <w:rPr>
          <w:rFonts w:ascii="Times New Roman" w:cs="Times New Roman" w:eastAsia="Times New Roman" w:hAnsi="Times New Roman"/>
          <w:sz w:val="21"/>
          <w:szCs w:val="21"/>
          <w:i w:val="1"/>
          <w:i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00" w:type="dxa"/>
            <w:vAlign w:val="bottom"/>
            <w:gridSpan w:val="8"/>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r>
      <w:tr>
        <w:trPr>
          <w:trHeight w:val="243"/>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70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3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163,669</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154,224</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140,963</w:t>
            </w:r>
          </w:p>
        </w:tc>
        <w:tc>
          <w:tcPr>
            <w:tcW w:w="180" w:type="dxa"/>
            <w:vAlign w:val="bottom"/>
            <w:shd w:val="clear" w:color="auto" w:fill="CCEEFF"/>
          </w:tcPr>
          <w:p>
            <w:pPr>
              <w:spacing w:after="0"/>
              <w:rPr>
                <w:sz w:val="21"/>
                <w:szCs w:val="21"/>
                <w:color w:val="auto"/>
              </w:rPr>
            </w:pPr>
          </w:p>
        </w:tc>
      </w:tr>
      <w:tr>
        <w:trPr>
          <w:trHeight w:val="243"/>
        </w:trPr>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32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120" w:type="dxa"/>
            <w:vAlign w:val="bottom"/>
          </w:tcPr>
          <w:p>
            <w:pPr>
              <w:spacing w:after="0"/>
              <w:rPr>
                <w:sz w:val="21"/>
                <w:szCs w:val="21"/>
                <w:color w:val="auto"/>
              </w:rPr>
            </w:pPr>
          </w:p>
        </w:tc>
        <w:tc>
          <w:tcPr>
            <w:tcW w:w="12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19.9%</w:t>
            </w: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gridSpan w:val="5"/>
          </w:tcPr>
          <w:p>
            <w:pPr>
              <w:jc w:val="right"/>
              <w:ind w:right="403"/>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right"/>
              <w:ind w:right="763"/>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Change in</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w w:val="98"/>
              </w:rPr>
              <w:t>net revenues</w:t>
            </w:r>
          </w:p>
        </w:tc>
        <w:tc>
          <w:tcPr>
            <w:tcW w:w="1360" w:type="dxa"/>
            <w:vAlign w:val="bottom"/>
            <w:gridSpan w:val="2"/>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6"/>
              </w:rPr>
              <w:t>% change</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December 31, 2025</w:t>
            </w:r>
          </w:p>
        </w:tc>
        <w:tc>
          <w:tcPr>
            <w:tcW w:w="100" w:type="dxa"/>
            <w:vAlign w:val="bottom"/>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9,445</w:t>
            </w:r>
          </w:p>
        </w:tc>
        <w:tc>
          <w:tcPr>
            <w:tcW w:w="160" w:type="dxa"/>
            <w:vAlign w:val="bottom"/>
            <w:tcBorders>
              <w:right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2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304"/>
        </w:trPr>
        <w:tc>
          <w:tcPr>
            <w:tcW w:w="8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March 29, 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22,706</w:t>
            </w:r>
          </w:p>
        </w:tc>
        <w:tc>
          <w:tcPr>
            <w:tcW w:w="1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16.1</w:t>
            </w: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464"/>
        </w:trPr>
        <w:tc>
          <w:tcPr>
            <w:tcW w:w="8400" w:type="dxa"/>
            <w:vAlign w:val="bottom"/>
          </w:tcPr>
          <w:p>
            <w:pPr>
              <w:spacing w:after="0"/>
              <w:rPr>
                <w:sz w:val="20"/>
                <w:szCs w:val="20"/>
                <w:color w:val="auto"/>
              </w:rPr>
            </w:pPr>
            <w:r>
              <w:rPr>
                <w:rFonts w:ascii="Times New Roman" w:cs="Times New Roman" w:eastAsia="Times New Roman" w:hAnsi="Times New Roman"/>
                <w:sz w:val="22"/>
                <w:szCs w:val="22"/>
                <w:color w:val="auto"/>
              </w:rPr>
              <w:t>Changes in Diodes segment net revenues were attributable to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6"/>
              </w:rPr>
              <w:t>vs. Prior</w:t>
            </w: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tcPr>
          <w:p>
            <w:pPr>
              <w:jc w:val="right"/>
              <w:ind w:right="52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360" w:type="dxa"/>
            <w:vAlign w:val="bottom"/>
            <w:gridSpan w:val="2"/>
          </w:tcPr>
          <w:p>
            <w:pPr>
              <w:jc w:val="center"/>
              <w:ind w:right="143"/>
              <w:spacing w:after="0" w:line="243" w:lineRule="exact"/>
              <w:rPr>
                <w:sz w:val="20"/>
                <w:szCs w:val="20"/>
                <w:color w:val="auto"/>
              </w:rPr>
            </w:pPr>
            <w:r>
              <w:rPr>
                <w:rFonts w:ascii="Times New Roman" w:cs="Times New Roman" w:eastAsia="Times New Roman" w:hAnsi="Times New Roman"/>
                <w:sz w:val="22"/>
                <w:szCs w:val="22"/>
                <w:b w:val="1"/>
                <w:bCs w:val="1"/>
                <w:color w:val="auto"/>
                <w:w w:val="90"/>
              </w:rPr>
              <w:t>Year</w:t>
            </w:r>
          </w:p>
        </w:tc>
        <w:tc>
          <w:tcPr>
            <w:tcW w:w="0" w:type="dxa"/>
            <w:vAlign w:val="bottom"/>
          </w:tcPr>
          <w:p>
            <w:pPr>
              <w:spacing w:after="0"/>
              <w:rPr>
                <w:sz w:val="1"/>
                <w:szCs w:val="1"/>
                <w:color w:val="auto"/>
              </w:rPr>
            </w:pPr>
          </w:p>
        </w:tc>
      </w:tr>
      <w:tr>
        <w:trPr>
          <w:trHeight w:val="281"/>
        </w:trPr>
        <w:tc>
          <w:tcPr>
            <w:tcW w:w="8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00" w:type="dxa"/>
            <w:vAlign w:val="bottom"/>
          </w:tcPr>
          <w:p>
            <w:pPr>
              <w:spacing w:after="0"/>
              <w:rPr>
                <w:sz w:val="24"/>
                <w:szCs w:val="24"/>
                <w:color w:val="auto"/>
              </w:rPr>
            </w:pPr>
          </w:p>
        </w:tc>
        <w:tc>
          <w:tcPr>
            <w:tcW w:w="1380" w:type="dxa"/>
            <w:vAlign w:val="bottom"/>
            <w:gridSpan w:val="4"/>
          </w:tcPr>
          <w:p>
            <w:pPr>
              <w:jc w:val="right"/>
              <w:ind w:right="54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360" w:type="dxa"/>
            <w:vAlign w:val="bottom"/>
            <w:gridSpan w:val="2"/>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6"/>
              </w:rPr>
              <w:t>Quarter</w:t>
            </w:r>
          </w:p>
        </w:tc>
        <w:tc>
          <w:tcPr>
            <w:tcW w:w="0" w:type="dxa"/>
            <w:vAlign w:val="bottom"/>
          </w:tcPr>
          <w:p>
            <w:pPr>
              <w:spacing w:after="0"/>
              <w:rPr>
                <w:sz w:val="1"/>
                <w:szCs w:val="1"/>
                <w:color w:val="auto"/>
              </w:rPr>
            </w:pPr>
          </w:p>
        </w:tc>
      </w:tr>
      <w:tr>
        <w:trPr>
          <w:trHeight w:val="243"/>
        </w:trPr>
        <w:tc>
          <w:tcPr>
            <w:tcW w:w="8400" w:type="dxa"/>
            <w:vAlign w:val="bottom"/>
            <w:vMerge w:val="continue"/>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160" w:type="dxa"/>
            <w:vAlign w:val="bottom"/>
            <w:tcBorders>
              <w:righ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Decrease in average selling prices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60" w:type="dxa"/>
            <w:vAlign w:val="bottom"/>
            <w:tcBorders>
              <w:righ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160" w:type="dxa"/>
            <w:vAlign w:val="bottom"/>
            <w:tcBorders>
              <w:right w:val="single" w:sz="8" w:color="CCEEFF"/>
            </w:tcBorders>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revenues of the Diodes segment increased versus the prior fiscal quarter and prior year quarter. The increase versus the prior fiscal quarter is primarily due to increased sales to OEM customers, automotive end market customers, and customers in the Europe region. The increase versus the prior year quarter is primarily to due to increased sales to customers in nearly all sales channels, end markets, and regions, most significantly OEM customers, customers in the industrial and automotive end markets, and customers in the Europe region.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Gross profit margin increased versus the prior fiscal quarter and prior year quarter. The increases versus the prior fiscal quarter and prior year quarter were primarily due to higher sales volume, partially offset by lower average selling prices.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and prior year quarter. The increases are primarily due to changes in 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and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i w:val="1"/>
          <w:iCs w:val="1"/>
          <w:u w:val="single" w:color="auto"/>
          <w:color w:val="auto"/>
        </w:rPr>
        <w:t>Optoelectronic Components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Net revenues, gross profit margins, and segment operating margins of the Optoelectronic Components segment were as follows </w:t>
      </w:r>
      <w:r>
        <w:rPr>
          <w:rFonts w:ascii="Times New Roman" w:cs="Times New Roman" w:eastAsia="Times New Roman" w:hAnsi="Times New Roman"/>
          <w:sz w:val="22"/>
          <w:szCs w:val="22"/>
          <w:i w:val="1"/>
          <w:iCs w:val="1"/>
          <w:color w:val="auto"/>
        </w:rPr>
        <w:t>(dollars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40" w:type="dxa"/>
            <w:vAlign w:val="bottom"/>
            <w:gridSpan w:val="8"/>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r>
      <w:tr>
        <w:trPr>
          <w:trHeight w:val="243"/>
        </w:trPr>
        <w:tc>
          <w:tcPr>
            <w:tcW w:w="7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70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38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58,875</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55,674</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51,168</w:t>
            </w:r>
          </w:p>
        </w:tc>
        <w:tc>
          <w:tcPr>
            <w:tcW w:w="180" w:type="dxa"/>
            <w:vAlign w:val="bottom"/>
            <w:shd w:val="clear" w:color="auto" w:fill="CCEEFF"/>
          </w:tcPr>
          <w:p>
            <w:pPr>
              <w:spacing w:after="0"/>
              <w:rPr>
                <w:sz w:val="21"/>
                <w:szCs w:val="21"/>
                <w:color w:val="auto"/>
              </w:rPr>
            </w:pPr>
          </w:p>
        </w:tc>
      </w:tr>
      <w:tr>
        <w:trPr>
          <w:trHeight w:val="243"/>
        </w:trPr>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380" w:type="dxa"/>
            <w:vAlign w:val="bottom"/>
          </w:tcPr>
          <w:p>
            <w:pPr>
              <w:spacing w:after="0"/>
              <w:rPr>
                <w:sz w:val="21"/>
                <w:szCs w:val="21"/>
                <w:color w:val="auto"/>
              </w:rPr>
            </w:pPr>
          </w:p>
        </w:tc>
        <w:tc>
          <w:tcPr>
            <w:tcW w:w="10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120" w:type="dxa"/>
            <w:vAlign w:val="bottom"/>
          </w:tcPr>
          <w:p>
            <w:pPr>
              <w:spacing w:after="0"/>
              <w:rPr>
                <w:sz w:val="21"/>
                <w:szCs w:val="21"/>
                <w:color w:val="auto"/>
              </w:rPr>
            </w:pPr>
          </w:p>
        </w:tc>
        <w:tc>
          <w:tcPr>
            <w:tcW w:w="12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15.0%</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20.9%</w:t>
            </w: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8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6"/>
          </w:tcPr>
          <w:p>
            <w:pPr>
              <w:jc w:val="right"/>
              <w:ind w:right="86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8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Change in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net revenues</w:t>
            </w:r>
          </w:p>
        </w:tc>
        <w:tc>
          <w:tcPr>
            <w:tcW w:w="120" w:type="dxa"/>
            <w:vAlign w:val="bottom"/>
          </w:tcPr>
          <w:p>
            <w:pPr>
              <w:spacing w:after="0"/>
              <w:rPr>
                <w:sz w:val="24"/>
                <w:szCs w:val="24"/>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CCEEFF"/>
          </w:tcPr>
          <w:p>
            <w:pPr>
              <w:ind w:left="600"/>
              <w:spacing w:after="0" w:line="243" w:lineRule="exact"/>
              <w:rPr>
                <w:sz w:val="20"/>
                <w:szCs w:val="20"/>
                <w:color w:val="auto"/>
              </w:rPr>
            </w:pPr>
            <w:r>
              <w:rPr>
                <w:rFonts w:ascii="Times New Roman" w:cs="Times New Roman" w:eastAsia="Times New Roman" w:hAnsi="Times New Roman"/>
                <w:sz w:val="22"/>
                <w:szCs w:val="22"/>
                <w:color w:val="auto"/>
                <w:w w:val="92"/>
              </w:rPr>
              <w:t>3,201</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82"/>
        </w:trPr>
        <w:tc>
          <w:tcPr>
            <w:tcW w:w="85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March 29, 2025</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7,707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Changes in Optoelectronic Components segment net revenues were attributable to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9"/>
              </w:rPr>
              <w:t>vs. Prior</w:t>
            </w:r>
          </w:p>
        </w:tc>
        <w:tc>
          <w:tcPr>
            <w:tcW w:w="0" w:type="dxa"/>
            <w:vAlign w:val="bottom"/>
          </w:tcPr>
          <w:p>
            <w:pPr>
              <w:spacing w:after="0"/>
              <w:rPr>
                <w:sz w:val="1"/>
                <w:szCs w:val="1"/>
                <w:color w:val="auto"/>
              </w:rPr>
            </w:pPr>
          </w:p>
        </w:tc>
      </w:tr>
      <w:tr>
        <w:trPr>
          <w:trHeight w:val="243"/>
        </w:trPr>
        <w:tc>
          <w:tcPr>
            <w:tcW w:w="8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400" w:type="dxa"/>
            <w:vAlign w:val="bottom"/>
            <w:gridSpan w:val="3"/>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Year</w:t>
            </w:r>
          </w:p>
        </w:tc>
        <w:tc>
          <w:tcPr>
            <w:tcW w:w="0" w:type="dxa"/>
            <w:vAlign w:val="bottom"/>
          </w:tcPr>
          <w:p>
            <w:pPr>
              <w:spacing w:after="0"/>
              <w:rPr>
                <w:sz w:val="1"/>
                <w:szCs w:val="1"/>
                <w:color w:val="auto"/>
              </w:rPr>
            </w:pPr>
          </w:p>
        </w:tc>
      </w:tr>
      <w:tr>
        <w:trPr>
          <w:trHeight w:val="281"/>
        </w:trPr>
        <w:tc>
          <w:tcPr>
            <w:tcW w:w="83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4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8"/>
              </w:rPr>
              <w:t>Quarter</w:t>
            </w:r>
          </w:p>
        </w:tc>
        <w:tc>
          <w:tcPr>
            <w:tcW w:w="0" w:type="dxa"/>
            <w:vAlign w:val="bottom"/>
          </w:tcPr>
          <w:p>
            <w:pPr>
              <w:spacing w:after="0"/>
              <w:rPr>
                <w:sz w:val="1"/>
                <w:szCs w:val="1"/>
                <w:color w:val="auto"/>
              </w:rPr>
            </w:pPr>
          </w:p>
        </w:tc>
      </w:tr>
      <w:tr>
        <w:trPr>
          <w:trHeight w:val="243"/>
        </w:trPr>
        <w:tc>
          <w:tcPr>
            <w:tcW w:w="8380" w:type="dxa"/>
            <w:vAlign w:val="bottom"/>
            <w:vMerge w:val="continue"/>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Increase in volume</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6.6%</w:t>
            </w:r>
          </w:p>
        </w:tc>
        <w:tc>
          <w:tcPr>
            <w:tcW w:w="1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Decrease in average selling prices</w:t>
            </w: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(1.1)%</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27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Foreign currency effects</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0.3%</w:t>
            </w:r>
          </w:p>
        </w:tc>
        <w:tc>
          <w:tcPr>
            <w:tcW w:w="1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5.6</w:t>
            </w: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(0.1)%</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(0.4</w:t>
            </w:r>
            <w:r>
              <w:rPr>
                <w:rFonts w:ascii="Times New Roman" w:cs="Times New Roman" w:eastAsia="Times New Roman" w:hAnsi="Times New Roman"/>
                <w:sz w:val="23"/>
                <w:szCs w:val="23"/>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change</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5.7%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3"/>
                <w:szCs w:val="23"/>
                <w:color w:val="auto"/>
                <w:w w:val="93"/>
              </w:rPr>
              <w:t>%</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revenues of the Optoelectronic Components segment increased versus the prior fiscal quarter and prior year quarter. The increase versus the prior fiscal quarter is primarily due to increased sales to distribution customers, industrial end market customers, and customers in the Europe region. The increase versus the prior year quarter is primarily to due to increased sales to customers in nearly all sales channels, end markets, and regions, most significantly distribution customers, customers in the industrial end market, and customers in the Europe region.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Gross margin increased versus the prior fiscal quarter, but decreased versus the prior year quarter. The increase versus the prior fiscal quarter is primarily due to higher sales volume and the positive impact of increased inventory. The decrease versus the prior year quarter is primarily due to lower average selling prices and unfavorable product mix, partially offset by higher sales volume.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but decreased versus the prior year quarter. The changes are primarily due to changes in 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and prior year quarter.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i w:val="1"/>
          <w:iCs w:val="1"/>
          <w:u w:val="single" w:color="auto"/>
          <w:color w:val="auto"/>
        </w:rPr>
        <w:t>Resistors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 xml:space="preserve">Net revenues, gross profit margins, and segment operating margins of the Resistors segment were as follows </w:t>
      </w:r>
      <w:r>
        <w:rPr>
          <w:rFonts w:ascii="Times New Roman" w:cs="Times New Roman" w:eastAsia="Times New Roman" w:hAnsi="Times New Roman"/>
          <w:sz w:val="22"/>
          <w:szCs w:val="22"/>
          <w:i w:val="1"/>
          <w:iCs w:val="1"/>
          <w:color w:val="auto"/>
        </w:rPr>
        <w:t>(dollars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00" w:type="dxa"/>
            <w:vAlign w:val="bottom"/>
            <w:gridSpan w:val="8"/>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r>
      <w:tr>
        <w:trPr>
          <w:trHeight w:val="243"/>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70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3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203,743</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189,367</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179,500</w:t>
            </w:r>
          </w:p>
        </w:tc>
        <w:tc>
          <w:tcPr>
            <w:tcW w:w="180" w:type="dxa"/>
            <w:vAlign w:val="bottom"/>
            <w:shd w:val="clear" w:color="auto" w:fill="CCEEFF"/>
          </w:tcPr>
          <w:p>
            <w:pPr>
              <w:spacing w:after="0"/>
              <w:rPr>
                <w:sz w:val="21"/>
                <w:szCs w:val="21"/>
                <w:color w:val="auto"/>
              </w:rPr>
            </w:pPr>
          </w:p>
        </w:tc>
      </w:tr>
      <w:tr>
        <w:trPr>
          <w:trHeight w:val="243"/>
        </w:trPr>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32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120" w:type="dxa"/>
            <w:vAlign w:val="bottom"/>
          </w:tcPr>
          <w:p>
            <w:pPr>
              <w:spacing w:after="0"/>
              <w:rPr>
                <w:sz w:val="21"/>
                <w:szCs w:val="21"/>
                <w:color w:val="auto"/>
              </w:rPr>
            </w:pPr>
          </w:p>
        </w:tc>
        <w:tc>
          <w:tcPr>
            <w:tcW w:w="12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19.4%</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22.5%</w:t>
            </w: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16.8%</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14.3%</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gridSpan w:val="6"/>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6"/>
          </w:tcPr>
          <w:p>
            <w:pPr>
              <w:jc w:val="right"/>
              <w:ind w:right="86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Change in</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520" w:type="dxa"/>
            <w:vAlign w:val="bottom"/>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net revenues</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20" w:type="dxa"/>
            <w:vAlign w:val="bottom"/>
            <w:tcBorders>
              <w:right w:val="single" w:sz="8" w:color="CCEEFF"/>
            </w:tcBorders>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gridSpan w:val="2"/>
            <w:shd w:val="clear" w:color="auto" w:fill="CCEEFF"/>
          </w:tcPr>
          <w:p>
            <w:pPr>
              <w:ind w:left="520"/>
              <w:spacing w:after="0" w:line="243" w:lineRule="exact"/>
              <w:rPr>
                <w:sz w:val="20"/>
                <w:szCs w:val="20"/>
                <w:color w:val="auto"/>
              </w:rPr>
            </w:pPr>
            <w:r>
              <w:rPr>
                <w:rFonts w:ascii="Times New Roman" w:cs="Times New Roman" w:eastAsia="Times New Roman" w:hAnsi="Times New Roman"/>
                <w:sz w:val="22"/>
                <w:szCs w:val="22"/>
                <w:color w:val="auto"/>
                <w:w w:val="92"/>
              </w:rPr>
              <w:t>14,376</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82"/>
        </w:trPr>
        <w:tc>
          <w:tcPr>
            <w:tcW w:w="8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March 29, 2025</w:t>
            </w:r>
          </w:p>
        </w:tc>
        <w:tc>
          <w:tcPr>
            <w:tcW w:w="100" w:type="dxa"/>
            <w:vAlign w:val="bottom"/>
          </w:tcPr>
          <w:p>
            <w:pPr>
              <w:spacing w:after="0"/>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rPr>
              <w:t>24,243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432"/>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Changes in Resistors segment net revenues were attributable to the following:</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9"/>
              </w:rPr>
              <w:t>vs. Prior</w:t>
            </w: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00" w:type="dxa"/>
            <w:vAlign w:val="bottom"/>
          </w:tcPr>
          <w:p>
            <w:pPr>
              <w:spacing w:after="0"/>
              <w:rPr>
                <w:sz w:val="21"/>
                <w:szCs w:val="21"/>
                <w:color w:val="auto"/>
              </w:rPr>
            </w:pPr>
          </w:p>
        </w:tc>
        <w:tc>
          <w:tcPr>
            <w:tcW w:w="130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Year</w:t>
            </w:r>
          </w:p>
        </w:tc>
        <w:tc>
          <w:tcPr>
            <w:tcW w:w="0" w:type="dxa"/>
            <w:vAlign w:val="bottom"/>
          </w:tcPr>
          <w:p>
            <w:pPr>
              <w:spacing w:after="0"/>
              <w:rPr>
                <w:sz w:val="1"/>
                <w:szCs w:val="1"/>
                <w:color w:val="auto"/>
              </w:rPr>
            </w:pPr>
          </w:p>
        </w:tc>
      </w:tr>
      <w:tr>
        <w:trPr>
          <w:trHeight w:val="281"/>
        </w:trPr>
        <w:tc>
          <w:tcPr>
            <w:tcW w:w="85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Quarter</w:t>
            </w:r>
          </w:p>
        </w:tc>
        <w:tc>
          <w:tcPr>
            <w:tcW w:w="0" w:type="dxa"/>
            <w:vAlign w:val="bottom"/>
          </w:tcPr>
          <w:p>
            <w:pPr>
              <w:spacing w:after="0"/>
              <w:rPr>
                <w:sz w:val="1"/>
                <w:szCs w:val="1"/>
                <w:color w:val="auto"/>
              </w:rPr>
            </w:pPr>
          </w:p>
        </w:tc>
      </w:tr>
      <w:tr>
        <w:trPr>
          <w:trHeight w:val="243"/>
        </w:trPr>
        <w:tc>
          <w:tcPr>
            <w:tcW w:w="8520" w:type="dxa"/>
            <w:vAlign w:val="bottom"/>
            <w:vMerge w:val="continue"/>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140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43"/>
        </w:trPr>
        <w:tc>
          <w:tcPr>
            <w:tcW w:w="8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average selling prices</w:t>
            </w:r>
          </w:p>
        </w:tc>
        <w:tc>
          <w:tcPr>
            <w:tcW w:w="100" w:type="dxa"/>
            <w:vAlign w:val="bottom"/>
          </w:tcPr>
          <w:p>
            <w:pPr>
              <w:spacing w:after="0"/>
              <w:rPr>
                <w:sz w:val="21"/>
                <w:szCs w:val="21"/>
                <w:color w:val="auto"/>
              </w:rPr>
            </w:pPr>
          </w:p>
        </w:tc>
        <w:tc>
          <w:tcPr>
            <w:tcW w:w="1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14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43"/>
        </w:trPr>
        <w:tc>
          <w:tcPr>
            <w:tcW w:w="852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40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43"/>
        </w:trPr>
        <w:tc>
          <w:tcPr>
            <w:tcW w:w="8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1220" w:type="dxa"/>
            <w:vAlign w:val="bottom"/>
            <w:gridSpan w:val="3"/>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4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r>
        <w:trPr>
          <w:trHeight w:val="27"/>
        </w:trPr>
        <w:tc>
          <w:tcPr>
            <w:tcW w:w="8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52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revenues of the Resistors segment increased versus the prior fiscal quarter and prior year quarter. The increase versus the prior fiscal quarter is primarily to due to increased sales to distribution customers, customers in the industrial, automotive, and military and aerospace end markets, and customers in the Europe region. The increase versus the prior year quarter is primarily due to increased sales to customers in nearly all sales channels, end markets, and regions, most significantly distribution customers and industrial end market customers.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Gross profit margin increased versus the prior fiscal quarter, but decreased versus the prior year quarter. The increase versus the prior fiscal quarter is primarily due to higher sales volume, partially offset by higher metals costs. The decrease versus the prior year quarter is primarily due to higher labor, materials, and metals costs and unfavorable product mix, partially offset by higher sales volume.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but decreased versus the prior year quarter. The changes are primarily due to changes in gross profit.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but increased versus the prior year quarter.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are increasing critical manufacturing capacities for certain product lines. We continue to broaden our business with targeted acquisitions of specialty resistors businesses.</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2"/>
          <w:szCs w:val="22"/>
          <w:i w:val="1"/>
          <w:iCs w:val="1"/>
          <w:u w:val="single" w:color="auto"/>
          <w:color w:val="auto"/>
        </w:rPr>
        <w:t>Inductors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Net revenues, gross profit margins, and segment operating margins of the Inductors segment were as follows </w:t>
      </w:r>
      <w:r>
        <w:rPr>
          <w:rFonts w:ascii="Times New Roman" w:cs="Times New Roman" w:eastAsia="Times New Roman" w:hAnsi="Times New Roman"/>
          <w:sz w:val="22"/>
          <w:szCs w:val="22"/>
          <w:i w:val="1"/>
          <w:iCs w:val="1"/>
          <w:color w:val="auto"/>
        </w:rPr>
        <w:t>(dollars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40" w:type="dxa"/>
            <w:vAlign w:val="bottom"/>
            <w:gridSpan w:val="8"/>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r>
      <w:tr>
        <w:trPr>
          <w:trHeight w:val="243"/>
        </w:trPr>
        <w:tc>
          <w:tcPr>
            <w:tcW w:w="7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70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38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92,225</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92,588</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84,121</w:t>
            </w:r>
          </w:p>
        </w:tc>
        <w:tc>
          <w:tcPr>
            <w:tcW w:w="180" w:type="dxa"/>
            <w:vAlign w:val="bottom"/>
            <w:shd w:val="clear" w:color="auto" w:fill="CCEEFF"/>
          </w:tcPr>
          <w:p>
            <w:pPr>
              <w:spacing w:after="0"/>
              <w:rPr>
                <w:sz w:val="21"/>
                <w:szCs w:val="21"/>
                <w:color w:val="auto"/>
              </w:rPr>
            </w:pPr>
          </w:p>
        </w:tc>
      </w:tr>
      <w:tr>
        <w:trPr>
          <w:trHeight w:val="243"/>
        </w:trPr>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380" w:type="dxa"/>
            <w:vAlign w:val="bottom"/>
          </w:tcPr>
          <w:p>
            <w:pPr>
              <w:spacing w:after="0"/>
              <w:rPr>
                <w:sz w:val="21"/>
                <w:szCs w:val="21"/>
                <w:color w:val="auto"/>
              </w:rPr>
            </w:pPr>
          </w:p>
        </w:tc>
        <w:tc>
          <w:tcPr>
            <w:tcW w:w="10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31.8%</w:t>
            </w:r>
          </w:p>
        </w:tc>
        <w:tc>
          <w:tcPr>
            <w:tcW w:w="120" w:type="dxa"/>
            <w:vAlign w:val="bottom"/>
          </w:tcPr>
          <w:p>
            <w:pPr>
              <w:spacing w:after="0"/>
              <w:rPr>
                <w:sz w:val="21"/>
                <w:szCs w:val="21"/>
                <w:color w:val="auto"/>
              </w:rPr>
            </w:pPr>
          </w:p>
        </w:tc>
        <w:tc>
          <w:tcPr>
            <w:tcW w:w="12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29.8%</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20.9%</w:t>
            </w: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27.4%</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25.4%</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6"/>
          </w:tcPr>
          <w:p>
            <w:pPr>
              <w:jc w:val="right"/>
              <w:ind w:right="58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6"/>
          </w:tcPr>
          <w:p>
            <w:pPr>
              <w:jc w:val="right"/>
              <w:ind w:right="92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Change in</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40" w:type="dxa"/>
            <w:vAlign w:val="bottom"/>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net revenues</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40" w:type="dxa"/>
            <w:vAlign w:val="bottom"/>
            <w:tcBorders>
              <w:righ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gridSpan w:val="2"/>
            <w:shd w:val="clear" w:color="auto" w:fill="CCEEFF"/>
          </w:tcPr>
          <w:p>
            <w:pPr>
              <w:jc w:val="center"/>
              <w:ind w:left="592"/>
              <w:spacing w:after="0" w:line="243" w:lineRule="exact"/>
              <w:rPr>
                <w:sz w:val="20"/>
                <w:szCs w:val="20"/>
                <w:color w:val="auto"/>
              </w:rPr>
            </w:pPr>
            <w:r>
              <w:rPr>
                <w:rFonts w:ascii="Times New Roman" w:cs="Times New Roman" w:eastAsia="Times New Roman" w:hAnsi="Times New Roman"/>
                <w:sz w:val="22"/>
                <w:szCs w:val="22"/>
                <w:color w:val="auto"/>
                <w:w w:val="83"/>
              </w:rPr>
              <w:t>(363)</w:t>
            </w: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82"/>
        </w:trPr>
        <w:tc>
          <w:tcPr>
            <w:tcW w:w="8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March 29, 2025</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8,104</w:t>
            </w:r>
          </w:p>
        </w:tc>
        <w:tc>
          <w:tcPr>
            <w:tcW w:w="100" w:type="dxa"/>
            <w:vAlign w:val="bottom"/>
          </w:tcPr>
          <w:p>
            <w:pPr>
              <w:spacing w:after="0"/>
              <w:rPr>
                <w:sz w:val="24"/>
                <w:szCs w:val="24"/>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22"/>
                <w:szCs w:val="22"/>
                <w:color w:val="auto"/>
              </w:rPr>
              <w:t>Changes in Inductors segment net revenues were attributable to the following:</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vs. Prior</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20" w:type="dxa"/>
            <w:vAlign w:val="bottom"/>
          </w:tcPr>
          <w:p>
            <w:pPr>
              <w:spacing w:after="0"/>
              <w:rPr>
                <w:sz w:val="21"/>
                <w:szCs w:val="21"/>
                <w:color w:val="auto"/>
              </w:rPr>
            </w:pPr>
          </w:p>
        </w:tc>
        <w:tc>
          <w:tcPr>
            <w:tcW w:w="136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0"/>
              </w:rPr>
              <w:t>Year</w:t>
            </w:r>
          </w:p>
        </w:tc>
        <w:tc>
          <w:tcPr>
            <w:tcW w:w="0" w:type="dxa"/>
            <w:vAlign w:val="bottom"/>
          </w:tcPr>
          <w:p>
            <w:pPr>
              <w:spacing w:after="0"/>
              <w:rPr>
                <w:sz w:val="1"/>
                <w:szCs w:val="1"/>
                <w:color w:val="auto"/>
              </w:rPr>
            </w:pPr>
          </w:p>
        </w:tc>
      </w:tr>
      <w:tr>
        <w:trPr>
          <w:trHeight w:val="281"/>
        </w:trPr>
        <w:tc>
          <w:tcPr>
            <w:tcW w:w="84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1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Quarter</w:t>
            </w:r>
          </w:p>
        </w:tc>
        <w:tc>
          <w:tcPr>
            <w:tcW w:w="0" w:type="dxa"/>
            <w:vAlign w:val="bottom"/>
          </w:tcPr>
          <w:p>
            <w:pPr>
              <w:spacing w:after="0"/>
              <w:rPr>
                <w:sz w:val="1"/>
                <w:szCs w:val="1"/>
                <w:color w:val="auto"/>
              </w:rPr>
            </w:pPr>
          </w:p>
        </w:tc>
      </w:tr>
      <w:tr>
        <w:trPr>
          <w:trHeight w:val="243"/>
        </w:trPr>
        <w:tc>
          <w:tcPr>
            <w:tcW w:w="8440" w:type="dxa"/>
            <w:vAlign w:val="bottom"/>
            <w:vMerge w:val="continue"/>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148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0" w:type="dxa"/>
            <w:vAlign w:val="bottom"/>
          </w:tcPr>
          <w:p>
            <w:pPr>
              <w:spacing w:after="0"/>
              <w:rPr>
                <w:sz w:val="1"/>
                <w:szCs w:val="1"/>
                <w:color w:val="auto"/>
              </w:rPr>
            </w:pPr>
          </w:p>
        </w:tc>
      </w:tr>
      <w:tr>
        <w:trPr>
          <w:trHeight w:val="243"/>
        </w:trPr>
        <w:tc>
          <w:tcPr>
            <w:tcW w:w="8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Decrease in average selling prices</w:t>
            </w:r>
          </w:p>
        </w:tc>
        <w:tc>
          <w:tcPr>
            <w:tcW w:w="120" w:type="dxa"/>
            <w:vAlign w:val="bottom"/>
          </w:tcPr>
          <w:p>
            <w:pPr>
              <w:spacing w:after="0"/>
              <w:rPr>
                <w:sz w:val="21"/>
                <w:szCs w:val="21"/>
                <w:color w:val="auto"/>
              </w:rPr>
            </w:pPr>
          </w:p>
        </w:tc>
        <w:tc>
          <w:tcPr>
            <w:tcW w:w="1200" w:type="dxa"/>
            <w:vAlign w:val="bottom"/>
            <w:gridSpan w:val="3"/>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5"/>
              </w:rPr>
              <w:t>(2.6)%</w:t>
            </w:r>
          </w:p>
        </w:tc>
        <w:tc>
          <w:tcPr>
            <w:tcW w:w="14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43"/>
        </w:trPr>
        <w:tc>
          <w:tcPr>
            <w:tcW w:w="844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48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8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20" w:type="dxa"/>
            <w:vAlign w:val="bottom"/>
          </w:tcPr>
          <w:p>
            <w:pPr>
              <w:spacing w:after="0"/>
              <w:rPr>
                <w:sz w:val="21"/>
                <w:szCs w:val="21"/>
                <w:color w:val="auto"/>
              </w:rPr>
            </w:pPr>
          </w:p>
        </w:tc>
        <w:tc>
          <w:tcPr>
            <w:tcW w:w="1200" w:type="dxa"/>
            <w:vAlign w:val="bottom"/>
            <w:gridSpan w:val="3"/>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5"/>
              </w:rPr>
              <w:t>(0.1)%</w:t>
            </w:r>
          </w:p>
        </w:tc>
        <w:tc>
          <w:tcPr>
            <w:tcW w:w="14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7"/>
        </w:trPr>
        <w:tc>
          <w:tcPr>
            <w:tcW w:w="84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4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1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5"/>
              </w:rPr>
              <w:t>(0.4)%</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Net revenues of the Inductors segment were flat versus the prior fiscal quarter, but increased versus the prior year quarter. The increase versus the prior year quarter is primarily due to increased sales to distribution customers, customers in the healthcare and military and aerospace end markets, and customers in the Asia and Americas regions.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Gross profit margin increased versus the prior fiscal quarter and prior year quarter. The increases are primarily due to higher sales volume, lower logistics costs, and higher yield.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and prior year quarter. The increases are primarily due to changes in 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and prior year quarter.</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expect long-term growth in this segment, and are continuously expanding manufacturing capacity for certain product lines and evaluating acquisition opportunities, particularly of specialty businesses.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i w:val="1"/>
          <w:iCs w:val="1"/>
          <w:u w:val="single" w:color="auto"/>
          <w:color w:val="auto"/>
        </w:rPr>
        <w:t>Capacitors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Net revenues, gross profit margins, and segment operating margins of the Capacitors segment were as follows </w:t>
      </w:r>
      <w:r>
        <w:rPr>
          <w:rFonts w:ascii="Times New Roman" w:cs="Times New Roman" w:eastAsia="Times New Roman" w:hAnsi="Times New Roman"/>
          <w:sz w:val="22"/>
          <w:szCs w:val="22"/>
          <w:i w:val="1"/>
          <w:iCs w:val="1"/>
          <w:color w:val="auto"/>
        </w:rPr>
        <w:t>(dollars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00" w:type="dxa"/>
            <w:vAlign w:val="bottom"/>
            <w:gridSpan w:val="9"/>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4"/>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c>
          <w:tcPr>
            <w:tcW w:w="0" w:type="dxa"/>
            <w:vAlign w:val="bottom"/>
          </w:tcPr>
          <w:p>
            <w:pPr>
              <w:spacing w:after="0"/>
              <w:rPr>
                <w:sz w:val="1"/>
                <w:szCs w:val="1"/>
                <w:color w:val="auto"/>
              </w:rPr>
            </w:pPr>
          </w:p>
        </w:tc>
      </w:tr>
      <w:tr>
        <w:trPr>
          <w:trHeight w:val="281"/>
        </w:trPr>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60" w:type="dxa"/>
            <w:vAlign w:val="bottom"/>
          </w:tcPr>
          <w:p>
            <w:pPr>
              <w:spacing w:after="0"/>
              <w:rPr>
                <w:sz w:val="24"/>
                <w:szCs w:val="24"/>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revenues</w:t>
            </w:r>
          </w:p>
        </w:tc>
        <w:tc>
          <w:tcPr>
            <w:tcW w:w="226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146,739</w:t>
            </w: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136,485</w:t>
            </w:r>
          </w:p>
        </w:tc>
        <w:tc>
          <w:tcPr>
            <w:tcW w:w="14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top w:val="single" w:sz="8" w:color="auto"/>
              <w:righ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117,371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 margin</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160" w:type="dxa"/>
            <w:vAlign w:val="bottom"/>
          </w:tcPr>
          <w:p>
            <w:pPr>
              <w:spacing w:after="0"/>
              <w:rPr>
                <w:sz w:val="21"/>
                <w:szCs w:val="21"/>
                <w:color w:val="auto"/>
              </w:rPr>
            </w:pPr>
          </w:p>
        </w:tc>
        <w:tc>
          <w:tcPr>
            <w:tcW w:w="120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Segment operating margin</w:t>
            </w:r>
          </w:p>
        </w:tc>
        <w:tc>
          <w:tcPr>
            <w:tcW w:w="2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18.7%</w:t>
            </w:r>
          </w:p>
        </w:tc>
        <w:tc>
          <w:tcPr>
            <w:tcW w:w="160" w:type="dxa"/>
            <w:vAlign w:val="bottom"/>
            <w:tcBorders>
              <w:left w:val="single" w:sz="8" w:color="CCEEFF"/>
            </w:tcBorders>
            <w:shd w:val="clear" w:color="auto" w:fill="CCEEFF"/>
          </w:tcPr>
          <w:p>
            <w:pPr>
              <w:spacing w:after="0"/>
              <w:rPr>
                <w:sz w:val="21"/>
                <w:szCs w:val="21"/>
                <w:color w:val="auto"/>
              </w:rPr>
            </w:pPr>
          </w:p>
        </w:tc>
        <w:tc>
          <w:tcPr>
            <w:tcW w:w="1200" w:type="dxa"/>
            <w:vAlign w:val="bottom"/>
            <w:gridSpan w:val="3"/>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16.6%</w:t>
            </w:r>
          </w:p>
        </w:tc>
        <w:tc>
          <w:tcPr>
            <w:tcW w:w="12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17.5%</w:t>
            </w:r>
          </w:p>
        </w:tc>
        <w:tc>
          <w:tcPr>
            <w:tcW w:w="0" w:type="dxa"/>
            <w:vAlign w:val="bottom"/>
          </w:tcPr>
          <w:p>
            <w:pPr>
              <w:spacing w:after="0"/>
              <w:rPr>
                <w:sz w:val="1"/>
                <w:szCs w:val="1"/>
                <w:color w:val="auto"/>
              </w:rPr>
            </w:pPr>
          </w:p>
        </w:tc>
      </w:tr>
      <w:tr>
        <w:trPr>
          <w:trHeight w:val="471"/>
        </w:trPr>
        <w:tc>
          <w:tcPr>
            <w:tcW w:w="9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 xml:space="preserve">The change in net revenues versus the comparable prior periods was as follows </w:t>
            </w:r>
            <w:r>
              <w:rPr>
                <w:rFonts w:ascii="Times New Roman" w:cs="Times New Roman" w:eastAsia="Times New Roman" w:hAnsi="Times New Roman"/>
                <w:sz w:val="22"/>
                <w:szCs w:val="22"/>
                <w:i w:val="1"/>
                <w:iCs w:val="1"/>
                <w:color w:val="auto"/>
              </w:rPr>
              <w:t>(dollars in thousands)</w:t>
            </w: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Fiscal quarter ended</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6"/>
          </w:tcPr>
          <w:p>
            <w:pPr>
              <w:jc w:val="right"/>
              <w:ind w:right="860"/>
              <w:spacing w:after="0" w:line="243" w:lineRule="exact"/>
              <w:rPr>
                <w:sz w:val="20"/>
                <w:szCs w:val="20"/>
                <w:color w:val="auto"/>
              </w:rPr>
            </w:pPr>
            <w:r>
              <w:rPr>
                <w:rFonts w:ascii="Times New Roman" w:cs="Times New Roman" w:eastAsia="Times New Roman" w:hAnsi="Times New Roman"/>
                <w:sz w:val="22"/>
                <w:szCs w:val="22"/>
                <w:b w:val="1"/>
                <w:bCs w:val="1"/>
                <w:color w:val="auto"/>
              </w:rPr>
              <w:t>April 4, 2026</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5"/>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Change in net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revenues</w:t>
            </w:r>
          </w:p>
        </w:tc>
        <w:tc>
          <w:tcPr>
            <w:tcW w:w="120" w:type="dxa"/>
            <w:vAlign w:val="bottom"/>
          </w:tcPr>
          <w:p>
            <w:pPr>
              <w:spacing w:after="0"/>
              <w:rPr>
                <w:sz w:val="24"/>
                <w:szCs w:val="24"/>
                <w:color w:val="auto"/>
              </w:rPr>
            </w:pPr>
          </w:p>
        </w:tc>
        <w:tc>
          <w:tcPr>
            <w:tcW w:w="12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1"/>
                <w:szCs w:val="21"/>
                <w:color w:val="auto"/>
              </w:rPr>
            </w:pPr>
          </w:p>
        </w:tc>
        <w:tc>
          <w:tcPr>
            <w:tcW w:w="3720" w:type="dxa"/>
            <w:vAlign w:val="bottom"/>
            <w:tcBorders>
              <w:right w:val="single" w:sz="8" w:color="CCEEFF"/>
            </w:tcBorders>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16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w w:val="92"/>
              </w:rPr>
              <w:t>10,254</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March 29, 2025</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29,368</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25.0%</w:t>
            </w:r>
          </w:p>
        </w:tc>
        <w:tc>
          <w:tcPr>
            <w:tcW w:w="0" w:type="dxa"/>
            <w:vAlign w:val="bottom"/>
          </w:tcPr>
          <w:p>
            <w:pPr>
              <w:spacing w:after="0"/>
              <w:rPr>
                <w:sz w:val="1"/>
                <w:szCs w:val="1"/>
                <w:color w:val="auto"/>
              </w:rPr>
            </w:pPr>
          </w:p>
        </w:tc>
      </w:tr>
      <w:tr>
        <w:trPr>
          <w:trHeight w:val="432"/>
        </w:trPr>
        <w:tc>
          <w:tcPr>
            <w:tcW w:w="7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Changes in Capacitors segment net revenues were attributable to the following:</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9"/>
              </w:rPr>
              <w:t>vs. Prior</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4"/>
          </w:tcPr>
          <w:p>
            <w:pPr>
              <w:jc w:val="right"/>
              <w:ind w:right="500"/>
              <w:spacing w:after="0" w:line="243" w:lineRule="exact"/>
              <w:rPr>
                <w:sz w:val="20"/>
                <w:szCs w:val="20"/>
                <w:color w:val="auto"/>
              </w:rPr>
            </w:pPr>
            <w:r>
              <w:rPr>
                <w:rFonts w:ascii="Times New Roman" w:cs="Times New Roman" w:eastAsia="Times New Roman" w:hAnsi="Times New Roman"/>
                <w:sz w:val="22"/>
                <w:szCs w:val="22"/>
                <w:b w:val="1"/>
                <w:bCs w:val="1"/>
                <w:color w:val="auto"/>
              </w:rPr>
              <w:t>vs. Prior</w:t>
            </w:r>
          </w:p>
        </w:tc>
        <w:tc>
          <w:tcPr>
            <w:tcW w:w="120" w:type="dxa"/>
            <w:vAlign w:val="bottom"/>
          </w:tcPr>
          <w:p>
            <w:pPr>
              <w:spacing w:after="0"/>
              <w:rPr>
                <w:sz w:val="21"/>
                <w:szCs w:val="21"/>
                <w:color w:val="auto"/>
              </w:rPr>
            </w:pPr>
          </w:p>
        </w:tc>
        <w:tc>
          <w:tcPr>
            <w:tcW w:w="128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4"/>
              </w:rPr>
              <w:t>Year</w:t>
            </w:r>
          </w:p>
        </w:tc>
        <w:tc>
          <w:tcPr>
            <w:tcW w:w="0" w:type="dxa"/>
            <w:vAlign w:val="bottom"/>
          </w:tcPr>
          <w:p>
            <w:pPr>
              <w:spacing w:after="0"/>
              <w:rPr>
                <w:sz w:val="1"/>
                <w:szCs w:val="1"/>
                <w:color w:val="auto"/>
              </w:rPr>
            </w:pPr>
          </w:p>
        </w:tc>
      </w:tr>
      <w:tr>
        <w:trPr>
          <w:trHeight w:val="281"/>
        </w:trPr>
        <w:tc>
          <w:tcPr>
            <w:tcW w:w="47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Change attributable to:</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right"/>
              <w:ind w:right="52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Quarter</w:t>
            </w:r>
          </w:p>
        </w:tc>
        <w:tc>
          <w:tcPr>
            <w:tcW w:w="0" w:type="dxa"/>
            <w:vAlign w:val="bottom"/>
          </w:tcPr>
          <w:p>
            <w:pPr>
              <w:spacing w:after="0"/>
              <w:rPr>
                <w:sz w:val="1"/>
                <w:szCs w:val="1"/>
                <w:color w:val="auto"/>
              </w:rPr>
            </w:pPr>
          </w:p>
        </w:tc>
      </w:tr>
      <w:tr>
        <w:trPr>
          <w:trHeight w:val="243"/>
        </w:trPr>
        <w:tc>
          <w:tcPr>
            <w:tcW w:w="476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Increase in volume</w:t>
            </w:r>
          </w:p>
        </w:tc>
        <w:tc>
          <w:tcPr>
            <w:tcW w:w="2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20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12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16.4%</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average selling prices</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currency effects</w:t>
            </w:r>
          </w:p>
        </w:tc>
        <w:tc>
          <w:tcPr>
            <w:tcW w:w="2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20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2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20" w:type="dxa"/>
            <w:vAlign w:val="bottom"/>
          </w:tcPr>
          <w:p>
            <w:pPr>
              <w:spacing w:after="0"/>
              <w:rPr>
                <w:sz w:val="21"/>
                <w:szCs w:val="21"/>
                <w:color w:val="auto"/>
              </w:rPr>
            </w:pP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change</w:t>
            </w:r>
          </w:p>
        </w:tc>
        <w:tc>
          <w:tcPr>
            <w:tcW w:w="2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1200" w:type="dxa"/>
            <w:vAlign w:val="bottom"/>
            <w:gridSpan w:val="3"/>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120" w:type="dxa"/>
            <w:vAlign w:val="bottom"/>
            <w:tcBorders>
              <w:right w:val="single" w:sz="8" w:color="CCEEFF"/>
            </w:tcBorders>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25.0%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Net revenues of the Capacitors segment increased versus the prior fiscal quarter and prior year quarter. The increase versus the prior fiscal quarter is primarily due to increased sales to distribution and OEM customers, customers in the military and aerospace end market, and customers in the Europe and Americas regions, partially offset by decreased sales to customers in the Asia region due to Lunar New Year. The increase versus the prior year quarter is primarily due to increased sales to customers in nearly all sales channels, end markets, and regions, most significantly distribution customers, industrial end market customers, and customers in the Asia and Americas regions.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Gross profit margin increased versus the prior fiscal quarter and prior year quarter. The increase versus the prior fiscal quarter is primarily due to higher sales volume, partially offset by unfavorable product mix. The increase versus the prior year quarter is primarily due to higher sales volume and higher average selling prices.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Segment operating margin increased versus the prior fiscal quarter and prior year quarter. The increases are primarily due to changes in gross profit.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Average selling prices, including tariff adders, decreased versus the prior fiscal quarter, but increased versus the prior year quarter.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large portion of expected growth of our Capacitors segment is in high voltage high power film capacitors used for smart-grid infrastructure projects.</w:t>
      </w:r>
    </w:p>
    <w:p>
      <w:pPr>
        <w:sectPr>
          <w:pgSz w:w="11900" w:h="16838" w:orient="portrait"/>
          <w:cols w:equalWidth="0" w:num="1">
            <w:col w:w="11240"/>
          </w:cols>
          <w:pgMar w:left="320" w:top="324"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Selling, General, and Administrative Expenses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4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 xml:space="preserve">Selling, general, and administrative expenses are summarized as follows </w:t>
            </w:r>
            <w:r>
              <w:rPr>
                <w:rFonts w:ascii="Times New Roman" w:cs="Times New Roman" w:eastAsia="Times New Roman" w:hAnsi="Times New Roman"/>
                <w:sz w:val="22"/>
                <w:szCs w:val="22"/>
                <w:i w:val="1"/>
                <w:iCs w:val="1"/>
                <w:color w:val="auto"/>
                <w:w w:val="99"/>
              </w:rPr>
              <w:t>(dollars 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6"/>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gridSpan w:val="8"/>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Fiscal quarters ended</w:t>
            </w:r>
          </w:p>
        </w:tc>
      </w:tr>
      <w:tr>
        <w:trPr>
          <w:trHeight w:val="243"/>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December</w:t>
            </w:r>
          </w:p>
        </w:tc>
        <w:tc>
          <w:tcPr>
            <w:tcW w:w="120" w:type="dxa"/>
            <w:vAlign w:val="bottom"/>
          </w:tcPr>
          <w:p>
            <w:pPr>
              <w:spacing w:after="0"/>
              <w:rPr>
                <w:sz w:val="21"/>
                <w:szCs w:val="21"/>
                <w:color w:val="auto"/>
              </w:rPr>
            </w:pPr>
          </w:p>
        </w:tc>
        <w:tc>
          <w:tcPr>
            <w:tcW w:w="12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March 29,</w:t>
            </w:r>
          </w:p>
        </w:tc>
      </w:tr>
      <w:tr>
        <w:trPr>
          <w:trHeight w:val="281"/>
        </w:trPr>
        <w:tc>
          <w:tcPr>
            <w:tcW w:w="70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April 4, 2026</w:t>
            </w:r>
          </w:p>
        </w:tc>
        <w:tc>
          <w:tcPr>
            <w:tcW w:w="120" w:type="dxa"/>
            <w:vAlign w:val="bottom"/>
          </w:tcPr>
          <w:p>
            <w:pPr>
              <w:spacing w:after="0"/>
              <w:rPr>
                <w:sz w:val="24"/>
                <w:szCs w:val="24"/>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4"/>
                <w:szCs w:val="24"/>
                <w:color w:val="auto"/>
              </w:rPr>
            </w:pPr>
          </w:p>
        </w:tc>
      </w:tr>
      <w:tr>
        <w:trPr>
          <w:trHeight w:val="243"/>
        </w:trPr>
        <w:tc>
          <w:tcPr>
            <w:tcW w:w="7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SG&amp;A expenses</w:t>
            </w:r>
          </w:p>
        </w:tc>
        <w:tc>
          <w:tcPr>
            <w:tcW w:w="3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154,488</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141,999</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134,739</w:t>
            </w:r>
          </w:p>
        </w:tc>
        <w:tc>
          <w:tcPr>
            <w:tcW w:w="180" w:type="dxa"/>
            <w:vAlign w:val="bottom"/>
            <w:shd w:val="clear" w:color="auto" w:fill="CCEEFF"/>
          </w:tcPr>
          <w:p>
            <w:pPr>
              <w:spacing w:after="0"/>
              <w:rPr>
                <w:sz w:val="21"/>
                <w:szCs w:val="21"/>
                <w:color w:val="auto"/>
              </w:rPr>
            </w:pPr>
          </w:p>
        </w:tc>
      </w:tr>
      <w:tr>
        <w:trPr>
          <w:trHeight w:val="282"/>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as a percentage of revenues</w:t>
            </w:r>
          </w:p>
        </w:tc>
        <w:tc>
          <w:tcPr>
            <w:tcW w:w="3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18.4%</w:t>
            </w:r>
          </w:p>
        </w:tc>
        <w:tc>
          <w:tcPr>
            <w:tcW w:w="12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17.7%</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18.8%</w:t>
            </w:r>
          </w:p>
        </w:tc>
      </w:tr>
    </w:tbl>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incurring additional SG&amp;A costs associated with our strategic initiatives. The sequential increase in SG&amp;A expenses is primarily due to uneven attribution of stock-based compensation expense and higher bonus compensation accruals. SG&amp;A expenses increased versus the prior year quarter due to higher stock-based compensation expense and general cost inflation.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auto"/>
        </w:rPr>
        <w:t>Other Income (Expense)</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Interest expense for the fiscal quarter ended April 4, 2026 increased by $0.2 million versus the fiscal quarter ended December 31, 2025 and $1.2 million versus the fiscal quarter ended March 29, 2025. The increases are due to higher outstanding balances on our revolving credit facility.</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The following tables analyze the components of the line “Other” on the consolidated condensed statements of operations </w:t>
      </w:r>
      <w:r>
        <w:rPr>
          <w:rFonts w:ascii="Times New Roman" w:cs="Times New Roman" w:eastAsia="Times New Roman" w:hAnsi="Times New Roman"/>
          <w:sz w:val="22"/>
          <w:szCs w:val="22"/>
          <w:i w:val="1"/>
          <w:iCs w:val="1"/>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20" w:type="dxa"/>
            <w:vAlign w:val="bottom"/>
            <w:gridSpan w:val="5"/>
          </w:tcPr>
          <w:p>
            <w:pPr>
              <w:jc w:val="right"/>
              <w:ind w:right="76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April 4,</w:t>
            </w: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1"/>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December 31, 2025</w:t>
            </w:r>
          </w:p>
        </w:tc>
        <w:tc>
          <w:tcPr>
            <w:tcW w:w="1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w w:val="99"/>
              </w:rPr>
              <w:t>Change</w:t>
            </w:r>
          </w:p>
        </w:tc>
      </w:tr>
      <w:tr>
        <w:trPr>
          <w:trHeight w:val="243"/>
        </w:trPr>
        <w:tc>
          <w:tcPr>
            <w:tcW w:w="6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exchange loss</w:t>
            </w: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(586)</w:t>
            </w:r>
          </w:p>
        </w:tc>
        <w:tc>
          <w:tcPr>
            <w:tcW w:w="22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(506)</w:t>
            </w: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100" w:type="dxa"/>
            <w:vAlign w:val="bottom"/>
            <w:shd w:val="clear" w:color="auto" w:fill="CCEEFF"/>
          </w:tcPr>
          <w:p>
            <w:pPr>
              <w:spacing w:after="0"/>
              <w:rPr>
                <w:sz w:val="21"/>
                <w:szCs w:val="21"/>
                <w:color w:val="auto"/>
              </w:rPr>
            </w:pPr>
          </w:p>
        </w:tc>
      </w:tr>
      <w:tr>
        <w:trPr>
          <w:trHeight w:val="243"/>
        </w:trPr>
        <w:tc>
          <w:tcPr>
            <w:tcW w:w="6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3,038</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2,753</w:t>
            </w:r>
          </w:p>
        </w:tc>
        <w:tc>
          <w:tcPr>
            <w:tcW w:w="14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285</w:t>
            </w:r>
          </w:p>
        </w:tc>
      </w:tr>
      <w:tr>
        <w:trPr>
          <w:trHeight w:val="243"/>
        </w:trPr>
        <w:tc>
          <w:tcPr>
            <w:tcW w:w="6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components of net periodic pension expense</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(1,919)</w:t>
            </w:r>
          </w:p>
        </w:tc>
        <w:tc>
          <w:tcPr>
            <w:tcW w:w="6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(2,442)</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523</w:t>
            </w:r>
          </w:p>
        </w:tc>
      </w:tr>
      <w:tr>
        <w:trPr>
          <w:trHeight w:val="243"/>
        </w:trPr>
        <w:tc>
          <w:tcPr>
            <w:tcW w:w="6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Investment income (expense)</w:t>
            </w: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14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281</w:t>
            </w:r>
          </w:p>
        </w:tc>
      </w:tr>
      <w:tr>
        <w:trPr>
          <w:trHeight w:val="250"/>
        </w:trPr>
        <w:tc>
          <w:tcPr>
            <w:tcW w:w="6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6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843</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(845)</w:t>
            </w:r>
          </w:p>
        </w:tc>
      </w:tr>
      <w:tr>
        <w:trPr>
          <w:trHeight w:val="243"/>
        </w:trPr>
        <w:tc>
          <w:tcPr>
            <w:tcW w:w="678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701</w:t>
            </w:r>
          </w:p>
        </w:tc>
        <w:tc>
          <w:tcPr>
            <w:tcW w:w="220" w:type="dxa"/>
            <w:vAlign w:val="bottom"/>
            <w:tcBorders>
              <w:top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537</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164</w:t>
            </w:r>
          </w:p>
        </w:tc>
        <w:tc>
          <w:tcPr>
            <w:tcW w:w="100" w:type="dxa"/>
            <w:vAlign w:val="bottom"/>
            <w:tcBorders>
              <w:top w:val="single" w:sz="8" w:color="CCEEFF"/>
            </w:tcBorders>
          </w:tcPr>
          <w:p>
            <w:pPr>
              <w:spacing w:after="0"/>
              <w:rPr>
                <w:sz w:val="21"/>
                <w:szCs w:val="2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6"/>
          </w:tcPr>
          <w:p>
            <w:pPr>
              <w:jc w:val="right"/>
              <w:ind w:right="580"/>
              <w:spacing w:after="0"/>
              <w:rPr>
                <w:sz w:val="20"/>
                <w:szCs w:val="20"/>
                <w:color w:val="auto"/>
              </w:rPr>
            </w:pPr>
            <w:r>
              <w:rPr>
                <w:rFonts w:ascii="Times New Roman" w:cs="Times New Roman" w:eastAsia="Times New Roman" w:hAnsi="Times New Roman"/>
                <w:sz w:val="22"/>
                <w:szCs w:val="22"/>
                <w:b w:val="1"/>
                <w:bCs w:val="1"/>
                <w:color w:val="auto"/>
              </w:rPr>
              <w:t>Fiscal quarters ended</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April 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4"/>
                <w:szCs w:val="24"/>
                <w:color w:val="auto"/>
              </w:rPr>
            </w:pPr>
          </w:p>
        </w:tc>
        <w:tc>
          <w:tcPr>
            <w:tcW w:w="1700" w:type="dxa"/>
            <w:vAlign w:val="bottom"/>
            <w:gridSpan w:val="4"/>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March 29, 2025</w:t>
            </w: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Foreign exchange gain (loss)</w:t>
            </w:r>
          </w:p>
        </w:tc>
        <w:tc>
          <w:tcPr>
            <w:tcW w:w="22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1,329</w:t>
            </w: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3,877</w:t>
            </w:r>
          </w:p>
        </w:tc>
        <w:tc>
          <w:tcPr>
            <w:tcW w:w="16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(839)</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components of net period pension expense</w:t>
            </w:r>
          </w:p>
        </w:tc>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(1,919)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(1,697)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(222)</w:t>
            </w:r>
          </w:p>
        </w:tc>
        <w:tc>
          <w:tcPr>
            <w:tcW w:w="0" w:type="dxa"/>
            <w:vAlign w:val="bottom"/>
          </w:tcPr>
          <w:p>
            <w:pPr>
              <w:spacing w:after="0"/>
              <w:rPr>
                <w:sz w:val="1"/>
                <w:szCs w:val="1"/>
                <w:color w:val="auto"/>
              </w:rPr>
            </w:pPr>
          </w:p>
        </w:tc>
      </w:tr>
      <w:tr>
        <w:trPr>
          <w:trHeight w:val="243"/>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Investment income</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261</w:t>
            </w:r>
          </w:p>
        </w:tc>
        <w:tc>
          <w:tcPr>
            <w:tcW w:w="16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701</w:t>
            </w:r>
          </w:p>
        </w:tc>
        <w:tc>
          <w:tcPr>
            <w:tcW w:w="140" w:type="dxa"/>
            <w:vAlign w:val="bottom"/>
          </w:tcPr>
          <w:p>
            <w:pPr>
              <w:spacing w:after="0"/>
              <w:rPr>
                <w:sz w:val="21"/>
                <w:szCs w:val="21"/>
                <w:color w:val="auto"/>
              </w:rPr>
            </w:pPr>
          </w:p>
        </w:tc>
        <w:tc>
          <w:tcPr>
            <w:tcW w:w="560" w:type="dxa"/>
            <w:vAlign w:val="bottom"/>
            <w:gridSpan w:val="2"/>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3,747</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(3,046)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8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i w:val="1"/>
          <w:iCs w:val="1"/>
          <w:color w:val="auto"/>
        </w:rPr>
        <w:t>Income Taxes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fiscal quarter ended April 4, 2026, our effective tax rate was 44.3%, as compared to 82.3% and 3.2% for the fiscal quarters ended December 31, 2025 and March 29, 2025, respectively. We expect that our effective tax rate will be higher than the U.S. statutory rate, excluding unusual transactions, even at higher levels of pre-tax income.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continue to evaluate the applicability of Pillar Two to our group, the timing of enactment and effective dates by jurisdiction, and the potential impacts on our effective tax rate, cash taxes, and related income tax disclosures.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information about income taxes is included in Note 3 to our consolidated condensed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6" w:name="page37"/>
    <w:bookmarkEnd w:id="3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financial condition as of April 4, 2026 is adequate to meet our capital expenditure and other growth plans. We have historically been a strong generator of operating cash flows. The cash generated from operations is used to fund our capital expenditure plans, and cash in excess of our capital expenditure needs is available to fund our acquisition strategy, fund our Stockholder Return Policy, and to reduce debt levels.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Management uses a non-GAAP measure, "free cash," to evaluate our ability to fund acquisitions, repay debt, and otherwise enhance stockholder value through stock repurchases or dividends. See "Overview" above for "free cash" definition and reconciliation to GAAP.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Cash flows provided by operating activities were $63.7 million for the three fiscal months ended April 4, 2026, as compared to cash flows provided by operations of $16.1 million for the three fiscal months ended March 29, 2025.</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order to manage our working capital and operating cash needs, we monitor our cash conversion cycle. The following table presents the components of our cash conversion cycle during the five fiscal quarters beginning with the first fiscal quarter of 2025 through the first fiscal quarter of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80" w:type="dxa"/>
            <w:vAlign w:val="bottom"/>
            <w:gridSpan w:val="5"/>
          </w:tcPr>
          <w:p>
            <w:pPr>
              <w:ind w:left="880"/>
              <w:spacing w:after="0"/>
              <w:rPr>
                <w:sz w:val="20"/>
                <w:szCs w:val="20"/>
                <w:color w:val="auto"/>
              </w:rPr>
            </w:pPr>
            <w:r>
              <w:rPr>
                <w:rFonts w:ascii="Times New Roman" w:cs="Times New Roman" w:eastAsia="Times New Roman" w:hAnsi="Times New Roman"/>
                <w:sz w:val="22"/>
                <w:szCs w:val="22"/>
                <w:b w:val="1"/>
                <w:bCs w:val="1"/>
                <w:color w:val="auto"/>
                <w:w w:val="97"/>
              </w:rPr>
              <w:t>Fiscal quarters ended</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spacing w:after="0"/>
              <w:rPr>
                <w:sz w:val="21"/>
                <w:szCs w:val="21"/>
                <w:color w:val="auto"/>
              </w:rPr>
            </w:pPr>
          </w:p>
        </w:tc>
        <w:tc>
          <w:tcPr>
            <w:tcW w:w="1380" w:type="dxa"/>
            <w:vAlign w:val="bottom"/>
            <w:gridSpan w:val="2"/>
          </w:tcPr>
          <w:p>
            <w:pPr>
              <w:jc w:val="right"/>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1st Quarter</w:t>
            </w:r>
          </w:p>
        </w:tc>
        <w:tc>
          <w:tcPr>
            <w:tcW w:w="13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2nd</w:t>
            </w:r>
          </w:p>
        </w:tc>
        <w:tc>
          <w:tcPr>
            <w:tcW w:w="1500" w:type="dxa"/>
            <w:vAlign w:val="bottom"/>
            <w:gridSpan w:val="3"/>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3rd</w:t>
            </w:r>
          </w:p>
        </w:tc>
        <w:tc>
          <w:tcPr>
            <w:tcW w:w="1140" w:type="dxa"/>
            <w:vAlign w:val="bottom"/>
            <w:gridSpan w:val="2"/>
          </w:tcPr>
          <w:p>
            <w:pPr>
              <w:jc w:val="center"/>
              <w:ind w:right="4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4th</w:t>
            </w:r>
          </w:p>
        </w:tc>
        <w:tc>
          <w:tcPr>
            <w:tcW w:w="12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1st Quarter</w:t>
            </w:r>
          </w:p>
        </w:tc>
      </w:tr>
      <w:tr>
        <w:trPr>
          <w:trHeight w:val="243"/>
        </w:trPr>
        <w:tc>
          <w:tcPr>
            <w:tcW w:w="4620" w:type="dxa"/>
            <w:vAlign w:val="bottom"/>
          </w:tcPr>
          <w:p>
            <w:pPr>
              <w:spacing w:after="0"/>
              <w:rPr>
                <w:sz w:val="21"/>
                <w:szCs w:val="21"/>
                <w:color w:val="auto"/>
              </w:rPr>
            </w:pPr>
          </w:p>
        </w:tc>
        <w:tc>
          <w:tcPr>
            <w:tcW w:w="114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b w:val="1"/>
                <w:bCs w:val="1"/>
                <w:color w:val="auto"/>
              </w:rPr>
              <w:t>2025</w:t>
            </w:r>
          </w:p>
        </w:tc>
        <w:tc>
          <w:tcPr>
            <w:tcW w:w="240" w:type="dxa"/>
            <w:vAlign w:val="bottom"/>
          </w:tcPr>
          <w:p>
            <w:pPr>
              <w:spacing w:after="0"/>
              <w:rPr>
                <w:sz w:val="21"/>
                <w:szCs w:val="21"/>
                <w:color w:val="auto"/>
              </w:rPr>
            </w:pPr>
          </w:p>
        </w:tc>
        <w:tc>
          <w:tcPr>
            <w:tcW w:w="13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b w:val="1"/>
                <w:bCs w:val="1"/>
                <w:color w:val="auto"/>
              </w:rPr>
              <w:t>Quarter</w:t>
            </w:r>
          </w:p>
        </w:tc>
        <w:tc>
          <w:tcPr>
            <w:tcW w:w="15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Quarter</w:t>
            </w:r>
          </w:p>
        </w:tc>
        <w:tc>
          <w:tcPr>
            <w:tcW w:w="1140" w:type="dxa"/>
            <w:vAlign w:val="bottom"/>
            <w:gridSpan w:val="2"/>
          </w:tcPr>
          <w:p>
            <w:pPr>
              <w:jc w:val="right"/>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Quarter</w:t>
            </w:r>
          </w:p>
        </w:tc>
        <w:tc>
          <w:tcPr>
            <w:tcW w:w="112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1"/>
                <w:szCs w:val="21"/>
                <w:color w:val="auto"/>
              </w:rPr>
            </w:pPr>
          </w:p>
        </w:tc>
      </w:tr>
      <w:tr>
        <w:trPr>
          <w:trHeight w:val="281"/>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620" w:type="dxa"/>
            <w:vAlign w:val="bottom"/>
            <w:shd w:val="clear" w:color="auto" w:fill="CCEEFF"/>
          </w:tcPr>
          <w:p>
            <w:pPr>
              <w:spacing w:after="0" w:line="297" w:lineRule="exact"/>
              <w:rPr>
                <w:sz w:val="20"/>
                <w:szCs w:val="20"/>
                <w:color w:val="auto"/>
              </w:rPr>
            </w:pPr>
            <w:r>
              <w:rPr>
                <w:rFonts w:ascii="Times New Roman" w:cs="Times New Roman" w:eastAsia="Times New Roman" w:hAnsi="Times New Roman"/>
                <w:sz w:val="21"/>
                <w:szCs w:val="21"/>
                <w:color w:val="auto"/>
              </w:rPr>
              <w:t xml:space="preserve">Days sales outstanding ("DSO") </w:t>
            </w:r>
            <w:r>
              <w:rPr>
                <w:rFonts w:ascii="Times New Roman" w:cs="Times New Roman" w:eastAsia="Times New Roman" w:hAnsi="Times New Roman"/>
                <w:sz w:val="34"/>
                <w:szCs w:val="34"/>
                <w:color w:val="auto"/>
                <w:vertAlign w:val="superscript"/>
              </w:rPr>
              <w:t>(a)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2"/>
                <w:szCs w:val="22"/>
                <w:color w:val="auto"/>
              </w:rPr>
              <w:t>53</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2"/>
                <w:szCs w:val="22"/>
                <w:color w:val="auto"/>
              </w:rPr>
              <w:t>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4620" w:type="dxa"/>
            <w:vAlign w:val="bottom"/>
          </w:tcPr>
          <w:p>
            <w:pPr>
              <w:spacing w:after="0" w:line="297" w:lineRule="exact"/>
              <w:rPr>
                <w:sz w:val="20"/>
                <w:szCs w:val="20"/>
                <w:color w:val="auto"/>
              </w:rPr>
            </w:pPr>
            <w:r>
              <w:rPr>
                <w:rFonts w:ascii="Times New Roman" w:cs="Times New Roman" w:eastAsia="Times New Roman" w:hAnsi="Times New Roman"/>
                <w:sz w:val="21"/>
                <w:szCs w:val="21"/>
                <w:color w:val="auto"/>
              </w:rPr>
              <w:t xml:space="preserve">Days inventory outstanding ("DIO") </w:t>
            </w:r>
            <w:r>
              <w:rPr>
                <w:rFonts w:ascii="Times New Roman" w:cs="Times New Roman" w:eastAsia="Times New Roman" w:hAnsi="Times New Roman"/>
                <w:sz w:val="34"/>
                <w:szCs w:val="34"/>
                <w:color w:val="auto"/>
                <w:vertAlign w:val="superscript"/>
              </w:rPr>
              <w:t>(b)</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2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109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108</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106</w:t>
            </w:r>
          </w:p>
        </w:tc>
      </w:tr>
      <w:tr>
        <w:trPr>
          <w:trHeight w:val="297"/>
        </w:trPr>
        <w:tc>
          <w:tcPr>
            <w:tcW w:w="4620" w:type="dxa"/>
            <w:vAlign w:val="bottom"/>
            <w:shd w:val="clear" w:color="auto" w:fill="CCEEFF"/>
          </w:tcPr>
          <w:p>
            <w:pPr>
              <w:spacing w:after="0" w:line="297" w:lineRule="exact"/>
              <w:rPr>
                <w:sz w:val="20"/>
                <w:szCs w:val="20"/>
                <w:color w:val="auto"/>
              </w:rPr>
            </w:pPr>
            <w:r>
              <w:rPr>
                <w:rFonts w:ascii="Times New Roman" w:cs="Times New Roman" w:eastAsia="Times New Roman" w:hAnsi="Times New Roman"/>
                <w:sz w:val="21"/>
                <w:szCs w:val="21"/>
                <w:color w:val="auto"/>
              </w:rPr>
              <w:t xml:space="preserve">Days payable outstanding ("DPO") </w:t>
            </w:r>
            <w:r>
              <w:rPr>
                <w:rFonts w:ascii="Times New Roman" w:cs="Times New Roman" w:eastAsia="Times New Roman" w:hAnsi="Times New Roman"/>
                <w:sz w:val="34"/>
                <w:szCs w:val="34"/>
                <w:color w:val="auto"/>
                <w:vertAlign w:val="superscript"/>
              </w:rPr>
              <w:t>(c)</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(34)</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(32)</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(31)</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(30)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(31)</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conversion cycle</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125</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hanging="252"/>
        <w:spacing w:after="0" w:line="261"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DSO measures the average collection period of our receivables. DSO is calculated by dividing the average accounts receivable by the average net revenue per day for the respective fiscal quarter.</w:t>
      </w:r>
    </w:p>
    <w:p>
      <w:pPr>
        <w:ind w:left="260" w:right="20" w:hanging="252"/>
        <w:spacing w:after="0" w:line="250" w:lineRule="auto"/>
        <w:tabs>
          <w:tab w:leader="none" w:pos="2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DIO measures the average number of days from procurement to sale of our product. DIO is calculated by dividing the average inventory by average cost of goods sold per day for the respective fiscal quarter.</w:t>
      </w:r>
    </w:p>
    <w:p>
      <w:pPr>
        <w:ind w:left="260" w:hanging="252"/>
        <w:spacing w:after="0" w:line="260"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DPO measures the average number of days our payables remain outstanding before payment. DPO is calculated by dividing the average accounts payable by the average cost of goods sold per day for the respective fiscal quarter.</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cash conversion cycle improved to 116 days in the first fiscal quarter of 2026, reflecting our sale of an additional $63.1 million trade receivables and disciplined working capital management.</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Cash paid for property and equipment for the three fiscal months ended April 4, 2026 was $110.7 million, as compared to $61.6 million for the three fiscal months ended March 29, 2025. To be well positioned to service our customers and to fully participate in growing markets, we have increased and expect to maintain a relatively high level of capital expenditures for expansion in the mid-term. Our elevated capital expenditure levels over the past three years have positioned us with increased capacity to assure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will be invested in our 12-inch wafer fab we are building in Itzehoe, Germany.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Free cash flow for the three fiscal months ended April 4, 2026 decreased slightly versus the three fiscal months ended March 29, 2025. Free cash flow for the three fiscal months ended April 4, 2026 was negatively impacted by a high level of capital expenditures. We expect that free cash flow will be negatively impacted by the expected high level of capital expenditures for expansion after which we expect to generate increasingly higher levels of free cash. There is no assurance, however, that we will be able to continue to generate cash flows from operations and free cash at our historical levels, or at all, going forward if the economic environment worsens.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2022, our Board of Directors adopted a Stockholder Return Policy that will remain in effect until such time as the Board votes to amend or rescind the policy. See “Stockholder Return Policy” above for additional information.</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The following table summarizes the components of net cash and short-term investments (debt) at April 4, 2026 and December 31, 2025 </w:t>
      </w:r>
      <w:r>
        <w:rPr>
          <w:rFonts w:ascii="Times New Roman" w:cs="Times New Roman" w:eastAsia="Times New Roman" w:hAnsi="Times New Roman"/>
          <w:sz w:val="22"/>
          <w:szCs w:val="22"/>
          <w:i w:val="1"/>
          <w:iCs w:val="1"/>
          <w:color w:val="auto"/>
        </w:rPr>
        <w:t>(in thousands)</w:t>
      </w:r>
      <w:r>
        <w:rPr>
          <w:rFonts w:ascii="Times New Roman" w:cs="Times New Roman" w:eastAsia="Times New Roman" w:hAnsi="Times New Roman"/>
          <w:sz w:val="22"/>
          <w:szCs w:val="22"/>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9"/>
              </w:rPr>
              <w:t>April 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December</w:t>
            </w:r>
          </w:p>
        </w:tc>
      </w:tr>
      <w:tr>
        <w:trPr>
          <w:trHeight w:val="281"/>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31, 2025</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Credit facility</w:t>
            </w:r>
          </w:p>
        </w:tc>
        <w:tc>
          <w:tcPr>
            <w:tcW w:w="1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118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250,000</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   219,000</w:t>
            </w:r>
          </w:p>
        </w:tc>
      </w:tr>
      <w:tr>
        <w:trPr>
          <w:trHeight w:val="243"/>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Convertible senior notes, due 2030</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750,000</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750,000</w:t>
            </w: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Deferred financing costs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(16,910)</w:t>
            </w:r>
          </w:p>
        </w:tc>
        <w:tc>
          <w:tcPr>
            <w:tcW w:w="12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(18,107)</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8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debt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983,090</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950,893</w:t>
            </w:r>
          </w:p>
        </w:tc>
      </w:tr>
      <w:tr>
        <w:trPr>
          <w:trHeight w:val="117"/>
        </w:trPr>
        <w:tc>
          <w:tcPr>
            <w:tcW w:w="8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324" w:right="3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shd w:val="clear" w:color="auto" w:fill="CCEEFF"/>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5380" w:type="dxa"/>
            <w:vAlign w:val="bottom"/>
            <w:gridSpan w:val="3"/>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479,357</w:t>
            </w: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514,966</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Short-term investments</w:t>
            </w:r>
          </w:p>
        </w:tc>
        <w:tc>
          <w:tcPr>
            <w:tcW w:w="40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22"/>
                <w:szCs w:val="22"/>
                <w:b w:val="1"/>
                <w:bCs w:val="1"/>
                <w:color w:val="auto"/>
              </w:rPr>
              <w:t>191</w:t>
            </w: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265</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cash and short-term investments (debt)</w:t>
            </w:r>
          </w:p>
        </w:tc>
        <w:tc>
          <w:tcPr>
            <w:tcW w:w="5380" w:type="dxa"/>
            <w:vAlign w:val="bottom"/>
            <w:gridSpan w:val="3"/>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  (503,542)</w:t>
            </w:r>
          </w:p>
        </w:tc>
        <w:tc>
          <w:tcPr>
            <w:tcW w:w="12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(435,662)</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040" w:type="dxa"/>
            <w:vAlign w:val="bottom"/>
            <w:vMerge w:val="restart"/>
          </w:tcPr>
          <w:p>
            <w:pPr>
              <w:jc w:val="right"/>
              <w:ind w:right="2858"/>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6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4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22"/>
          <w:szCs w:val="22"/>
          <w:color w:val="auto"/>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invest a portion of our excess cash in highly liquid, high-quality instruments with maturities greater than 90 days, but less than 1 year, which we classify as short-term investments on our consolidated condensed balance sheets. As these investments were funded using a portion of excess cash and represent a significant aspect of our cash management strategy, we include the investments in the calculation of net cash and short-term investments (debt).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interest rates on our short-term investments vary by location. Transactions related to these investments are classified as investing activities on our consolidated condensed statements of cash flows.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business is geographically diverse and our cash is generated by our subsidiaries around the world. Cash dividends to stockholders, share repurchases, and principal and interest payments on our debt instruments need to be paid by the U.S. parent company, Vishay Intertechnology, Inc. We continue to allocate capital responsibly between our business, our lenders, and our stockholders. The capital allocated to our business is further allocated between our subsidiaries to meet local operating cash needs, to fund capital expenditures as part of our growth plan, and to meet corporate funding needs while also aiming to minimize our tax expense.</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As of April 4, 2026, $13.6 million of our cash and cash equivalents and short-term investments were held by our U.S. subsidiaries. As of April 4, 2026, we are in a net borrowing position in the U.S. and we expect to continue to be at least throughout 2026 based on expected cash payments pursuant to our Stockholder Return Policy and funding of our growth plan. As of April 4, 2026, we have approximately $561 million of earnings that are deemed not indefinitely reinvested, primarily in Germany and Israel. Based on the expected timing of future repatriations, we estimate that the tax liability to repatriate these unremitted earnings will be approximately $81 million, which has been accrued, but will only be paid upon repatriation of the unremitted earnings. Repatriating these unremitted earnings earlier than currently planned may not be possible and would incur additional tax expense. We also have amounts of unremitted foreign earnings, which continue to be reinvested indefinitely, that we have not accrued for the incremental foreign income taxes and withholding taxes payable to foreign jurisdictions that would be incurred to repatriate these amounts. Certain of these subsidiaries are located in countries with restrictive regulations and high tax rates for repatriating cash. Due to the uncertainties associated with the ability, timing, and method to repatriate these unremitted earnings and other complexities associated with its hypothetical calculation, determination of the amount of tax expense that would be incurred to repatriate the unremitted earnings is not practicable, but could be significant. Our undrawn credit facility provides us with adequate operating liquidity in the United States.</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Upon successful completion of our growth plan, we expect to generate increasingly higher levels of free cash that will be sufficient to meet our long-term financing needs related to normal operating requirements, regular dividend payments, and share repurchases pursuant to our Stockholder Return Policy, while allowing us to manage our repatriation and financing activities to minimize tax and interest expense. During the current period of intensified capital expenditures to achieve our growth plans, we are considering a combination of additional and alternative sources of financing, such as the agreements to sell up to approximately $150 million of accounts receivable on a revolving basis that we initiated in 2025, and our cash on hand to fund a portion of the capital expenditures that would conserve cash for future acquisitions while enabling us to minimize tax expense.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maintain a $750 million revolving credit agreement with a consortium of banks led by JPMorgan Chase Bank, N.A., that matures on May 8, 2028. 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the credit facility, the financial maintenance covenants include (a) an interest coverage ratio of not less than 3.25 to 1; and (b) a net leverage ratio of not more than 3.25 to 1 (and a pro forma ratio of 3.00 to 1 on the date of incurrence of additional debt). Net leverage ratio reduces the measure of outstanding debt by up to $250 million of unrestricted cash.</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credit facility limits or restricts us from, among other things, incurring indebtedness, incurring liens on its respective assets, making investments and acquisitions (assuming our pro forma net leverage ratio is greater than 2.75 to 1.00), making asset sales, and paying cash dividends and making other restricted payments (assuming our pro forma net leverage ratio is greater than 2.50 to 1.00).</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were in compliance with all financial covenants under the credit facility at April 4, 2026. Our interest coverage ratio and net leverage ratio were 9.70 to 1 and 2.34 to 1, respectively. We expect to continue to be in compliance with these covenants based on current projections. The usable capacity on the credit facility is approximately $307 million as of April 4, 2026.</w:t>
      </w:r>
    </w:p>
    <w:p>
      <w:pPr>
        <w:sectPr>
          <w:pgSz w:w="11900" w:h="16838" w:orient="portrait"/>
          <w:cols w:equalWidth="0" w:num="1">
            <w:col w:w="11240"/>
          </w:cols>
          <w:pgMar w:left="320" w:top="112" w:right="33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312" w:gutter="0" w:footer="0" w:header="0"/>
          <w:type w:val="continuous"/>
        </w:sectPr>
      </w:pPr>
    </w:p>
    <w:bookmarkStart w:id="39" w:name="page40"/>
    <w:bookmarkEnd w:id="39"/>
    <w:p>
      <w:pPr>
        <w:jc w:val="both"/>
        <w:spacing w:after="0"/>
        <w:rPr>
          <w:sz w:val="20"/>
          <w:szCs w:val="20"/>
          <w:color w:val="auto"/>
        </w:rPr>
      </w:pPr>
      <w:r>
        <w:rPr>
          <w:rFonts w:ascii="Times New Roman" w:cs="Times New Roman" w:eastAsia="Times New Roman" w:hAnsi="Times New Roman"/>
          <w:sz w:val="22"/>
          <w:szCs w:val="22"/>
          <w:color w:val="auto"/>
        </w:rPr>
        <w:t>If we are not in compliance with all of the required financial covenants, the credit facility could be terminated by the lenders, and any amounts then outstanding pursuant to the credit facility could become immediately payable. Additionally, our convertible senior notes due 2030 have cross-default provisions that could accelerate repayment in the event the indebtedness under the credit facility is accelerated.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Borrowings under the credit facility bear interest at variable reference rates plus an interest margin. The applicable interest margin is based on our total leverage ratio. We also pay a commitment fee, also based on our total leverage ratio, on undrawn amounts. U.S. dollar borrowings under the credit facility are based on SOFR (including a customary spread adjustment). Borrowings in foreign currencies bear interest at currency-specific reference rates plus an interest margin. Based on our current total leverage ratio of 3.07 to 1, any new U.S. dollar borrowings will bear interest at SOFR plus 2.10% (including the applicable credit spread), and the undrawn commitment fee is 0.35% per annum.</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subsidiaries; and are guaranteed by certain significant subsidiaries.</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had $219 million outstanding on our revolving credit facility at December 31, 2025 and $250 million outstanding at April 4, 2026. We borrowed $203 million and repaid $172 million on the revolving credit facility during the three fiscal months ended April 4, 2026. The average outstanding balance on our revolving credit facility calculated at fiscal month-ends was $259 million and the highest amount outstanding at a fiscal month end was $271 million during the three fiscal months ended April 4, 2026. We expect, at least initially, to fund certain future obligations required to be paid by the U.S. parent company by borrowing under our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No principal payments on our debt are due until 2028.</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convertible senior notes due 2030 are not currently convertible. Pursuant to the indenture governing the convertible senior notes due 2030, we will cash-settle the principal amount of $1,000 per note and settle any additional amounts in cash or shares of our common stock. We intend to finance the principal amount of any converted notes using borrowings under our credit facility. No conversions have occurred to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From time to time, information provided by us, including but not limited to statements in this report, or other statements made by or on our behalf, may contain “forward-looking” information within the meaning of the Private Securities Litigation Reform Act of 1995. Words such as “believe,” “estimate,” “will be,” “will,” “would,” “expect,” “anticipate,” “plan,” “project,” “intend,” “could,” “should,” or other similar words or expressions often identify forward-looking statements.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delays or difficulties in implementing our cost reduction strategies; delays or difficulties in expanding our manufacturing capacities; manufacturing or supply chain interruptions or changes in customer demand (including due to political, economic, and health instability and military conflicts and hostilities);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applicable domestic and foreign tax regulations and uncertainty regarding the same; changes in U.S. and foreign trade regulations and tariffs and uncertainty regarding the same; volatility in prices for metals and materials; changes in applicable accounting standards and other factors affecting our operations, markets, capacity to meet demand, products, services, and prices that are set forth in our filings with the SEC, including our annual reports on Form 10-K and our quarterly reports on Form 10-Q. We undertake no obligation to publicly update or revise any forward-looking statements, whether as a result of new information, future events, or otherwise.</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2025 Annual Report on Form 10-K listed various important factors that could cause actual results to differ materially from projected and historic results. We note these factors for investors as permitted by the Private Securities Litigation Reform Act of 1995. Readers can find them in Part I, Item 1A, of that filing under the heading “Risk Factors.” You should understand that it is not possible to predict or identify all such factors. Consequently, you should not consider any such list to be a complete set of all potential risks or uncertainties.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3. Quantitative and Qualitative Disclosures About Market Risk</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 II, Item 7A, “Quantitative and Qualitative Disclosures About Market Risk,” of our Annual Report on Form 10-K for the year ended December 31, 2025, filed with the SEC on February 13, 2026, describes our exposure to market risks. There have been no material changes to our market risks since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4. Controls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Conclusion Regarding the Effectiveness of Disclosure Controls and Procedures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(the “Exchange Act”). Based on that evaluation, our CEO and CFO concluded that our disclosure controls and procedures were effective as of the end of the period covered by this quarterly report to ensure that information required to be disclosed in reports that we file or submit under the Exchange Act are: (1) recorded, processed, summarized, and reported within the time periods specified in the SEC’s rules and forms; and (2) accumulated and communicated to our management, including our CEO and CFO,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1.</w:t>
      </w:r>
      <w:r>
        <w:rPr>
          <w:sz w:val="20"/>
          <w:szCs w:val="20"/>
          <w:color w:val="auto"/>
        </w:rPr>
        <w:tab/>
      </w:r>
      <w:r>
        <w:rPr>
          <w:rFonts w:ascii="Times New Roman" w:cs="Times New Roman" w:eastAsia="Times New Roman" w:hAnsi="Times New Roman"/>
          <w:sz w:val="21"/>
          <w:szCs w:val="21"/>
          <w:b w:val="1"/>
          <w:bCs w:val="1"/>
          <w:u w:val="single" w:color="auto"/>
          <w:color w:val="auto"/>
        </w:rPr>
        <w:t>Legal Proceedings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Item 3 of Part I of our Annual Report on Form 10-K for the year ended December 31, 2025, filed with the SEC on February 13, 2026 describes certain of our legal proceedings. There have been no material developments to the legal proceedings previously disclosed.</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1A.</w:t>
      </w:r>
      <w:r>
        <w:rPr>
          <w:sz w:val="20"/>
          <w:szCs w:val="20"/>
          <w:color w:val="auto"/>
        </w:rPr>
        <w:tab/>
      </w:r>
      <w:r>
        <w:rPr>
          <w:rFonts w:ascii="Times New Roman" w:cs="Times New Roman" w:eastAsia="Times New Roman" w:hAnsi="Times New Roman"/>
          <w:sz w:val="21"/>
          <w:szCs w:val="21"/>
          <w:b w:val="1"/>
          <w:bCs w:val="1"/>
          <w:u w:val="single" w:color="auto"/>
          <w:color w:val="auto"/>
        </w:rPr>
        <w:t>Risk Factors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we previously disclosed under Item 1A of Part I of our Annual Report on Form 10-K for the year ended December 31, 2025, filed with the SEC on February 13, 2026.</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2.</w:t>
      </w:r>
      <w:r>
        <w:rPr>
          <w:sz w:val="20"/>
          <w:szCs w:val="20"/>
          <w:color w:val="auto"/>
        </w:rPr>
        <w:tab/>
      </w:r>
      <w:r>
        <w:rPr>
          <w:rFonts w:ascii="Times New Roman" w:cs="Times New Roman" w:eastAsia="Times New Roman" w:hAnsi="Times New Roman"/>
          <w:sz w:val="21"/>
          <w:szCs w:val="21"/>
          <w:b w:val="1"/>
          <w:bCs w:val="1"/>
          <w:u w:val="single" w:color="auto"/>
          <w:color w:val="auto"/>
        </w:rPr>
        <w:t>Unregistered Sales of Equity Securities and Use of Proceeds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3.</w:t>
      </w:r>
      <w:r>
        <w:rPr>
          <w:sz w:val="20"/>
          <w:szCs w:val="20"/>
          <w:color w:val="auto"/>
        </w:rPr>
        <w:tab/>
      </w:r>
      <w:r>
        <w:rPr>
          <w:rFonts w:ascii="Times New Roman" w:cs="Times New Roman" w:eastAsia="Times New Roman" w:hAnsi="Times New Roman"/>
          <w:sz w:val="21"/>
          <w:szCs w:val="21"/>
          <w:b w:val="1"/>
          <w:bCs w:val="1"/>
          <w:u w:val="single" w:color="auto"/>
          <w:color w:val="auto"/>
        </w:rPr>
        <w:t>Defaults Upon Senior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4.</w:t>
      </w:r>
      <w:r>
        <w:rPr>
          <w:sz w:val="20"/>
          <w:szCs w:val="20"/>
          <w:color w:val="auto"/>
        </w:rPr>
        <w:tab/>
      </w:r>
      <w:r>
        <w:rPr>
          <w:rFonts w:ascii="Times New Roman" w:cs="Times New Roman" w:eastAsia="Times New Roman" w:hAnsi="Times New Roman"/>
          <w:sz w:val="21"/>
          <w:szCs w:val="21"/>
          <w:b w:val="1"/>
          <w:bCs w:val="1"/>
          <w:u w:val="single" w:color="auto"/>
          <w:color w:val="auto"/>
        </w:rPr>
        <w:t>Mine Safety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5.</w:t>
      </w:r>
      <w:r>
        <w:rPr>
          <w:sz w:val="20"/>
          <w:szCs w:val="20"/>
          <w:color w:val="auto"/>
        </w:rPr>
        <w:tab/>
      </w:r>
      <w:r>
        <w:rPr>
          <w:rFonts w:ascii="Times New Roman" w:cs="Times New Roman" w:eastAsia="Times New Roman" w:hAnsi="Times New Roman"/>
          <w:sz w:val="21"/>
          <w:szCs w:val="21"/>
          <w:b w:val="1"/>
          <w:bCs w:val="1"/>
          <w:u w:val="single" w:color="auto"/>
          <w:color w:val="auto"/>
        </w:rPr>
        <w:t>Other Information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None of our directors or executive officers adopted or terminated a Rule 10b5-1 trading arrangement or adopted or terminated a non-Rule 10b5-1 trading arrangement (as defined by Item 408(c) of Regulation S-K) during the fiscal quarter ended April 4, 2026.</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u w:val="single" w:color="auto"/>
          <w:color w:val="auto"/>
        </w:rPr>
        <w:t>Item 6.</w:t>
      </w:r>
      <w:r>
        <w:rPr>
          <w:sz w:val="20"/>
          <w:szCs w:val="20"/>
          <w:color w:val="auto"/>
        </w:rPr>
        <w:tab/>
      </w:r>
      <w:r>
        <w:rPr>
          <w:rFonts w:ascii="Times New Roman" w:cs="Times New Roman" w:eastAsia="Times New Roman" w:hAnsi="Times New Roman"/>
          <w:sz w:val="21"/>
          <w:szCs w:val="21"/>
          <w:b w:val="1"/>
          <w:bCs w:val="1"/>
          <w:u w:val="single" w:color="auto"/>
          <w:color w:val="auto"/>
        </w:rPr>
        <w:t>Exhibits</w:t>
      </w:r>
    </w:p>
    <w:p>
      <w:pPr>
        <w:spacing w:after="0" w:line="210" w:lineRule="exact"/>
        <w:rPr>
          <w:sz w:val="20"/>
          <w:szCs w:val="20"/>
          <w:color w:val="auto"/>
        </w:rPr>
      </w:pPr>
    </w:p>
    <w:p>
      <w:pPr>
        <w:ind w:left="1160" w:hanging="762"/>
        <w:spacing w:after="0" w:line="241" w:lineRule="auto"/>
        <w:tabs>
          <w:tab w:leader="none" w:pos="1140" w:val="left"/>
        </w:tabs>
        <w:rPr>
          <w:sz w:val="20"/>
          <w:szCs w:val="20"/>
          <w:color w:val="auto"/>
        </w:rPr>
      </w:pPr>
      <w:r>
        <w:rPr>
          <w:rFonts w:ascii="Times New Roman" w:cs="Times New Roman" w:eastAsia="Times New Roman" w:hAnsi="Times New Roman"/>
          <w:sz w:val="22"/>
          <w:szCs w:val="22"/>
          <w:u w:val="single" w:color="auto"/>
          <w:color w:val="0000EE"/>
        </w:rPr>
        <w:t>31.1</w:t>
      </w:r>
      <w:r>
        <w:rPr>
          <w:sz w:val="20"/>
          <w:szCs w:val="20"/>
          <w:color w:val="auto"/>
        </w:rPr>
        <w:tab/>
      </w:r>
      <w:r>
        <w:rPr>
          <w:rFonts w:ascii="Times New Roman" w:cs="Times New Roman" w:eastAsia="Times New Roman" w:hAnsi="Times New Roman"/>
          <w:sz w:val="22"/>
          <w:szCs w:val="22"/>
          <w:u w:val="single" w:color="auto"/>
          <w:color w:val="0000EE"/>
        </w:rPr>
        <w:t>Certification pursuant to Rule 13a-14(a) or 15d-14(a) under the Securities Exchange Act of 1934, as adopted pursuant to Section 302 of the Sarbanes-Oxley Act of 2002 - Joel Smejkal,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ind w:left="720"/>
        <w:spacing w:after="0" w:line="230" w:lineRule="auto"/>
        <w:rPr>
          <w:sz w:val="20"/>
          <w:szCs w:val="20"/>
          <w:color w:val="auto"/>
        </w:rPr>
      </w:pPr>
      <w:r>
        <w:rPr>
          <w:rFonts w:ascii="Times New Roman" w:cs="Times New Roman" w:eastAsia="Times New Roman" w:hAnsi="Times New Roman"/>
          <w:sz w:val="22"/>
          <w:szCs w:val="22"/>
          <w:u w:val="single" w:color="auto"/>
          <w:color w:val="0000EE"/>
        </w:rPr>
        <w:t>31.2    Certification pursuant to Rule 13a-14(a) or 15d-14(a) under the Securities Exchange Act of 1934, as adopted pursuant to Section 302 of the Sarbanes-Oxley Act of 2002 - David E. McConnell, Chief Financial Officer.</w:t>
      </w:r>
    </w:p>
    <w:p>
      <w:pPr>
        <w:ind w:left="400"/>
        <w:spacing w:after="0"/>
        <w:tabs>
          <w:tab w:leader="none" w:pos="1140" w:val="left"/>
        </w:tabs>
        <w:rPr>
          <w:sz w:val="20"/>
          <w:szCs w:val="20"/>
          <w:color w:val="auto"/>
        </w:rPr>
      </w:pPr>
      <w:r>
        <w:rPr>
          <w:rFonts w:ascii="Times New Roman" w:cs="Times New Roman" w:eastAsia="Times New Roman" w:hAnsi="Times New Roman"/>
          <w:sz w:val="22"/>
          <w:szCs w:val="22"/>
          <w:u w:val="single" w:color="auto"/>
          <w:color w:val="0000EE"/>
        </w:rPr>
        <w:t>32.1</w:t>
      </w:r>
      <w:r>
        <w:rPr>
          <w:sz w:val="20"/>
          <w:szCs w:val="20"/>
          <w:color w:val="auto"/>
        </w:rPr>
        <w:tab/>
      </w:r>
      <w:r>
        <w:rPr>
          <w:rFonts w:ascii="Times New Roman" w:cs="Times New Roman" w:eastAsia="Times New Roman" w:hAnsi="Times New Roman"/>
          <w:sz w:val="21"/>
          <w:szCs w:val="21"/>
          <w:u w:val="single" w:color="auto"/>
          <w:color w:val="0000EE"/>
        </w:rPr>
        <w:t>Certification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160"/>
        <w:spacing w:after="0" w:line="231" w:lineRule="auto"/>
        <w:rPr>
          <w:sz w:val="20"/>
          <w:szCs w:val="20"/>
          <w:color w:val="auto"/>
        </w:rPr>
      </w:pPr>
      <w:r>
        <w:rPr>
          <w:rFonts w:ascii="Times New Roman" w:cs="Times New Roman" w:eastAsia="Times New Roman" w:hAnsi="Times New Roman"/>
          <w:sz w:val="22"/>
          <w:szCs w:val="22"/>
          <w:u w:val="single" w:color="auto"/>
          <w:color w:val="0000EE"/>
        </w:rPr>
        <w:t>2002 – Joel Smejkal, Chief Executive Officer.</w:t>
      </w:r>
    </w:p>
    <w:p>
      <w:pPr>
        <w:ind w:left="400"/>
        <w:spacing w:after="0"/>
        <w:tabs>
          <w:tab w:leader="none" w:pos="1140" w:val="left"/>
        </w:tabs>
        <w:rPr>
          <w:sz w:val="20"/>
          <w:szCs w:val="20"/>
          <w:color w:val="auto"/>
        </w:rPr>
      </w:pPr>
      <w:r>
        <w:rPr>
          <w:rFonts w:ascii="Times New Roman" w:cs="Times New Roman" w:eastAsia="Times New Roman" w:hAnsi="Times New Roman"/>
          <w:sz w:val="22"/>
          <w:szCs w:val="22"/>
          <w:u w:val="single" w:color="auto"/>
          <w:color w:val="0000EE"/>
        </w:rPr>
        <w:t>32.2</w:t>
      </w:r>
      <w:r>
        <w:rPr>
          <w:sz w:val="20"/>
          <w:szCs w:val="20"/>
          <w:color w:val="auto"/>
        </w:rPr>
        <w:tab/>
      </w:r>
      <w:r>
        <w:rPr>
          <w:rFonts w:ascii="Times New Roman" w:cs="Times New Roman" w:eastAsia="Times New Roman" w:hAnsi="Times New Roman"/>
          <w:sz w:val="21"/>
          <w:szCs w:val="21"/>
          <w:u w:val="single" w:color="auto"/>
          <w:color w:val="0000EE"/>
        </w:rPr>
        <w:t>Certification Pursuant to 18 U.S.C. Section 1350, as adopted pursuant to Section 906 of the Sarbanes-Oxley Act of</w:t>
      </w:r>
    </w:p>
    <w:p>
      <w:pPr>
        <w:ind w:left="1160"/>
        <w:spacing w:after="0" w:line="231" w:lineRule="auto"/>
        <w:rPr>
          <w:sz w:val="20"/>
          <w:szCs w:val="20"/>
          <w:color w:val="auto"/>
        </w:rPr>
      </w:pPr>
      <w:r>
        <w:rPr>
          <w:rFonts w:ascii="Times New Roman" w:cs="Times New Roman" w:eastAsia="Times New Roman" w:hAnsi="Times New Roman"/>
          <w:sz w:val="22"/>
          <w:szCs w:val="22"/>
          <w:u w:val="single" w:color="auto"/>
          <w:color w:val="0000EE"/>
        </w:rPr>
        <w:t>2002 – David E. McConnell, Chief Financial Officer.</w:t>
      </w:r>
    </w:p>
    <w:p>
      <w:pPr>
        <w:ind w:left="1160" w:hanging="740"/>
        <w:spacing w:after="0" w:line="230"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Interactive Data File (Quarterly Report on Form 10-Q, for the quarterly period ended April 4, 2026, furnished in iXBRL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160" w:hanging="739"/>
        <w:spacing w:after="0" w:line="230" w:lineRule="auto"/>
        <w:tabs>
          <w:tab w:leader="none" w:pos="11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(formatted as Inline eXtensible Business Reporting Language and contained in Exhibit 101)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/s/ David E. McConnell</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David E. McConnell</w:t>
      </w:r>
    </w:p>
    <w:p>
      <w:pPr>
        <w:ind w:left="4780"/>
        <w:spacing w:after="0" w:line="230"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(as a duly authorized officer and principal financial officer)</w:t>
      </w:r>
    </w:p>
    <w:p>
      <w:pPr>
        <w:spacing w:after="0" w:line="3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/s/ David L. Tomlinson</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David L. Tomlinson</w:t>
      </w:r>
    </w:p>
    <w:p>
      <w:pPr>
        <w:ind w:left="4780"/>
        <w:spacing w:after="0" w:line="230" w:lineRule="auto"/>
        <w:rPr>
          <w:sz w:val="20"/>
          <w:szCs w:val="20"/>
          <w:color w:val="auto"/>
        </w:rPr>
      </w:pPr>
      <w:r>
        <w:rPr>
          <w:rFonts w:ascii="Times New Roman" w:cs="Times New Roman" w:eastAsia="Times New Roman" w:hAnsi="Times New Roman"/>
          <w:sz w:val="22"/>
          <w:szCs w:val="22"/>
          <w:color w:val="auto"/>
        </w:rPr>
        <w:t>Senior Vice President - Chief Accounting Officer</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(as a duly authorized officer and principal accounting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13,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324"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Joel Smejkal, certify that:</w:t>
      </w:r>
    </w:p>
    <w:p>
      <w:pPr>
        <w:spacing w:after="0" w:line="24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Vishay Intertechnology, Inc.;</w:t>
      </w:r>
    </w:p>
    <w:p>
      <w:pPr>
        <w:spacing w:after="0" w:line="22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101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1015"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5"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jc w:val="both"/>
        <w:ind w:left="660" w:right="2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10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13, 2026</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Joel Smejkal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Joel Smejkal</w:t>
      </w:r>
    </w:p>
    <w:p>
      <w:pPr>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E. McConnell, certify that:</w:t>
      </w:r>
    </w:p>
    <w:p>
      <w:pPr>
        <w:spacing w:after="0" w:line="24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Vishay Intertechnology, Inc.;</w:t>
      </w:r>
    </w:p>
    <w:p>
      <w:pPr>
        <w:spacing w:after="0" w:line="22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1012"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101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jc w:val="both"/>
        <w:ind w:left="660" w:right="20" w:hanging="652"/>
        <w:spacing w:after="0" w:line="254"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7"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10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13, 2026</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David E. McConnell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E. McConnell</w:t>
      </w:r>
    </w:p>
    <w:p>
      <w:pPr>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Vishay Intertechnology, Inc. (the "Company") on Form 10-Q for the fiscal quarter ended April 4, 2026 as filed with the Securities and Exchange Commission on the date hereof (the "Report"), I, Joel Smejkal,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500" w:right="20" w:hanging="492"/>
        <w:spacing w:after="0" w:line="269" w:lineRule="auto"/>
        <w:tabs>
          <w:tab w:leader="none" w:pos="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Joel Smejkal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Joel Smejkal</w:t>
      </w: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May 13, 2026</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Vishay Intertechnology, Inc. (the "Company") on Form 10-Q for the fiscal quarter ended April 4, 2026 as filed with the Securities and Exchange Commission on the date hereof (the "Report"), I, David E. McConnell, Chief Financial Officer of the Company, certify, pursuant to 18 U.S.C. section 1350, as adopted pursuant to section 906 of the Sarbanes-Oxley Act of 2002, that:</w:t>
      </w:r>
    </w:p>
    <w:p>
      <w:pPr>
        <w:spacing w:after="0" w:line="193"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500" w:right="20" w:hanging="492"/>
        <w:spacing w:after="0" w:line="269" w:lineRule="auto"/>
        <w:tabs>
          <w:tab w:leader="none" w:pos="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David E. McConnell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E. McConnell</w:t>
      </w: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May 13,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2026-05-13T07:04:05Z</dcterms:created>
  <dcterms:modified xsi:type="dcterms:W3CDTF">2026-05-13T07:04:05Z</dcterms:modified>
</cp:coreProperties>
</file>