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4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13D</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VISHAY INTERTECHNOLOGY,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48"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928298108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Ruta Zandman</w:t>
      </w:r>
    </w:p>
    <w:p>
      <w:pPr>
        <w:jc w:val="center"/>
        <w:ind w:right="-119"/>
        <w:spacing w:after="0" w:line="238" w:lineRule="auto"/>
        <w:rPr>
          <w:sz w:val="20"/>
          <w:szCs w:val="20"/>
          <w:color w:val="auto"/>
        </w:rPr>
      </w:pPr>
      <w:r>
        <w:rPr>
          <w:rFonts w:ascii="Arial" w:cs="Arial" w:eastAsia="Arial" w:hAnsi="Arial"/>
          <w:sz w:val="22"/>
          <w:szCs w:val="22"/>
          <w:color w:val="auto"/>
        </w:rPr>
        <w:t>63 Lancaster Avenue</w:t>
      </w:r>
    </w:p>
    <w:p>
      <w:pPr>
        <w:jc w:val="center"/>
        <w:ind w:right="-119"/>
        <w:spacing w:after="0" w:line="230" w:lineRule="auto"/>
        <w:rPr>
          <w:sz w:val="20"/>
          <w:szCs w:val="20"/>
          <w:color w:val="auto"/>
        </w:rPr>
      </w:pPr>
      <w:r>
        <w:rPr>
          <w:rFonts w:ascii="Arial" w:cs="Arial" w:eastAsia="Arial" w:hAnsi="Arial"/>
          <w:sz w:val="22"/>
          <w:szCs w:val="22"/>
          <w:color w:val="auto"/>
        </w:rPr>
        <w:t>Malvern, Pennsylvania 19355-2143</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(610) 644-1300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79"/>
        <w:spacing w:after="0" w:line="234" w:lineRule="auto"/>
        <w:rPr>
          <w:sz w:val="20"/>
          <w:szCs w:val="20"/>
          <w:color w:val="auto"/>
        </w:rPr>
      </w:pPr>
      <w:r>
        <w:rPr>
          <w:rFonts w:ascii="Arial" w:cs="Arial" w:eastAsia="Arial" w:hAnsi="Arial"/>
          <w:sz w:val="22"/>
          <w:szCs w:val="22"/>
          <w:color w:val="auto"/>
        </w:rPr>
        <w:t>(Name, Address and Telephone Number of Person Authorized to</w:t>
      </w:r>
    </w:p>
    <w:p>
      <w:pPr>
        <w:jc w:val="center"/>
        <w:ind w:right="-119"/>
        <w:spacing w:after="0"/>
        <w:rPr>
          <w:sz w:val="20"/>
          <w:szCs w:val="20"/>
          <w:color w:val="auto"/>
        </w:rPr>
      </w:pPr>
      <w:r>
        <w:rPr>
          <w:rFonts w:ascii="Arial" w:cs="Arial" w:eastAsia="Arial" w:hAnsi="Arial"/>
          <w:sz w:val="22"/>
          <w:szCs w:val="22"/>
          <w:color w:val="auto"/>
        </w:rPr>
        <w:t>Receive Notices and Communications)</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March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Event Which Requires Filing of this Statement)</w:t>
      </w:r>
    </w:p>
    <w:p>
      <w:pPr>
        <w:spacing w:after="0" w:line="80" w:lineRule="exact"/>
        <w:rPr>
          <w:sz w:val="24"/>
          <w:szCs w:val="24"/>
          <w:color w:val="auto"/>
        </w:rPr>
      </w:pPr>
    </w:p>
    <w:p>
      <w:pPr>
        <w:ind w:right="520"/>
        <w:spacing w:after="0" w:line="330"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§§240.13d-1(e), 240.13d-1(f) or 240.13d-1(g), check the following box.</w:t>
      </w:r>
    </w:p>
    <w:p>
      <w:pPr>
        <w:spacing w:after="0" w:line="1" w:lineRule="exact"/>
        <w:rPr>
          <w:sz w:val="24"/>
          <w:szCs w:val="24"/>
          <w:color w:val="auto"/>
        </w:rPr>
      </w:pPr>
    </w:p>
    <w:p>
      <w:pPr>
        <w:ind w:right="320"/>
        <w:spacing w:after="0" w:line="256" w:lineRule="auto"/>
        <w:rPr>
          <w:sz w:val="20"/>
          <w:szCs w:val="20"/>
          <w:color w:val="auto"/>
        </w:rPr>
      </w:pPr>
      <w:r>
        <w:rPr>
          <w:rFonts w:ascii="Arial" w:cs="Arial" w:eastAsia="Arial" w:hAnsi="Arial"/>
          <w:sz w:val="22"/>
          <w:szCs w:val="22"/>
          <w:b w:val="1"/>
          <w:bCs w:val="1"/>
          <w:color w:val="auto"/>
        </w:rPr>
        <w:t>Note</w:t>
      </w:r>
      <w:r>
        <w:rPr>
          <w:rFonts w:ascii="Arial" w:cs="Arial" w:eastAsia="Arial" w:hAnsi="Arial"/>
          <w:sz w:val="22"/>
          <w:szCs w:val="22"/>
          <w:color w:val="auto"/>
        </w:rPr>
        <w:t>: 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§240.13d-7 for other parties to whom copies are to be sent.</w:t>
      </w:r>
    </w:p>
    <w:p>
      <w:pPr>
        <w:spacing w:after="0" w:line="61" w:lineRule="exact"/>
        <w:rPr>
          <w:sz w:val="24"/>
          <w:szCs w:val="24"/>
          <w:color w:val="auto"/>
        </w:rPr>
      </w:pPr>
    </w:p>
    <w:p>
      <w:pPr>
        <w:ind w:right="18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78"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b w:val="1"/>
          <w:bCs w:val="1"/>
          <w:i w:val="1"/>
          <w:iCs w:val="1"/>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1320"/>
          </w:cols>
          <w:pgMar w:left="240" w:top="643" w:right="339" w:bottom="1440" w:gutter="0" w:footer="0" w:header="0"/>
        </w:sectPr>
      </w:pPr>
    </w:p>
    <w:bookmarkStart w:id="1" w:name="page2"/>
    <w:bookmarkEnd w:id="1"/>
    <w:p>
      <w:pPr>
        <w:ind w:left="844" w:right="6600" w:hanging="790"/>
        <w:spacing w:after="0" w:line="251" w:lineRule="auto"/>
        <w:tabs>
          <w:tab w:leader="none" w:pos="844"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NAMES OF REPORTING PERSONS Ruta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-330200</wp:posOffset>
            </wp:positionV>
            <wp:extent cx="7248525" cy="6348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6348095"/>
                    </a:xfrm>
                    <a:prstGeom prst="rect">
                      <a:avLst/>
                    </a:prstGeom>
                    <a:noFill/>
                  </pic:spPr>
                </pic:pic>
              </a:graphicData>
            </a:graphic>
          </wp:anchor>
        </w:drawing>
      </w:r>
    </w:p>
    <w:p>
      <w:pPr>
        <w:spacing w:after="0" w:line="167" w:lineRule="exact"/>
        <w:rPr>
          <w:sz w:val="20"/>
          <w:szCs w:val="20"/>
          <w:color w:val="auto"/>
        </w:rPr>
      </w:pPr>
    </w:p>
    <w:p>
      <w:pPr>
        <w:ind w:left="844" w:hanging="790"/>
        <w:spacing w:after="0"/>
        <w:tabs>
          <w:tab w:leader="none" w:pos="844"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(SEE INSTRUCTIONS)</w:t>
      </w:r>
    </w:p>
    <w:p>
      <w:pPr>
        <w:spacing w:after="0" w:line="14" w:lineRule="exact"/>
        <w:rPr>
          <w:sz w:val="20"/>
          <w:szCs w:val="20"/>
          <w:color w:val="auto"/>
        </w:rPr>
      </w:pPr>
    </w:p>
    <w:p>
      <w:pPr>
        <w:jc w:val="right"/>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p>
      <w:pPr>
        <w:spacing w:after="0" w:line="4" w:lineRule="exact"/>
        <w:rPr>
          <w:sz w:val="20"/>
          <w:szCs w:val="20"/>
          <w:color w:val="auto"/>
        </w:rPr>
      </w:pPr>
    </w:p>
    <w:p>
      <w:pPr>
        <w:jc w:val="right"/>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12" w:lineRule="exact"/>
        <w:rPr>
          <w:sz w:val="20"/>
          <w:szCs w:val="20"/>
          <w:color w:val="auto"/>
        </w:rPr>
      </w:pPr>
    </w:p>
    <w:p>
      <w:pPr>
        <w:ind w:left="844" w:hanging="790"/>
        <w:spacing w:after="0"/>
        <w:tabs>
          <w:tab w:leader="none" w:pos="844"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SEC USE ONLY</w:t>
      </w:r>
    </w:p>
    <w:p>
      <w:pPr>
        <w:spacing w:after="0" w:line="202" w:lineRule="exact"/>
        <w:rPr>
          <w:sz w:val="20"/>
          <w:szCs w:val="20"/>
          <w:color w:val="auto"/>
        </w:rPr>
      </w:pPr>
    </w:p>
    <w:p>
      <w:pPr>
        <w:ind w:left="844" w:right="5800" w:hanging="790"/>
        <w:spacing w:after="0" w:line="251" w:lineRule="auto"/>
        <w:tabs>
          <w:tab w:leader="none" w:pos="844" w:val="left"/>
        </w:tabs>
        <w:numPr>
          <w:ilvl w:val="0"/>
          <w:numId w:val="5"/>
        </w:numPr>
        <w:rPr>
          <w:rFonts w:ascii="Arial" w:cs="Arial" w:eastAsia="Arial" w:hAnsi="Arial"/>
          <w:sz w:val="22"/>
          <w:szCs w:val="22"/>
          <w:b w:val="1"/>
          <w:bCs w:val="1"/>
          <w:color w:val="auto"/>
        </w:rPr>
      </w:pPr>
      <w:r>
        <w:rPr>
          <w:rFonts w:ascii="Arial" w:cs="Arial" w:eastAsia="Arial" w:hAnsi="Arial"/>
          <w:sz w:val="22"/>
          <w:szCs w:val="22"/>
          <w:color w:val="auto"/>
        </w:rPr>
        <w:t>SOURCE OF FUNDS (SEE INSTRUCTIONS) OO</w:t>
      </w:r>
    </w:p>
    <w:p>
      <w:pPr>
        <w:spacing w:after="0" w:line="38" w:lineRule="exact"/>
        <w:rPr>
          <w:sz w:val="20"/>
          <w:szCs w:val="20"/>
          <w:color w:val="auto"/>
        </w:rPr>
      </w:pPr>
    </w:p>
    <w:p>
      <w:pPr>
        <w:ind w:left="844" w:right="620" w:hanging="790"/>
        <w:spacing w:after="0" w:line="241" w:lineRule="auto"/>
        <w:tabs>
          <w:tab w:leader="none" w:pos="844"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CHECK IF DISCLOSURE OF LEGAL PROCEEDINGS IS REQUIRED PURSUANT TO ITEM 2(D) OR 2(E)</w:t>
      </w:r>
    </w:p>
    <w:p>
      <w:pPr>
        <w:spacing w:after="0" w:line="2"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45" w:lineRule="exact"/>
        <w:rPr>
          <w:sz w:val="20"/>
          <w:szCs w:val="20"/>
          <w:color w:val="auto"/>
        </w:rPr>
      </w:pPr>
    </w:p>
    <w:p>
      <w:pPr>
        <w:ind w:left="844" w:right="5540" w:hanging="790"/>
        <w:spacing w:after="0" w:line="339" w:lineRule="auto"/>
        <w:tabs>
          <w:tab w:leader="none" w:pos="844"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 United States of America</w:t>
      </w:r>
    </w:p>
    <w:p>
      <w:pPr>
        <w:spacing w:after="0" w:line="1" w:lineRule="exact"/>
        <w:rPr>
          <w:sz w:val="20"/>
          <w:szCs w:val="20"/>
          <w:color w:val="auto"/>
        </w:rPr>
      </w:pPr>
    </w:p>
    <w:p>
      <w:pPr>
        <w:ind w:left="3284" w:hanging="414"/>
        <w:spacing w:after="0"/>
        <w:tabs>
          <w:tab w:leader="none" w:pos="3284"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SOLE VOTING POWER</w:t>
      </w:r>
    </w:p>
    <w:p>
      <w:pPr>
        <w:spacing w:after="0" w:line="165" w:lineRule="exact"/>
        <w:rPr>
          <w:sz w:val="20"/>
          <w:szCs w:val="20"/>
          <w:color w:val="auto"/>
        </w:rPr>
      </w:pPr>
    </w:p>
    <w:tbl>
      <w:tblPr>
        <w:tblLayout w:type="fixed"/>
        <w:tblInd w:w="204" w:type="dxa"/>
        <w:tblCellMar>
          <w:top w:w="0" w:type="dxa"/>
          <w:left w:w="0" w:type="dxa"/>
          <w:bottom w:w="0" w:type="dxa"/>
          <w:right w:w="0" w:type="dxa"/>
        </w:tblCellMar>
      </w:tblPr>
      <w:tr>
        <w:trPr>
          <w:trHeight w:val="253"/>
        </w:trPr>
        <w:tc>
          <w:tcPr>
            <w:tcW w:w="2360" w:type="dxa"/>
            <w:vAlign w:val="bottom"/>
          </w:tcPr>
          <w:p>
            <w:pPr>
              <w:jc w:val="center"/>
              <w:ind w:right="712"/>
              <w:spacing w:after="0"/>
              <w:rPr>
                <w:sz w:val="20"/>
                <w:szCs w:val="20"/>
                <w:color w:val="auto"/>
              </w:rPr>
            </w:pPr>
            <w:r>
              <w:rPr>
                <w:rFonts w:ascii="Arial" w:cs="Arial" w:eastAsia="Arial" w:hAnsi="Arial"/>
                <w:sz w:val="22"/>
                <w:szCs w:val="22"/>
                <w:color w:val="auto"/>
                <w:w w:val="95"/>
              </w:rPr>
              <w:t>NUMBER OF</w:t>
            </w:r>
          </w:p>
        </w:tc>
        <w:tc>
          <w:tcPr>
            <w:tcW w:w="600" w:type="dxa"/>
            <w:vAlign w:val="bottom"/>
          </w:tcPr>
          <w:p>
            <w:pPr>
              <w:spacing w:after="0"/>
              <w:rPr>
                <w:sz w:val="21"/>
                <w:szCs w:val="21"/>
                <w:color w:val="auto"/>
              </w:rPr>
            </w:pPr>
          </w:p>
        </w:tc>
        <w:tc>
          <w:tcPr>
            <w:tcW w:w="7620" w:type="dxa"/>
            <w:vAlign w:val="bottom"/>
          </w:tcPr>
          <w:p>
            <w:pPr>
              <w:ind w:left="120"/>
              <w:spacing w:after="0"/>
              <w:rPr>
                <w:sz w:val="20"/>
                <w:szCs w:val="20"/>
                <w:color w:val="auto"/>
              </w:rPr>
            </w:pPr>
            <w:r>
              <w:rPr>
                <w:rFonts w:ascii="Arial" w:cs="Arial" w:eastAsia="Arial" w:hAnsi="Arial"/>
                <w:sz w:val="22"/>
                <w:szCs w:val="22"/>
                <w:color w:val="auto"/>
              </w:rPr>
              <w:t>2,470,649</w:t>
            </w:r>
          </w:p>
        </w:tc>
        <w:tc>
          <w:tcPr>
            <w:tcW w:w="0" w:type="dxa"/>
            <w:vAlign w:val="bottom"/>
          </w:tcPr>
          <w:p>
            <w:pPr>
              <w:spacing w:after="0"/>
              <w:rPr>
                <w:sz w:val="1"/>
                <w:szCs w:val="1"/>
                <w:color w:val="auto"/>
              </w:rPr>
            </w:pPr>
          </w:p>
        </w:tc>
      </w:tr>
      <w:tr>
        <w:trPr>
          <w:trHeight w:val="35"/>
        </w:trPr>
        <w:tc>
          <w:tcPr>
            <w:tcW w:w="2360" w:type="dxa"/>
            <w:vAlign w:val="bottom"/>
            <w:vMerge w:val="restart"/>
          </w:tcPr>
          <w:p>
            <w:pPr>
              <w:jc w:val="center"/>
              <w:ind w:right="712"/>
              <w:spacing w:after="0" w:line="243" w:lineRule="exact"/>
              <w:rPr>
                <w:sz w:val="20"/>
                <w:szCs w:val="20"/>
                <w:color w:val="auto"/>
              </w:rPr>
            </w:pPr>
            <w:r>
              <w:rPr>
                <w:rFonts w:ascii="Arial" w:cs="Arial" w:eastAsia="Arial" w:hAnsi="Arial"/>
                <w:sz w:val="22"/>
                <w:szCs w:val="22"/>
                <w:color w:val="auto"/>
                <w:w w:val="90"/>
              </w:rPr>
              <w:t>SHARES</w:t>
            </w:r>
          </w:p>
        </w:tc>
        <w:tc>
          <w:tcPr>
            <w:tcW w:w="60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360" w:type="dxa"/>
            <w:vAlign w:val="bottom"/>
            <w:vMerge w:val="continue"/>
          </w:tcPr>
          <w:p>
            <w:pPr>
              <w:spacing w:after="0"/>
              <w:rPr>
                <w:sz w:val="16"/>
                <w:szCs w:val="16"/>
                <w:color w:val="auto"/>
              </w:rPr>
            </w:pPr>
          </w:p>
        </w:tc>
        <w:tc>
          <w:tcPr>
            <w:tcW w:w="600" w:type="dxa"/>
            <w:vAlign w:val="bottom"/>
          </w:tcPr>
          <w:p>
            <w:pPr>
              <w:jc w:val="center"/>
              <w:ind w:left="14"/>
              <w:spacing w:after="0" w:line="188" w:lineRule="exact"/>
              <w:rPr>
                <w:sz w:val="20"/>
                <w:szCs w:val="20"/>
                <w:color w:val="auto"/>
              </w:rPr>
            </w:pPr>
            <w:r>
              <w:rPr>
                <w:rFonts w:ascii="Arial" w:cs="Arial" w:eastAsia="Arial" w:hAnsi="Arial"/>
                <w:sz w:val="21"/>
                <w:szCs w:val="21"/>
                <w:b w:val="1"/>
                <w:bCs w:val="1"/>
                <w:color w:val="auto"/>
              </w:rPr>
              <w:t>8</w:t>
            </w:r>
          </w:p>
        </w:tc>
        <w:tc>
          <w:tcPr>
            <w:tcW w:w="7620" w:type="dxa"/>
            <w:vAlign w:val="bottom"/>
          </w:tcPr>
          <w:p>
            <w:pPr>
              <w:ind w:left="120"/>
              <w:spacing w:after="0" w:line="188" w:lineRule="exact"/>
              <w:rPr>
                <w:sz w:val="20"/>
                <w:szCs w:val="20"/>
                <w:color w:val="auto"/>
              </w:rPr>
            </w:pPr>
            <w:r>
              <w:rPr>
                <w:rFonts w:ascii="Arial" w:cs="Arial" w:eastAsia="Arial" w:hAnsi="Arial"/>
                <w:sz w:val="21"/>
                <w:szCs w:val="21"/>
                <w:color w:val="auto"/>
              </w:rPr>
              <w:t>SHARED VOTING POWER</w:t>
            </w:r>
          </w:p>
        </w:tc>
        <w:tc>
          <w:tcPr>
            <w:tcW w:w="0" w:type="dxa"/>
            <w:vAlign w:val="bottom"/>
          </w:tcPr>
          <w:p>
            <w:pPr>
              <w:spacing w:after="0"/>
              <w:rPr>
                <w:sz w:val="1"/>
                <w:szCs w:val="1"/>
                <w:color w:val="auto"/>
              </w:rPr>
            </w:pPr>
          </w:p>
        </w:tc>
      </w:tr>
      <w:tr>
        <w:trPr>
          <w:trHeight w:val="243"/>
        </w:trPr>
        <w:tc>
          <w:tcPr>
            <w:tcW w:w="2360" w:type="dxa"/>
            <w:vAlign w:val="bottom"/>
          </w:tcPr>
          <w:p>
            <w:pPr>
              <w:jc w:val="center"/>
              <w:ind w:right="712"/>
              <w:spacing w:after="0" w:line="243" w:lineRule="exact"/>
              <w:rPr>
                <w:sz w:val="20"/>
                <w:szCs w:val="20"/>
                <w:color w:val="auto"/>
              </w:rPr>
            </w:pPr>
            <w:r>
              <w:rPr>
                <w:rFonts w:ascii="Arial" w:cs="Arial" w:eastAsia="Arial" w:hAnsi="Arial"/>
                <w:sz w:val="22"/>
                <w:szCs w:val="22"/>
                <w:color w:val="auto"/>
                <w:w w:val="99"/>
              </w:rPr>
              <w:t>BENEFICIALLY</w:t>
            </w:r>
          </w:p>
        </w:tc>
        <w:tc>
          <w:tcPr>
            <w:tcW w:w="60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jc w:val="center"/>
              <w:ind w:right="732"/>
              <w:spacing w:after="0" w:line="243" w:lineRule="exact"/>
              <w:rPr>
                <w:sz w:val="20"/>
                <w:szCs w:val="20"/>
                <w:color w:val="auto"/>
              </w:rPr>
            </w:pPr>
            <w:r>
              <w:rPr>
                <w:rFonts w:ascii="Arial" w:cs="Arial" w:eastAsia="Arial" w:hAnsi="Arial"/>
                <w:sz w:val="22"/>
                <w:szCs w:val="22"/>
                <w:color w:val="auto"/>
                <w:w w:val="96"/>
              </w:rPr>
              <w:t>OWNED BY</w:t>
            </w:r>
          </w:p>
        </w:tc>
        <w:tc>
          <w:tcPr>
            <w:tcW w:w="600" w:type="dxa"/>
            <w:vAlign w:val="bottom"/>
          </w:tcPr>
          <w:p>
            <w:pPr>
              <w:spacing w:after="0"/>
              <w:rPr>
                <w:sz w:val="21"/>
                <w:szCs w:val="21"/>
                <w:color w:val="auto"/>
              </w:rPr>
            </w:pP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8,616,834</w:t>
            </w:r>
          </w:p>
        </w:tc>
        <w:tc>
          <w:tcPr>
            <w:tcW w:w="0" w:type="dxa"/>
            <w:vAlign w:val="bottom"/>
          </w:tcPr>
          <w:p>
            <w:pPr>
              <w:spacing w:after="0"/>
              <w:rPr>
                <w:sz w:val="1"/>
                <w:szCs w:val="1"/>
                <w:color w:val="auto"/>
              </w:rPr>
            </w:pPr>
          </w:p>
        </w:tc>
      </w:tr>
      <w:tr>
        <w:trPr>
          <w:trHeight w:val="21"/>
        </w:trPr>
        <w:tc>
          <w:tcPr>
            <w:tcW w:w="2360" w:type="dxa"/>
            <w:vAlign w:val="bottom"/>
            <w:vMerge w:val="restart"/>
          </w:tcPr>
          <w:p>
            <w:pPr>
              <w:jc w:val="center"/>
              <w:ind w:right="712"/>
              <w:spacing w:after="0" w:line="243" w:lineRule="exact"/>
              <w:rPr>
                <w:sz w:val="20"/>
                <w:szCs w:val="20"/>
                <w:color w:val="auto"/>
              </w:rPr>
            </w:pPr>
            <w:r>
              <w:rPr>
                <w:rFonts w:ascii="Arial" w:cs="Arial" w:eastAsia="Arial" w:hAnsi="Arial"/>
                <w:sz w:val="22"/>
                <w:szCs w:val="22"/>
                <w:color w:val="auto"/>
                <w:w w:val="94"/>
              </w:rPr>
              <w:t>EACH</w:t>
            </w:r>
          </w:p>
        </w:tc>
        <w:tc>
          <w:tcPr>
            <w:tcW w:w="60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360" w:type="dxa"/>
            <w:vAlign w:val="bottom"/>
            <w:vMerge w:val="continue"/>
          </w:tcPr>
          <w:p>
            <w:pPr>
              <w:spacing w:after="0"/>
              <w:rPr>
                <w:sz w:val="17"/>
                <w:szCs w:val="17"/>
                <w:color w:val="auto"/>
              </w:rPr>
            </w:pPr>
          </w:p>
        </w:tc>
        <w:tc>
          <w:tcPr>
            <w:tcW w:w="600" w:type="dxa"/>
            <w:vAlign w:val="bottom"/>
          </w:tcPr>
          <w:p>
            <w:pPr>
              <w:jc w:val="center"/>
              <w:ind w:left="14"/>
              <w:spacing w:after="0" w:line="202" w:lineRule="exact"/>
              <w:rPr>
                <w:sz w:val="20"/>
                <w:szCs w:val="20"/>
                <w:color w:val="auto"/>
              </w:rPr>
            </w:pPr>
            <w:r>
              <w:rPr>
                <w:rFonts w:ascii="Arial" w:cs="Arial" w:eastAsia="Arial" w:hAnsi="Arial"/>
                <w:sz w:val="22"/>
                <w:szCs w:val="22"/>
                <w:b w:val="1"/>
                <w:bCs w:val="1"/>
                <w:color w:val="auto"/>
                <w:w w:val="97"/>
              </w:rPr>
              <w:t>9</w:t>
            </w:r>
          </w:p>
        </w:tc>
        <w:tc>
          <w:tcPr>
            <w:tcW w:w="7620" w:type="dxa"/>
            <w:vAlign w:val="bottom"/>
          </w:tcPr>
          <w:p>
            <w:pPr>
              <w:ind w:left="120"/>
              <w:spacing w:after="0" w:line="202"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43"/>
        </w:trPr>
        <w:tc>
          <w:tcPr>
            <w:tcW w:w="2360" w:type="dxa"/>
            <w:vAlign w:val="bottom"/>
          </w:tcPr>
          <w:p>
            <w:pPr>
              <w:jc w:val="center"/>
              <w:ind w:right="732"/>
              <w:spacing w:after="0" w:line="243" w:lineRule="exact"/>
              <w:rPr>
                <w:sz w:val="20"/>
                <w:szCs w:val="20"/>
                <w:color w:val="auto"/>
              </w:rPr>
            </w:pPr>
            <w:r>
              <w:rPr>
                <w:rFonts w:ascii="Arial" w:cs="Arial" w:eastAsia="Arial" w:hAnsi="Arial"/>
                <w:sz w:val="22"/>
                <w:szCs w:val="22"/>
                <w:color w:val="auto"/>
                <w:w w:val="91"/>
              </w:rPr>
              <w:t>REPORTING</w:t>
            </w:r>
          </w:p>
        </w:tc>
        <w:tc>
          <w:tcPr>
            <w:tcW w:w="600" w:type="dxa"/>
            <w:vAlign w:val="bottom"/>
          </w:tcPr>
          <w:p>
            <w:pPr>
              <w:spacing w:after="0"/>
              <w:rPr>
                <w:sz w:val="21"/>
                <w:szCs w:val="21"/>
                <w:color w:val="auto"/>
              </w:rPr>
            </w:pPr>
          </w:p>
        </w:tc>
        <w:tc>
          <w:tcPr>
            <w:tcW w:w="7620" w:type="dxa"/>
            <w:vAlign w:val="bottom"/>
            <w:vMerge w:val="restart"/>
          </w:tcPr>
          <w:p>
            <w:pPr>
              <w:ind w:left="120"/>
              <w:spacing w:after="0"/>
              <w:rPr>
                <w:sz w:val="20"/>
                <w:szCs w:val="20"/>
                <w:color w:val="auto"/>
              </w:rPr>
            </w:pPr>
            <w:r>
              <w:rPr>
                <w:rFonts w:ascii="Arial" w:cs="Arial" w:eastAsia="Arial" w:hAnsi="Arial"/>
                <w:sz w:val="22"/>
                <w:szCs w:val="22"/>
                <w:color w:val="auto"/>
              </w:rPr>
              <w:t>238,100</w:t>
            </w:r>
          </w:p>
        </w:tc>
        <w:tc>
          <w:tcPr>
            <w:tcW w:w="0" w:type="dxa"/>
            <w:vAlign w:val="bottom"/>
          </w:tcPr>
          <w:p>
            <w:pPr>
              <w:spacing w:after="0"/>
              <w:rPr>
                <w:sz w:val="1"/>
                <w:szCs w:val="1"/>
                <w:color w:val="auto"/>
              </w:rPr>
            </w:pPr>
          </w:p>
        </w:tc>
      </w:tr>
      <w:tr>
        <w:trPr>
          <w:trHeight w:val="251"/>
        </w:trPr>
        <w:tc>
          <w:tcPr>
            <w:tcW w:w="2360" w:type="dxa"/>
            <w:vAlign w:val="bottom"/>
          </w:tcPr>
          <w:p>
            <w:pPr>
              <w:jc w:val="center"/>
              <w:ind w:right="712"/>
              <w:spacing w:after="0" w:line="251" w:lineRule="exact"/>
              <w:rPr>
                <w:sz w:val="20"/>
                <w:szCs w:val="20"/>
                <w:color w:val="auto"/>
              </w:rPr>
            </w:pPr>
            <w:r>
              <w:rPr>
                <w:rFonts w:ascii="Arial" w:cs="Arial" w:eastAsia="Arial" w:hAnsi="Arial"/>
                <w:sz w:val="22"/>
                <w:szCs w:val="22"/>
                <w:color w:val="auto"/>
                <w:w w:val="88"/>
              </w:rPr>
              <w:t>PERSON</w:t>
            </w:r>
          </w:p>
        </w:tc>
        <w:tc>
          <w:tcPr>
            <w:tcW w:w="60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60" w:type="dxa"/>
            <w:vAlign w:val="bottom"/>
          </w:tcPr>
          <w:p>
            <w:pPr>
              <w:jc w:val="center"/>
              <w:ind w:right="712"/>
              <w:spacing w:after="0"/>
              <w:rPr>
                <w:sz w:val="20"/>
                <w:szCs w:val="20"/>
                <w:color w:val="auto"/>
              </w:rPr>
            </w:pPr>
            <w:r>
              <w:rPr>
                <w:rFonts w:ascii="Arial" w:cs="Arial" w:eastAsia="Arial" w:hAnsi="Arial"/>
                <w:sz w:val="22"/>
                <w:szCs w:val="22"/>
                <w:color w:val="auto"/>
              </w:rPr>
              <w:t>WITH</w:t>
            </w:r>
          </w:p>
        </w:tc>
        <w:tc>
          <w:tcPr>
            <w:tcW w:w="600" w:type="dxa"/>
            <w:vAlign w:val="bottom"/>
          </w:tcPr>
          <w:p>
            <w:pPr>
              <w:jc w:val="center"/>
              <w:ind w:left="14"/>
              <w:spacing w:after="0"/>
              <w:rPr>
                <w:sz w:val="20"/>
                <w:szCs w:val="20"/>
                <w:color w:val="auto"/>
              </w:rPr>
            </w:pPr>
            <w:r>
              <w:rPr>
                <w:rFonts w:ascii="Arial" w:cs="Arial" w:eastAsia="Arial" w:hAnsi="Arial"/>
                <w:sz w:val="22"/>
                <w:szCs w:val="22"/>
                <w:b w:val="1"/>
                <w:bCs w:val="1"/>
                <w:color w:val="auto"/>
                <w:w w:val="81"/>
              </w:rPr>
              <w:t>10</w:t>
            </w:r>
          </w:p>
        </w:tc>
        <w:tc>
          <w:tcPr>
            <w:tcW w:w="7620" w:type="dxa"/>
            <w:vAlign w:val="bottom"/>
          </w:tcPr>
          <w:p>
            <w:pPr>
              <w:ind w:left="12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284"/>
        <w:spacing w:after="0"/>
        <w:rPr>
          <w:sz w:val="20"/>
          <w:szCs w:val="20"/>
          <w:color w:val="auto"/>
        </w:rPr>
      </w:pPr>
      <w:r>
        <w:rPr>
          <w:rFonts w:ascii="Arial" w:cs="Arial" w:eastAsia="Arial" w:hAnsi="Arial"/>
          <w:sz w:val="22"/>
          <w:szCs w:val="22"/>
          <w:color w:val="auto"/>
        </w:rPr>
        <w:t>8,616,834</w:t>
      </w:r>
    </w:p>
    <w:p>
      <w:pPr>
        <w:spacing w:after="0" w:line="22" w:lineRule="exact"/>
        <w:rPr>
          <w:sz w:val="20"/>
          <w:szCs w:val="20"/>
          <w:color w:val="auto"/>
        </w:rPr>
      </w:pPr>
    </w:p>
    <w:p>
      <w:pPr>
        <w:ind w:left="844" w:right="2060" w:hanging="838"/>
        <w:spacing w:after="0" w:line="339" w:lineRule="auto"/>
        <w:tabs>
          <w:tab w:leader="none" w:pos="844" w:val="left"/>
        </w:tabs>
        <w:numPr>
          <w:ilvl w:val="0"/>
          <w:numId w:val="9"/>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 11,087,483</w:t>
      </w:r>
    </w:p>
    <w:p>
      <w:pPr>
        <w:spacing w:after="0" w:line="1" w:lineRule="exact"/>
        <w:rPr>
          <w:rFonts w:ascii="Arial" w:cs="Arial" w:eastAsia="Arial" w:hAnsi="Arial"/>
          <w:sz w:val="22"/>
          <w:szCs w:val="22"/>
          <w:b w:val="1"/>
          <w:bCs w:val="1"/>
          <w:color w:val="auto"/>
        </w:rPr>
      </w:pPr>
    </w:p>
    <w:p>
      <w:pPr>
        <w:ind w:left="844" w:right="840" w:hanging="844"/>
        <w:spacing w:after="0" w:line="233" w:lineRule="auto"/>
        <w:tabs>
          <w:tab w:leader="none" w:pos="844" w:val="left"/>
        </w:tabs>
        <w:numPr>
          <w:ilvl w:val="0"/>
          <w:numId w:val="9"/>
        </w:numPr>
        <w:rPr>
          <w:rFonts w:ascii="Arial" w:cs="Arial" w:eastAsia="Arial" w:hAnsi="Arial"/>
          <w:sz w:val="22"/>
          <w:szCs w:val="22"/>
          <w:b w:val="1"/>
          <w:bCs w:val="1"/>
          <w:color w:val="auto"/>
        </w:rPr>
      </w:pPr>
      <w:r>
        <w:rPr>
          <w:rFonts w:ascii="Arial" w:cs="Arial" w:eastAsia="Arial" w:hAnsi="Arial"/>
          <w:sz w:val="22"/>
          <w:szCs w:val="22"/>
          <w:color w:val="auto"/>
        </w:rPr>
        <w:t>CHECK BOX IF THE AGGREGATE AMOUNT IN ROW (11) EXCLUDES CERTAIN SHARES (SEE INSTRUCTIONS)</w:t>
      </w:r>
    </w:p>
    <w:p>
      <w:pPr>
        <w:spacing w:after="0" w:line="1"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43" w:lineRule="exact"/>
        <w:rPr>
          <w:sz w:val="20"/>
          <w:szCs w:val="20"/>
          <w:color w:val="auto"/>
        </w:rPr>
      </w:pPr>
    </w:p>
    <w:p>
      <w:pPr>
        <w:ind w:left="844" w:right="3760" w:hanging="844"/>
        <w:spacing w:after="0" w:line="348" w:lineRule="auto"/>
        <w:tabs>
          <w:tab w:leader="none" w:pos="844" w:val="left"/>
        </w:tabs>
        <w:numPr>
          <w:ilvl w:val="0"/>
          <w:numId w:val="10"/>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 (11) 7.6%</w:t>
      </w:r>
    </w:p>
    <w:p>
      <w:pPr>
        <w:ind w:left="844" w:right="4740" w:hanging="844"/>
        <w:spacing w:after="0" w:line="439" w:lineRule="auto"/>
        <w:tabs>
          <w:tab w:leader="none" w:pos="844" w:val="left"/>
        </w:tabs>
        <w:numPr>
          <w:ilvl w:val="0"/>
          <w:numId w:val="10"/>
        </w:numPr>
        <w:rPr>
          <w:rFonts w:ascii="Arial" w:cs="Arial" w:eastAsia="Arial" w:hAnsi="Arial"/>
          <w:sz w:val="22"/>
          <w:szCs w:val="22"/>
          <w:b w:val="1"/>
          <w:bCs w:val="1"/>
          <w:color w:val="auto"/>
        </w:rPr>
      </w:pPr>
      <w:r>
        <w:rPr>
          <w:rFonts w:ascii="Arial" w:cs="Arial" w:eastAsia="Arial" w:hAnsi="Arial"/>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426720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4"/>
          </w:cols>
          <w:pgMar w:left="876" w:top="132" w:right="239" w:bottom="1440" w:gutter="0" w:footer="0" w:header="0"/>
        </w:sectPr>
      </w:pPr>
    </w:p>
    <w:bookmarkStart w:id="2" w:name="page3"/>
    <w:bookmarkEnd w:id="2"/>
    <w:p>
      <w:pPr>
        <w:ind w:left="844" w:right="6600" w:hanging="790"/>
        <w:spacing w:after="0" w:line="251" w:lineRule="auto"/>
        <w:tabs>
          <w:tab w:leader="none" w:pos="844"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NAMES OF REPORTING PERSONS Marc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-330200</wp:posOffset>
            </wp:positionV>
            <wp:extent cx="7248525" cy="6305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6305550"/>
                    </a:xfrm>
                    <a:prstGeom prst="rect">
                      <a:avLst/>
                    </a:prstGeom>
                    <a:noFill/>
                  </pic:spPr>
                </pic:pic>
              </a:graphicData>
            </a:graphic>
          </wp:anchor>
        </w:drawing>
      </w:r>
    </w:p>
    <w:p>
      <w:pPr>
        <w:spacing w:after="0" w:line="167" w:lineRule="exact"/>
        <w:rPr>
          <w:sz w:val="20"/>
          <w:szCs w:val="20"/>
          <w:color w:val="auto"/>
        </w:rPr>
      </w:pPr>
    </w:p>
    <w:p>
      <w:pPr>
        <w:ind w:left="844" w:hanging="790"/>
        <w:spacing w:after="0"/>
        <w:tabs>
          <w:tab w:leader="none" w:pos="844" w:val="left"/>
        </w:tabs>
        <w:numPr>
          <w:ilvl w:val="0"/>
          <w:numId w:val="12"/>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(SEE INSTRUCTIONS)</w:t>
      </w:r>
    </w:p>
    <w:p>
      <w:pPr>
        <w:spacing w:after="0" w:line="14" w:lineRule="exact"/>
        <w:rPr>
          <w:sz w:val="20"/>
          <w:szCs w:val="20"/>
          <w:color w:val="auto"/>
        </w:rPr>
      </w:pPr>
    </w:p>
    <w:p>
      <w:pPr>
        <w:jc w:val="right"/>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p>
      <w:pPr>
        <w:spacing w:after="0" w:line="4" w:lineRule="exact"/>
        <w:rPr>
          <w:sz w:val="20"/>
          <w:szCs w:val="20"/>
          <w:color w:val="auto"/>
        </w:rPr>
      </w:pPr>
    </w:p>
    <w:p>
      <w:pPr>
        <w:jc w:val="right"/>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12" w:lineRule="exact"/>
        <w:rPr>
          <w:sz w:val="20"/>
          <w:szCs w:val="20"/>
          <w:color w:val="auto"/>
        </w:rPr>
      </w:pPr>
    </w:p>
    <w:p>
      <w:pPr>
        <w:ind w:left="844" w:hanging="790"/>
        <w:spacing w:after="0"/>
        <w:tabs>
          <w:tab w:leader="none" w:pos="844" w:val="left"/>
        </w:tabs>
        <w:numPr>
          <w:ilvl w:val="0"/>
          <w:numId w:val="13"/>
        </w:numPr>
        <w:rPr>
          <w:rFonts w:ascii="Arial" w:cs="Arial" w:eastAsia="Arial" w:hAnsi="Arial"/>
          <w:sz w:val="22"/>
          <w:szCs w:val="22"/>
          <w:b w:val="1"/>
          <w:bCs w:val="1"/>
          <w:color w:val="auto"/>
        </w:rPr>
      </w:pPr>
      <w:r>
        <w:rPr>
          <w:rFonts w:ascii="Arial" w:cs="Arial" w:eastAsia="Arial" w:hAnsi="Arial"/>
          <w:sz w:val="22"/>
          <w:szCs w:val="22"/>
          <w:color w:val="auto"/>
        </w:rPr>
        <w:t>SEC USE ONLY</w:t>
      </w:r>
    </w:p>
    <w:p>
      <w:pPr>
        <w:spacing w:after="0" w:line="202" w:lineRule="exact"/>
        <w:rPr>
          <w:sz w:val="20"/>
          <w:szCs w:val="20"/>
          <w:color w:val="auto"/>
        </w:rPr>
      </w:pPr>
    </w:p>
    <w:p>
      <w:pPr>
        <w:ind w:left="844" w:right="5800" w:hanging="790"/>
        <w:spacing w:after="0" w:line="245" w:lineRule="auto"/>
        <w:tabs>
          <w:tab w:leader="none" w:pos="844" w:val="left"/>
        </w:tabs>
        <w:numPr>
          <w:ilvl w:val="0"/>
          <w:numId w:val="14"/>
        </w:numPr>
        <w:rPr>
          <w:rFonts w:ascii="Arial" w:cs="Arial" w:eastAsia="Arial" w:hAnsi="Arial"/>
          <w:sz w:val="22"/>
          <w:szCs w:val="22"/>
          <w:b w:val="1"/>
          <w:bCs w:val="1"/>
          <w:color w:val="auto"/>
        </w:rPr>
      </w:pPr>
      <w:r>
        <w:rPr>
          <w:rFonts w:ascii="Arial" w:cs="Arial" w:eastAsia="Arial" w:hAnsi="Arial"/>
          <w:sz w:val="22"/>
          <w:szCs w:val="22"/>
          <w:color w:val="auto"/>
        </w:rPr>
        <w:t>SOURCE OF FUNDS (SEE INSTRUCTIONS) OO</w:t>
      </w:r>
    </w:p>
    <w:p>
      <w:pPr>
        <w:spacing w:after="0" w:line="1" w:lineRule="exact"/>
        <w:rPr>
          <w:sz w:val="20"/>
          <w:szCs w:val="20"/>
          <w:color w:val="auto"/>
        </w:rPr>
      </w:pPr>
    </w:p>
    <w:p>
      <w:pPr>
        <w:ind w:left="844" w:right="620" w:hanging="790"/>
        <w:spacing w:after="0" w:line="233" w:lineRule="auto"/>
        <w:tabs>
          <w:tab w:leader="none" w:pos="844" w:val="left"/>
        </w:tabs>
        <w:numPr>
          <w:ilvl w:val="0"/>
          <w:numId w:val="15"/>
        </w:numPr>
        <w:rPr>
          <w:rFonts w:ascii="Arial" w:cs="Arial" w:eastAsia="Arial" w:hAnsi="Arial"/>
          <w:sz w:val="22"/>
          <w:szCs w:val="22"/>
          <w:b w:val="1"/>
          <w:bCs w:val="1"/>
          <w:color w:val="auto"/>
        </w:rPr>
      </w:pPr>
      <w:r>
        <w:rPr>
          <w:rFonts w:ascii="Arial" w:cs="Arial" w:eastAsia="Arial" w:hAnsi="Arial"/>
          <w:sz w:val="22"/>
          <w:szCs w:val="22"/>
          <w:color w:val="auto"/>
        </w:rPr>
        <w:t>CHECK IF DISCLOSURE OF LEGAL PROCEEDINGS IS REQUIRED PURSUANT TO ITEM 2(D) OR 2(E)</w:t>
      </w:r>
    </w:p>
    <w:p>
      <w:pPr>
        <w:spacing w:after="0" w:line="1"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45" w:lineRule="exact"/>
        <w:rPr>
          <w:sz w:val="20"/>
          <w:szCs w:val="20"/>
          <w:color w:val="auto"/>
        </w:rPr>
      </w:pPr>
    </w:p>
    <w:p>
      <w:pPr>
        <w:ind w:left="844" w:right="5540" w:hanging="790"/>
        <w:spacing w:after="0" w:line="339" w:lineRule="auto"/>
        <w:tabs>
          <w:tab w:leader="none" w:pos="844" w:val="left"/>
        </w:tabs>
        <w:numPr>
          <w:ilvl w:val="0"/>
          <w:numId w:val="16"/>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 United States of America</w:t>
      </w:r>
    </w:p>
    <w:p>
      <w:pPr>
        <w:spacing w:after="0" w:line="1" w:lineRule="exact"/>
        <w:rPr>
          <w:sz w:val="20"/>
          <w:szCs w:val="20"/>
          <w:color w:val="auto"/>
        </w:rPr>
      </w:pPr>
    </w:p>
    <w:p>
      <w:pPr>
        <w:ind w:left="3284" w:hanging="414"/>
        <w:spacing w:after="0"/>
        <w:tabs>
          <w:tab w:leader="none" w:pos="3284" w:val="left"/>
        </w:tabs>
        <w:numPr>
          <w:ilvl w:val="0"/>
          <w:numId w:val="17"/>
        </w:numPr>
        <w:rPr>
          <w:rFonts w:ascii="Arial" w:cs="Arial" w:eastAsia="Arial" w:hAnsi="Arial"/>
          <w:sz w:val="22"/>
          <w:szCs w:val="22"/>
          <w:b w:val="1"/>
          <w:bCs w:val="1"/>
          <w:color w:val="auto"/>
        </w:rPr>
      </w:pPr>
      <w:r>
        <w:rPr>
          <w:rFonts w:ascii="Arial" w:cs="Arial" w:eastAsia="Arial" w:hAnsi="Arial"/>
          <w:sz w:val="22"/>
          <w:szCs w:val="22"/>
          <w:color w:val="auto"/>
        </w:rPr>
        <w:t>SOLE VOTING POWER</w:t>
      </w:r>
    </w:p>
    <w:p>
      <w:pPr>
        <w:spacing w:after="0" w:line="165" w:lineRule="exact"/>
        <w:rPr>
          <w:sz w:val="20"/>
          <w:szCs w:val="20"/>
          <w:color w:val="auto"/>
        </w:rPr>
      </w:pPr>
    </w:p>
    <w:tbl>
      <w:tblPr>
        <w:tblLayout w:type="fixed"/>
        <w:tblInd w:w="204" w:type="dxa"/>
        <w:tblCellMar>
          <w:top w:w="0" w:type="dxa"/>
          <w:left w:w="0" w:type="dxa"/>
          <w:bottom w:w="0" w:type="dxa"/>
          <w:right w:w="0" w:type="dxa"/>
        </w:tblCellMar>
      </w:tblPr>
      <w:tr>
        <w:trPr>
          <w:trHeight w:val="253"/>
        </w:trPr>
        <w:tc>
          <w:tcPr>
            <w:tcW w:w="2360" w:type="dxa"/>
            <w:vAlign w:val="bottom"/>
          </w:tcPr>
          <w:p>
            <w:pPr>
              <w:jc w:val="center"/>
              <w:ind w:right="712"/>
              <w:spacing w:after="0"/>
              <w:rPr>
                <w:sz w:val="20"/>
                <w:szCs w:val="20"/>
                <w:color w:val="auto"/>
              </w:rPr>
            </w:pPr>
            <w:r>
              <w:rPr>
                <w:rFonts w:ascii="Arial" w:cs="Arial" w:eastAsia="Arial" w:hAnsi="Arial"/>
                <w:sz w:val="22"/>
                <w:szCs w:val="22"/>
                <w:color w:val="auto"/>
                <w:w w:val="95"/>
              </w:rPr>
              <w:t>NUMBER OF</w:t>
            </w:r>
          </w:p>
        </w:tc>
        <w:tc>
          <w:tcPr>
            <w:tcW w:w="600" w:type="dxa"/>
            <w:vAlign w:val="bottom"/>
          </w:tcPr>
          <w:p>
            <w:pPr>
              <w:spacing w:after="0"/>
              <w:rPr>
                <w:sz w:val="21"/>
                <w:szCs w:val="21"/>
                <w:color w:val="auto"/>
              </w:rPr>
            </w:pPr>
          </w:p>
        </w:tc>
        <w:tc>
          <w:tcPr>
            <w:tcW w:w="7620" w:type="dxa"/>
            <w:vAlign w:val="bottom"/>
          </w:tcPr>
          <w:p>
            <w:pPr>
              <w:ind w:left="120"/>
              <w:spacing w:after="0"/>
              <w:rPr>
                <w:sz w:val="20"/>
                <w:szCs w:val="20"/>
                <w:color w:val="auto"/>
              </w:rPr>
            </w:pPr>
            <w:r>
              <w:rPr>
                <w:rFonts w:ascii="Arial" w:cs="Arial" w:eastAsia="Arial" w:hAnsi="Arial"/>
                <w:sz w:val="22"/>
                <w:szCs w:val="22"/>
                <w:color w:val="auto"/>
              </w:rPr>
              <w:t>29,119</w:t>
            </w:r>
          </w:p>
        </w:tc>
        <w:tc>
          <w:tcPr>
            <w:tcW w:w="0" w:type="dxa"/>
            <w:vAlign w:val="bottom"/>
          </w:tcPr>
          <w:p>
            <w:pPr>
              <w:spacing w:after="0"/>
              <w:rPr>
                <w:sz w:val="1"/>
                <w:szCs w:val="1"/>
                <w:color w:val="auto"/>
              </w:rPr>
            </w:pPr>
          </w:p>
        </w:tc>
      </w:tr>
      <w:tr>
        <w:trPr>
          <w:trHeight w:val="35"/>
        </w:trPr>
        <w:tc>
          <w:tcPr>
            <w:tcW w:w="2360" w:type="dxa"/>
            <w:vAlign w:val="bottom"/>
            <w:vMerge w:val="restart"/>
          </w:tcPr>
          <w:p>
            <w:pPr>
              <w:jc w:val="center"/>
              <w:ind w:right="712"/>
              <w:spacing w:after="0" w:line="243" w:lineRule="exact"/>
              <w:rPr>
                <w:sz w:val="20"/>
                <w:szCs w:val="20"/>
                <w:color w:val="auto"/>
              </w:rPr>
            </w:pPr>
            <w:r>
              <w:rPr>
                <w:rFonts w:ascii="Arial" w:cs="Arial" w:eastAsia="Arial" w:hAnsi="Arial"/>
                <w:sz w:val="22"/>
                <w:szCs w:val="22"/>
                <w:color w:val="auto"/>
                <w:w w:val="90"/>
              </w:rPr>
              <w:t>SHARES</w:t>
            </w:r>
          </w:p>
        </w:tc>
        <w:tc>
          <w:tcPr>
            <w:tcW w:w="60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360" w:type="dxa"/>
            <w:vAlign w:val="bottom"/>
            <w:vMerge w:val="continue"/>
          </w:tcPr>
          <w:p>
            <w:pPr>
              <w:spacing w:after="0"/>
              <w:rPr>
                <w:sz w:val="16"/>
                <w:szCs w:val="16"/>
                <w:color w:val="auto"/>
              </w:rPr>
            </w:pPr>
          </w:p>
        </w:tc>
        <w:tc>
          <w:tcPr>
            <w:tcW w:w="600" w:type="dxa"/>
            <w:vAlign w:val="bottom"/>
          </w:tcPr>
          <w:p>
            <w:pPr>
              <w:jc w:val="center"/>
              <w:ind w:left="14"/>
              <w:spacing w:after="0" w:line="188" w:lineRule="exact"/>
              <w:rPr>
                <w:sz w:val="20"/>
                <w:szCs w:val="20"/>
                <w:color w:val="auto"/>
              </w:rPr>
            </w:pPr>
            <w:r>
              <w:rPr>
                <w:rFonts w:ascii="Arial" w:cs="Arial" w:eastAsia="Arial" w:hAnsi="Arial"/>
                <w:sz w:val="21"/>
                <w:szCs w:val="21"/>
                <w:b w:val="1"/>
                <w:bCs w:val="1"/>
                <w:color w:val="auto"/>
              </w:rPr>
              <w:t>8</w:t>
            </w:r>
          </w:p>
        </w:tc>
        <w:tc>
          <w:tcPr>
            <w:tcW w:w="7620" w:type="dxa"/>
            <w:vAlign w:val="bottom"/>
          </w:tcPr>
          <w:p>
            <w:pPr>
              <w:ind w:left="120"/>
              <w:spacing w:after="0" w:line="188" w:lineRule="exact"/>
              <w:rPr>
                <w:sz w:val="20"/>
                <w:szCs w:val="20"/>
                <w:color w:val="auto"/>
              </w:rPr>
            </w:pPr>
            <w:r>
              <w:rPr>
                <w:rFonts w:ascii="Arial" w:cs="Arial" w:eastAsia="Arial" w:hAnsi="Arial"/>
                <w:sz w:val="21"/>
                <w:szCs w:val="21"/>
                <w:color w:val="auto"/>
              </w:rPr>
              <w:t>SHARED VOTING POWER</w:t>
            </w:r>
          </w:p>
        </w:tc>
        <w:tc>
          <w:tcPr>
            <w:tcW w:w="0" w:type="dxa"/>
            <w:vAlign w:val="bottom"/>
          </w:tcPr>
          <w:p>
            <w:pPr>
              <w:spacing w:after="0"/>
              <w:rPr>
                <w:sz w:val="1"/>
                <w:szCs w:val="1"/>
                <w:color w:val="auto"/>
              </w:rPr>
            </w:pPr>
          </w:p>
        </w:tc>
      </w:tr>
      <w:tr>
        <w:trPr>
          <w:trHeight w:val="243"/>
        </w:trPr>
        <w:tc>
          <w:tcPr>
            <w:tcW w:w="2360" w:type="dxa"/>
            <w:vAlign w:val="bottom"/>
          </w:tcPr>
          <w:p>
            <w:pPr>
              <w:jc w:val="center"/>
              <w:ind w:right="712"/>
              <w:spacing w:after="0" w:line="243" w:lineRule="exact"/>
              <w:rPr>
                <w:sz w:val="20"/>
                <w:szCs w:val="20"/>
                <w:color w:val="auto"/>
              </w:rPr>
            </w:pPr>
            <w:r>
              <w:rPr>
                <w:rFonts w:ascii="Arial" w:cs="Arial" w:eastAsia="Arial" w:hAnsi="Arial"/>
                <w:sz w:val="22"/>
                <w:szCs w:val="22"/>
                <w:color w:val="auto"/>
                <w:w w:val="99"/>
              </w:rPr>
              <w:t>BENEFICIALLY</w:t>
            </w:r>
          </w:p>
        </w:tc>
        <w:tc>
          <w:tcPr>
            <w:tcW w:w="60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jc w:val="center"/>
              <w:ind w:right="732"/>
              <w:spacing w:after="0" w:line="243" w:lineRule="exact"/>
              <w:rPr>
                <w:sz w:val="20"/>
                <w:szCs w:val="20"/>
                <w:color w:val="auto"/>
              </w:rPr>
            </w:pPr>
            <w:r>
              <w:rPr>
                <w:rFonts w:ascii="Arial" w:cs="Arial" w:eastAsia="Arial" w:hAnsi="Arial"/>
                <w:sz w:val="22"/>
                <w:szCs w:val="22"/>
                <w:color w:val="auto"/>
                <w:w w:val="96"/>
              </w:rPr>
              <w:t>OWNED BY</w:t>
            </w:r>
          </w:p>
        </w:tc>
        <w:tc>
          <w:tcPr>
            <w:tcW w:w="600" w:type="dxa"/>
            <w:vAlign w:val="bottom"/>
          </w:tcPr>
          <w:p>
            <w:pPr>
              <w:spacing w:after="0"/>
              <w:rPr>
                <w:sz w:val="21"/>
                <w:szCs w:val="21"/>
                <w:color w:val="auto"/>
              </w:rPr>
            </w:pP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8,616,834</w:t>
            </w:r>
          </w:p>
        </w:tc>
        <w:tc>
          <w:tcPr>
            <w:tcW w:w="0" w:type="dxa"/>
            <w:vAlign w:val="bottom"/>
          </w:tcPr>
          <w:p>
            <w:pPr>
              <w:spacing w:after="0"/>
              <w:rPr>
                <w:sz w:val="1"/>
                <w:szCs w:val="1"/>
                <w:color w:val="auto"/>
              </w:rPr>
            </w:pPr>
          </w:p>
        </w:tc>
      </w:tr>
      <w:tr>
        <w:trPr>
          <w:trHeight w:val="21"/>
        </w:trPr>
        <w:tc>
          <w:tcPr>
            <w:tcW w:w="2360" w:type="dxa"/>
            <w:vAlign w:val="bottom"/>
            <w:vMerge w:val="restart"/>
          </w:tcPr>
          <w:p>
            <w:pPr>
              <w:jc w:val="center"/>
              <w:ind w:right="712"/>
              <w:spacing w:after="0" w:line="243" w:lineRule="exact"/>
              <w:rPr>
                <w:sz w:val="20"/>
                <w:szCs w:val="20"/>
                <w:color w:val="auto"/>
              </w:rPr>
            </w:pPr>
            <w:r>
              <w:rPr>
                <w:rFonts w:ascii="Arial" w:cs="Arial" w:eastAsia="Arial" w:hAnsi="Arial"/>
                <w:sz w:val="22"/>
                <w:szCs w:val="22"/>
                <w:color w:val="auto"/>
                <w:w w:val="94"/>
              </w:rPr>
              <w:t>EACH</w:t>
            </w:r>
          </w:p>
        </w:tc>
        <w:tc>
          <w:tcPr>
            <w:tcW w:w="60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360" w:type="dxa"/>
            <w:vAlign w:val="bottom"/>
            <w:vMerge w:val="continue"/>
          </w:tcPr>
          <w:p>
            <w:pPr>
              <w:spacing w:after="0"/>
              <w:rPr>
                <w:sz w:val="17"/>
                <w:szCs w:val="17"/>
                <w:color w:val="auto"/>
              </w:rPr>
            </w:pPr>
          </w:p>
        </w:tc>
        <w:tc>
          <w:tcPr>
            <w:tcW w:w="600" w:type="dxa"/>
            <w:vAlign w:val="bottom"/>
          </w:tcPr>
          <w:p>
            <w:pPr>
              <w:jc w:val="center"/>
              <w:ind w:left="14"/>
              <w:spacing w:after="0" w:line="202" w:lineRule="exact"/>
              <w:rPr>
                <w:sz w:val="20"/>
                <w:szCs w:val="20"/>
                <w:color w:val="auto"/>
              </w:rPr>
            </w:pPr>
            <w:r>
              <w:rPr>
                <w:rFonts w:ascii="Arial" w:cs="Arial" w:eastAsia="Arial" w:hAnsi="Arial"/>
                <w:sz w:val="22"/>
                <w:szCs w:val="22"/>
                <w:b w:val="1"/>
                <w:bCs w:val="1"/>
                <w:color w:val="auto"/>
                <w:w w:val="97"/>
              </w:rPr>
              <w:t>9</w:t>
            </w:r>
          </w:p>
        </w:tc>
        <w:tc>
          <w:tcPr>
            <w:tcW w:w="7620" w:type="dxa"/>
            <w:vAlign w:val="bottom"/>
          </w:tcPr>
          <w:p>
            <w:pPr>
              <w:ind w:left="120"/>
              <w:spacing w:after="0" w:line="202"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43"/>
        </w:trPr>
        <w:tc>
          <w:tcPr>
            <w:tcW w:w="2360" w:type="dxa"/>
            <w:vAlign w:val="bottom"/>
          </w:tcPr>
          <w:p>
            <w:pPr>
              <w:jc w:val="center"/>
              <w:ind w:right="732"/>
              <w:spacing w:after="0" w:line="243" w:lineRule="exact"/>
              <w:rPr>
                <w:sz w:val="20"/>
                <w:szCs w:val="20"/>
                <w:color w:val="auto"/>
              </w:rPr>
            </w:pPr>
            <w:r>
              <w:rPr>
                <w:rFonts w:ascii="Arial" w:cs="Arial" w:eastAsia="Arial" w:hAnsi="Arial"/>
                <w:sz w:val="22"/>
                <w:szCs w:val="22"/>
                <w:color w:val="auto"/>
                <w:w w:val="91"/>
              </w:rPr>
              <w:t>REPORTING</w:t>
            </w:r>
          </w:p>
        </w:tc>
        <w:tc>
          <w:tcPr>
            <w:tcW w:w="600" w:type="dxa"/>
            <w:vAlign w:val="bottom"/>
          </w:tcPr>
          <w:p>
            <w:pPr>
              <w:spacing w:after="0"/>
              <w:rPr>
                <w:sz w:val="21"/>
                <w:szCs w:val="21"/>
                <w:color w:val="auto"/>
              </w:rPr>
            </w:pPr>
          </w:p>
        </w:tc>
        <w:tc>
          <w:tcPr>
            <w:tcW w:w="7620" w:type="dxa"/>
            <w:vAlign w:val="bottom"/>
            <w:vMerge w:val="restart"/>
          </w:tcPr>
          <w:p>
            <w:pPr>
              <w:ind w:left="120"/>
              <w:spacing w:after="0"/>
              <w:rPr>
                <w:sz w:val="20"/>
                <w:szCs w:val="20"/>
                <w:color w:val="auto"/>
              </w:rPr>
            </w:pPr>
            <w:r>
              <w:rPr>
                <w:rFonts w:ascii="Arial" w:cs="Arial" w:eastAsia="Arial" w:hAnsi="Arial"/>
                <w:sz w:val="22"/>
                <w:szCs w:val="22"/>
                <w:color w:val="auto"/>
              </w:rPr>
              <w:t>29,119</w:t>
            </w:r>
          </w:p>
        </w:tc>
        <w:tc>
          <w:tcPr>
            <w:tcW w:w="0" w:type="dxa"/>
            <w:vAlign w:val="bottom"/>
          </w:tcPr>
          <w:p>
            <w:pPr>
              <w:spacing w:after="0"/>
              <w:rPr>
                <w:sz w:val="1"/>
                <w:szCs w:val="1"/>
                <w:color w:val="auto"/>
              </w:rPr>
            </w:pPr>
          </w:p>
        </w:tc>
      </w:tr>
      <w:tr>
        <w:trPr>
          <w:trHeight w:val="251"/>
        </w:trPr>
        <w:tc>
          <w:tcPr>
            <w:tcW w:w="2360" w:type="dxa"/>
            <w:vAlign w:val="bottom"/>
          </w:tcPr>
          <w:p>
            <w:pPr>
              <w:jc w:val="center"/>
              <w:ind w:right="712"/>
              <w:spacing w:after="0" w:line="251" w:lineRule="exact"/>
              <w:rPr>
                <w:sz w:val="20"/>
                <w:szCs w:val="20"/>
                <w:color w:val="auto"/>
              </w:rPr>
            </w:pPr>
            <w:r>
              <w:rPr>
                <w:rFonts w:ascii="Arial" w:cs="Arial" w:eastAsia="Arial" w:hAnsi="Arial"/>
                <w:sz w:val="22"/>
                <w:szCs w:val="22"/>
                <w:color w:val="auto"/>
                <w:w w:val="88"/>
              </w:rPr>
              <w:t>PERSON</w:t>
            </w:r>
          </w:p>
        </w:tc>
        <w:tc>
          <w:tcPr>
            <w:tcW w:w="60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60" w:type="dxa"/>
            <w:vAlign w:val="bottom"/>
          </w:tcPr>
          <w:p>
            <w:pPr>
              <w:jc w:val="center"/>
              <w:ind w:right="712"/>
              <w:spacing w:after="0"/>
              <w:rPr>
                <w:sz w:val="20"/>
                <w:szCs w:val="20"/>
                <w:color w:val="auto"/>
              </w:rPr>
            </w:pPr>
            <w:r>
              <w:rPr>
                <w:rFonts w:ascii="Arial" w:cs="Arial" w:eastAsia="Arial" w:hAnsi="Arial"/>
                <w:sz w:val="22"/>
                <w:szCs w:val="22"/>
                <w:color w:val="auto"/>
              </w:rPr>
              <w:t>WITH</w:t>
            </w:r>
          </w:p>
        </w:tc>
        <w:tc>
          <w:tcPr>
            <w:tcW w:w="600" w:type="dxa"/>
            <w:vAlign w:val="bottom"/>
          </w:tcPr>
          <w:p>
            <w:pPr>
              <w:jc w:val="center"/>
              <w:ind w:left="14"/>
              <w:spacing w:after="0"/>
              <w:rPr>
                <w:sz w:val="20"/>
                <w:szCs w:val="20"/>
                <w:color w:val="auto"/>
              </w:rPr>
            </w:pPr>
            <w:r>
              <w:rPr>
                <w:rFonts w:ascii="Arial" w:cs="Arial" w:eastAsia="Arial" w:hAnsi="Arial"/>
                <w:sz w:val="22"/>
                <w:szCs w:val="22"/>
                <w:b w:val="1"/>
                <w:bCs w:val="1"/>
                <w:color w:val="auto"/>
                <w:w w:val="81"/>
              </w:rPr>
              <w:t>10</w:t>
            </w:r>
          </w:p>
        </w:tc>
        <w:tc>
          <w:tcPr>
            <w:tcW w:w="7620" w:type="dxa"/>
            <w:vAlign w:val="bottom"/>
          </w:tcPr>
          <w:p>
            <w:pPr>
              <w:ind w:left="12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284"/>
        <w:spacing w:after="0"/>
        <w:rPr>
          <w:sz w:val="20"/>
          <w:szCs w:val="20"/>
          <w:color w:val="auto"/>
        </w:rPr>
      </w:pPr>
      <w:r>
        <w:rPr>
          <w:rFonts w:ascii="Arial" w:cs="Arial" w:eastAsia="Arial" w:hAnsi="Arial"/>
          <w:sz w:val="22"/>
          <w:szCs w:val="22"/>
          <w:color w:val="auto"/>
        </w:rPr>
        <w:t>8,616,834</w:t>
      </w:r>
    </w:p>
    <w:p>
      <w:pPr>
        <w:spacing w:after="0" w:line="22" w:lineRule="exact"/>
        <w:rPr>
          <w:sz w:val="20"/>
          <w:szCs w:val="20"/>
          <w:color w:val="auto"/>
        </w:rPr>
      </w:pPr>
    </w:p>
    <w:p>
      <w:pPr>
        <w:ind w:left="844" w:right="2060" w:hanging="838"/>
        <w:spacing w:after="0" w:line="339" w:lineRule="auto"/>
        <w:tabs>
          <w:tab w:leader="none" w:pos="844"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 8,645,953</w:t>
      </w:r>
    </w:p>
    <w:p>
      <w:pPr>
        <w:spacing w:after="0" w:line="1" w:lineRule="exact"/>
        <w:rPr>
          <w:rFonts w:ascii="Arial" w:cs="Arial" w:eastAsia="Arial" w:hAnsi="Arial"/>
          <w:sz w:val="22"/>
          <w:szCs w:val="22"/>
          <w:b w:val="1"/>
          <w:bCs w:val="1"/>
          <w:color w:val="auto"/>
        </w:rPr>
      </w:pPr>
    </w:p>
    <w:p>
      <w:pPr>
        <w:ind w:left="844" w:right="840" w:hanging="844"/>
        <w:spacing w:after="0" w:line="233" w:lineRule="auto"/>
        <w:tabs>
          <w:tab w:leader="none" w:pos="844"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CHECK BOX IF THE AGGREGATE AMOUNT IN ROW (11) EXCLUDES CERTAIN SHARES (SEE INSTRUCTIONS)</w:t>
      </w:r>
    </w:p>
    <w:p>
      <w:pPr>
        <w:spacing w:after="0" w:line="1"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43" w:lineRule="exact"/>
        <w:rPr>
          <w:sz w:val="20"/>
          <w:szCs w:val="20"/>
          <w:color w:val="auto"/>
        </w:rPr>
      </w:pPr>
    </w:p>
    <w:p>
      <w:pPr>
        <w:ind w:left="844" w:right="3760" w:hanging="844"/>
        <w:spacing w:after="0" w:line="348" w:lineRule="auto"/>
        <w:tabs>
          <w:tab w:leader="none" w:pos="844"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 (11) 6.0%</w:t>
      </w:r>
    </w:p>
    <w:p>
      <w:pPr>
        <w:ind w:left="844" w:right="4740" w:hanging="844"/>
        <w:spacing w:after="0" w:line="439" w:lineRule="auto"/>
        <w:tabs>
          <w:tab w:leader="none" w:pos="844"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426720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4"/>
          </w:cols>
          <w:pgMar w:left="876" w:top="132" w:right="239" w:bottom="1440" w:gutter="0" w:footer="0" w:header="0"/>
        </w:sectPr>
      </w:pPr>
    </w:p>
    <w:bookmarkStart w:id="3" w:name="page4"/>
    <w:bookmarkEnd w:id="3"/>
    <w:p>
      <w:pPr>
        <w:ind w:left="844" w:right="6600" w:hanging="790"/>
        <w:spacing w:after="0" w:line="251" w:lineRule="auto"/>
        <w:tabs>
          <w:tab w:leader="none" w:pos="844" w:val="left"/>
        </w:tabs>
        <w:numPr>
          <w:ilvl w:val="0"/>
          <w:numId w:val="20"/>
        </w:numPr>
        <w:rPr>
          <w:rFonts w:ascii="Arial" w:cs="Arial" w:eastAsia="Arial" w:hAnsi="Arial"/>
          <w:sz w:val="22"/>
          <w:szCs w:val="22"/>
          <w:b w:val="1"/>
          <w:bCs w:val="1"/>
          <w:color w:val="auto"/>
        </w:rPr>
      </w:pPr>
      <w:r>
        <w:rPr>
          <w:rFonts w:ascii="Arial" w:cs="Arial" w:eastAsia="Arial" w:hAnsi="Arial"/>
          <w:sz w:val="22"/>
          <w:szCs w:val="22"/>
          <w:color w:val="auto"/>
        </w:rPr>
        <w:t>NAMES OF REPORTING PERSONS Ziv Shoshani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-330200</wp:posOffset>
            </wp:positionV>
            <wp:extent cx="7248525" cy="6305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6305550"/>
                    </a:xfrm>
                    <a:prstGeom prst="rect">
                      <a:avLst/>
                    </a:prstGeom>
                    <a:noFill/>
                  </pic:spPr>
                </pic:pic>
              </a:graphicData>
            </a:graphic>
          </wp:anchor>
        </w:drawing>
      </w:r>
    </w:p>
    <w:p>
      <w:pPr>
        <w:spacing w:after="0" w:line="167" w:lineRule="exact"/>
        <w:rPr>
          <w:sz w:val="20"/>
          <w:szCs w:val="20"/>
          <w:color w:val="auto"/>
        </w:rPr>
      </w:pPr>
    </w:p>
    <w:p>
      <w:pPr>
        <w:ind w:left="844" w:hanging="790"/>
        <w:spacing w:after="0"/>
        <w:tabs>
          <w:tab w:leader="none" w:pos="844"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(SEE INSTRUCTIONS)</w:t>
      </w:r>
    </w:p>
    <w:p>
      <w:pPr>
        <w:spacing w:after="0" w:line="14" w:lineRule="exact"/>
        <w:rPr>
          <w:sz w:val="20"/>
          <w:szCs w:val="20"/>
          <w:color w:val="auto"/>
        </w:rPr>
      </w:pPr>
    </w:p>
    <w:p>
      <w:pPr>
        <w:jc w:val="right"/>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p>
      <w:pPr>
        <w:spacing w:after="0" w:line="4" w:lineRule="exact"/>
        <w:rPr>
          <w:sz w:val="20"/>
          <w:szCs w:val="20"/>
          <w:color w:val="auto"/>
        </w:rPr>
      </w:pPr>
    </w:p>
    <w:p>
      <w:pPr>
        <w:jc w:val="right"/>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12" w:lineRule="exact"/>
        <w:rPr>
          <w:sz w:val="20"/>
          <w:szCs w:val="20"/>
          <w:color w:val="auto"/>
        </w:rPr>
      </w:pPr>
    </w:p>
    <w:p>
      <w:pPr>
        <w:ind w:left="844" w:hanging="790"/>
        <w:spacing w:after="0"/>
        <w:tabs>
          <w:tab w:leader="none" w:pos="844"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SEC USE ONLY</w:t>
      </w:r>
    </w:p>
    <w:p>
      <w:pPr>
        <w:spacing w:after="0" w:line="202" w:lineRule="exact"/>
        <w:rPr>
          <w:sz w:val="20"/>
          <w:szCs w:val="20"/>
          <w:color w:val="auto"/>
        </w:rPr>
      </w:pPr>
    </w:p>
    <w:p>
      <w:pPr>
        <w:ind w:left="844" w:right="5800" w:hanging="790"/>
        <w:spacing w:after="0" w:line="245" w:lineRule="auto"/>
        <w:tabs>
          <w:tab w:leader="none" w:pos="844"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SOURCE OF FUNDS (SEE INSTRUCTIONS) OO</w:t>
      </w:r>
    </w:p>
    <w:p>
      <w:pPr>
        <w:spacing w:after="0" w:line="1" w:lineRule="exact"/>
        <w:rPr>
          <w:sz w:val="20"/>
          <w:szCs w:val="20"/>
          <w:color w:val="auto"/>
        </w:rPr>
      </w:pPr>
    </w:p>
    <w:p>
      <w:pPr>
        <w:ind w:left="844" w:right="620" w:hanging="790"/>
        <w:spacing w:after="0" w:line="233" w:lineRule="auto"/>
        <w:tabs>
          <w:tab w:leader="none" w:pos="844"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CHECK IF DISCLOSURE OF LEGAL PROCEEDINGS IS REQUIRED PURSUANT TO ITEM 2(D) OR 2(E)</w:t>
      </w:r>
    </w:p>
    <w:p>
      <w:pPr>
        <w:spacing w:after="0" w:line="1"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45" w:lineRule="exact"/>
        <w:rPr>
          <w:sz w:val="20"/>
          <w:szCs w:val="20"/>
          <w:color w:val="auto"/>
        </w:rPr>
      </w:pPr>
    </w:p>
    <w:p>
      <w:pPr>
        <w:ind w:left="844" w:right="5540" w:hanging="790"/>
        <w:spacing w:after="0" w:line="339" w:lineRule="auto"/>
        <w:tabs>
          <w:tab w:leader="none" w:pos="844"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 Israel</w:t>
      </w:r>
    </w:p>
    <w:p>
      <w:pPr>
        <w:spacing w:after="0" w:line="1" w:lineRule="exact"/>
        <w:rPr>
          <w:sz w:val="20"/>
          <w:szCs w:val="20"/>
          <w:color w:val="auto"/>
        </w:rPr>
      </w:pPr>
    </w:p>
    <w:p>
      <w:pPr>
        <w:ind w:left="3284" w:hanging="414"/>
        <w:spacing w:after="0"/>
        <w:tabs>
          <w:tab w:leader="none" w:pos="3284"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SOLE VOTING POWER</w:t>
      </w:r>
    </w:p>
    <w:p>
      <w:pPr>
        <w:spacing w:after="0" w:line="165" w:lineRule="exact"/>
        <w:rPr>
          <w:sz w:val="20"/>
          <w:szCs w:val="20"/>
          <w:color w:val="auto"/>
        </w:rPr>
      </w:pPr>
    </w:p>
    <w:tbl>
      <w:tblPr>
        <w:tblLayout w:type="fixed"/>
        <w:tblInd w:w="204" w:type="dxa"/>
        <w:tblCellMar>
          <w:top w:w="0" w:type="dxa"/>
          <w:left w:w="0" w:type="dxa"/>
          <w:bottom w:w="0" w:type="dxa"/>
          <w:right w:w="0" w:type="dxa"/>
        </w:tblCellMar>
      </w:tblPr>
      <w:tr>
        <w:trPr>
          <w:trHeight w:val="253"/>
        </w:trPr>
        <w:tc>
          <w:tcPr>
            <w:tcW w:w="2360" w:type="dxa"/>
            <w:vAlign w:val="bottom"/>
          </w:tcPr>
          <w:p>
            <w:pPr>
              <w:jc w:val="center"/>
              <w:ind w:right="712"/>
              <w:spacing w:after="0"/>
              <w:rPr>
                <w:sz w:val="20"/>
                <w:szCs w:val="20"/>
                <w:color w:val="auto"/>
              </w:rPr>
            </w:pPr>
            <w:r>
              <w:rPr>
                <w:rFonts w:ascii="Arial" w:cs="Arial" w:eastAsia="Arial" w:hAnsi="Arial"/>
                <w:sz w:val="22"/>
                <w:szCs w:val="22"/>
                <w:color w:val="auto"/>
                <w:w w:val="95"/>
              </w:rPr>
              <w:t>NUMBER OF</w:t>
            </w:r>
          </w:p>
        </w:tc>
        <w:tc>
          <w:tcPr>
            <w:tcW w:w="600" w:type="dxa"/>
            <w:vAlign w:val="bottom"/>
          </w:tcPr>
          <w:p>
            <w:pPr>
              <w:spacing w:after="0"/>
              <w:rPr>
                <w:sz w:val="21"/>
                <w:szCs w:val="21"/>
                <w:color w:val="auto"/>
              </w:rPr>
            </w:pPr>
          </w:p>
        </w:tc>
        <w:tc>
          <w:tcPr>
            <w:tcW w:w="7620" w:type="dxa"/>
            <w:vAlign w:val="bottom"/>
          </w:tcPr>
          <w:p>
            <w:pPr>
              <w:ind w:left="120"/>
              <w:spacing w:after="0"/>
              <w:rPr>
                <w:sz w:val="20"/>
                <w:szCs w:val="20"/>
                <w:color w:val="auto"/>
              </w:rPr>
            </w:pPr>
            <w:r>
              <w:rPr>
                <w:rFonts w:ascii="Arial" w:cs="Arial" w:eastAsia="Arial" w:hAnsi="Arial"/>
                <w:sz w:val="22"/>
                <w:szCs w:val="22"/>
                <w:color w:val="auto"/>
              </w:rPr>
              <w:t>23,251</w:t>
            </w:r>
          </w:p>
        </w:tc>
        <w:tc>
          <w:tcPr>
            <w:tcW w:w="0" w:type="dxa"/>
            <w:vAlign w:val="bottom"/>
          </w:tcPr>
          <w:p>
            <w:pPr>
              <w:spacing w:after="0"/>
              <w:rPr>
                <w:sz w:val="1"/>
                <w:szCs w:val="1"/>
                <w:color w:val="auto"/>
              </w:rPr>
            </w:pPr>
          </w:p>
        </w:tc>
      </w:tr>
      <w:tr>
        <w:trPr>
          <w:trHeight w:val="35"/>
        </w:trPr>
        <w:tc>
          <w:tcPr>
            <w:tcW w:w="2360" w:type="dxa"/>
            <w:vAlign w:val="bottom"/>
            <w:vMerge w:val="restart"/>
          </w:tcPr>
          <w:p>
            <w:pPr>
              <w:jc w:val="center"/>
              <w:ind w:right="712"/>
              <w:spacing w:after="0" w:line="243" w:lineRule="exact"/>
              <w:rPr>
                <w:sz w:val="20"/>
                <w:szCs w:val="20"/>
                <w:color w:val="auto"/>
              </w:rPr>
            </w:pPr>
            <w:r>
              <w:rPr>
                <w:rFonts w:ascii="Arial" w:cs="Arial" w:eastAsia="Arial" w:hAnsi="Arial"/>
                <w:sz w:val="22"/>
                <w:szCs w:val="22"/>
                <w:color w:val="auto"/>
                <w:w w:val="90"/>
              </w:rPr>
              <w:t>SHARES</w:t>
            </w:r>
          </w:p>
        </w:tc>
        <w:tc>
          <w:tcPr>
            <w:tcW w:w="60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360" w:type="dxa"/>
            <w:vAlign w:val="bottom"/>
            <w:vMerge w:val="continue"/>
          </w:tcPr>
          <w:p>
            <w:pPr>
              <w:spacing w:after="0"/>
              <w:rPr>
                <w:sz w:val="16"/>
                <w:szCs w:val="16"/>
                <w:color w:val="auto"/>
              </w:rPr>
            </w:pPr>
          </w:p>
        </w:tc>
        <w:tc>
          <w:tcPr>
            <w:tcW w:w="600" w:type="dxa"/>
            <w:vAlign w:val="bottom"/>
          </w:tcPr>
          <w:p>
            <w:pPr>
              <w:jc w:val="center"/>
              <w:ind w:left="14"/>
              <w:spacing w:after="0" w:line="188" w:lineRule="exact"/>
              <w:rPr>
                <w:sz w:val="20"/>
                <w:szCs w:val="20"/>
                <w:color w:val="auto"/>
              </w:rPr>
            </w:pPr>
            <w:r>
              <w:rPr>
                <w:rFonts w:ascii="Arial" w:cs="Arial" w:eastAsia="Arial" w:hAnsi="Arial"/>
                <w:sz w:val="21"/>
                <w:szCs w:val="21"/>
                <w:b w:val="1"/>
                <w:bCs w:val="1"/>
                <w:color w:val="auto"/>
              </w:rPr>
              <w:t>8</w:t>
            </w:r>
          </w:p>
        </w:tc>
        <w:tc>
          <w:tcPr>
            <w:tcW w:w="7620" w:type="dxa"/>
            <w:vAlign w:val="bottom"/>
          </w:tcPr>
          <w:p>
            <w:pPr>
              <w:ind w:left="120"/>
              <w:spacing w:after="0" w:line="188" w:lineRule="exact"/>
              <w:rPr>
                <w:sz w:val="20"/>
                <w:szCs w:val="20"/>
                <w:color w:val="auto"/>
              </w:rPr>
            </w:pPr>
            <w:r>
              <w:rPr>
                <w:rFonts w:ascii="Arial" w:cs="Arial" w:eastAsia="Arial" w:hAnsi="Arial"/>
                <w:sz w:val="21"/>
                <w:szCs w:val="21"/>
                <w:color w:val="auto"/>
              </w:rPr>
              <w:t>SHARED VOTING POWER</w:t>
            </w:r>
          </w:p>
        </w:tc>
        <w:tc>
          <w:tcPr>
            <w:tcW w:w="0" w:type="dxa"/>
            <w:vAlign w:val="bottom"/>
          </w:tcPr>
          <w:p>
            <w:pPr>
              <w:spacing w:after="0"/>
              <w:rPr>
                <w:sz w:val="1"/>
                <w:szCs w:val="1"/>
                <w:color w:val="auto"/>
              </w:rPr>
            </w:pPr>
          </w:p>
        </w:tc>
      </w:tr>
      <w:tr>
        <w:trPr>
          <w:trHeight w:val="243"/>
        </w:trPr>
        <w:tc>
          <w:tcPr>
            <w:tcW w:w="2360" w:type="dxa"/>
            <w:vAlign w:val="bottom"/>
          </w:tcPr>
          <w:p>
            <w:pPr>
              <w:jc w:val="center"/>
              <w:ind w:right="712"/>
              <w:spacing w:after="0" w:line="243" w:lineRule="exact"/>
              <w:rPr>
                <w:sz w:val="20"/>
                <w:szCs w:val="20"/>
                <w:color w:val="auto"/>
              </w:rPr>
            </w:pPr>
            <w:r>
              <w:rPr>
                <w:rFonts w:ascii="Arial" w:cs="Arial" w:eastAsia="Arial" w:hAnsi="Arial"/>
                <w:sz w:val="22"/>
                <w:szCs w:val="22"/>
                <w:color w:val="auto"/>
                <w:w w:val="99"/>
              </w:rPr>
              <w:t>BENEFICIALLY</w:t>
            </w:r>
          </w:p>
        </w:tc>
        <w:tc>
          <w:tcPr>
            <w:tcW w:w="60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jc w:val="center"/>
              <w:ind w:right="732"/>
              <w:spacing w:after="0" w:line="243" w:lineRule="exact"/>
              <w:rPr>
                <w:sz w:val="20"/>
                <w:szCs w:val="20"/>
                <w:color w:val="auto"/>
              </w:rPr>
            </w:pPr>
            <w:r>
              <w:rPr>
                <w:rFonts w:ascii="Arial" w:cs="Arial" w:eastAsia="Arial" w:hAnsi="Arial"/>
                <w:sz w:val="22"/>
                <w:szCs w:val="22"/>
                <w:color w:val="auto"/>
                <w:w w:val="96"/>
              </w:rPr>
              <w:t>OWNED BY</w:t>
            </w:r>
          </w:p>
        </w:tc>
        <w:tc>
          <w:tcPr>
            <w:tcW w:w="600" w:type="dxa"/>
            <w:vAlign w:val="bottom"/>
          </w:tcPr>
          <w:p>
            <w:pPr>
              <w:spacing w:after="0"/>
              <w:rPr>
                <w:sz w:val="21"/>
                <w:szCs w:val="21"/>
                <w:color w:val="auto"/>
              </w:rPr>
            </w:pPr>
          </w:p>
        </w:tc>
        <w:tc>
          <w:tcPr>
            <w:tcW w:w="7620" w:type="dxa"/>
            <w:vAlign w:val="bottom"/>
          </w:tcPr>
          <w:p>
            <w:pPr>
              <w:ind w:left="120"/>
              <w:spacing w:after="0" w:line="243" w:lineRule="exact"/>
              <w:rPr>
                <w:sz w:val="20"/>
                <w:szCs w:val="20"/>
                <w:color w:val="auto"/>
              </w:rPr>
            </w:pPr>
            <w:r>
              <w:rPr>
                <w:rFonts w:ascii="Arial" w:cs="Arial" w:eastAsia="Arial" w:hAnsi="Arial"/>
                <w:sz w:val="22"/>
                <w:szCs w:val="22"/>
                <w:color w:val="auto"/>
              </w:rPr>
              <w:t>8,616,834</w:t>
            </w:r>
          </w:p>
        </w:tc>
        <w:tc>
          <w:tcPr>
            <w:tcW w:w="0" w:type="dxa"/>
            <w:vAlign w:val="bottom"/>
          </w:tcPr>
          <w:p>
            <w:pPr>
              <w:spacing w:after="0"/>
              <w:rPr>
                <w:sz w:val="1"/>
                <w:szCs w:val="1"/>
                <w:color w:val="auto"/>
              </w:rPr>
            </w:pPr>
          </w:p>
        </w:tc>
      </w:tr>
      <w:tr>
        <w:trPr>
          <w:trHeight w:val="21"/>
        </w:trPr>
        <w:tc>
          <w:tcPr>
            <w:tcW w:w="2360" w:type="dxa"/>
            <w:vAlign w:val="bottom"/>
            <w:vMerge w:val="restart"/>
          </w:tcPr>
          <w:p>
            <w:pPr>
              <w:jc w:val="center"/>
              <w:ind w:right="712"/>
              <w:spacing w:after="0" w:line="243" w:lineRule="exact"/>
              <w:rPr>
                <w:sz w:val="20"/>
                <w:szCs w:val="20"/>
                <w:color w:val="auto"/>
              </w:rPr>
            </w:pPr>
            <w:r>
              <w:rPr>
                <w:rFonts w:ascii="Arial" w:cs="Arial" w:eastAsia="Arial" w:hAnsi="Arial"/>
                <w:sz w:val="22"/>
                <w:szCs w:val="22"/>
                <w:color w:val="auto"/>
                <w:w w:val="94"/>
              </w:rPr>
              <w:t>EACH</w:t>
            </w:r>
          </w:p>
        </w:tc>
        <w:tc>
          <w:tcPr>
            <w:tcW w:w="60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360" w:type="dxa"/>
            <w:vAlign w:val="bottom"/>
            <w:vMerge w:val="continue"/>
          </w:tcPr>
          <w:p>
            <w:pPr>
              <w:spacing w:after="0"/>
              <w:rPr>
                <w:sz w:val="17"/>
                <w:szCs w:val="17"/>
                <w:color w:val="auto"/>
              </w:rPr>
            </w:pPr>
          </w:p>
        </w:tc>
        <w:tc>
          <w:tcPr>
            <w:tcW w:w="600" w:type="dxa"/>
            <w:vAlign w:val="bottom"/>
          </w:tcPr>
          <w:p>
            <w:pPr>
              <w:jc w:val="center"/>
              <w:ind w:left="14"/>
              <w:spacing w:after="0" w:line="202" w:lineRule="exact"/>
              <w:rPr>
                <w:sz w:val="20"/>
                <w:szCs w:val="20"/>
                <w:color w:val="auto"/>
              </w:rPr>
            </w:pPr>
            <w:r>
              <w:rPr>
                <w:rFonts w:ascii="Arial" w:cs="Arial" w:eastAsia="Arial" w:hAnsi="Arial"/>
                <w:sz w:val="22"/>
                <w:szCs w:val="22"/>
                <w:b w:val="1"/>
                <w:bCs w:val="1"/>
                <w:color w:val="auto"/>
                <w:w w:val="97"/>
              </w:rPr>
              <w:t>9</w:t>
            </w:r>
          </w:p>
        </w:tc>
        <w:tc>
          <w:tcPr>
            <w:tcW w:w="7620" w:type="dxa"/>
            <w:vAlign w:val="bottom"/>
          </w:tcPr>
          <w:p>
            <w:pPr>
              <w:ind w:left="120"/>
              <w:spacing w:after="0" w:line="202"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43"/>
        </w:trPr>
        <w:tc>
          <w:tcPr>
            <w:tcW w:w="2360" w:type="dxa"/>
            <w:vAlign w:val="bottom"/>
          </w:tcPr>
          <w:p>
            <w:pPr>
              <w:jc w:val="center"/>
              <w:ind w:right="732"/>
              <w:spacing w:after="0" w:line="243" w:lineRule="exact"/>
              <w:rPr>
                <w:sz w:val="20"/>
                <w:szCs w:val="20"/>
                <w:color w:val="auto"/>
              </w:rPr>
            </w:pPr>
            <w:r>
              <w:rPr>
                <w:rFonts w:ascii="Arial" w:cs="Arial" w:eastAsia="Arial" w:hAnsi="Arial"/>
                <w:sz w:val="22"/>
                <w:szCs w:val="22"/>
                <w:color w:val="auto"/>
                <w:w w:val="91"/>
              </w:rPr>
              <w:t>REPORTING</w:t>
            </w:r>
          </w:p>
        </w:tc>
        <w:tc>
          <w:tcPr>
            <w:tcW w:w="600" w:type="dxa"/>
            <w:vAlign w:val="bottom"/>
          </w:tcPr>
          <w:p>
            <w:pPr>
              <w:spacing w:after="0"/>
              <w:rPr>
                <w:sz w:val="21"/>
                <w:szCs w:val="21"/>
                <w:color w:val="auto"/>
              </w:rPr>
            </w:pPr>
          </w:p>
        </w:tc>
        <w:tc>
          <w:tcPr>
            <w:tcW w:w="7620" w:type="dxa"/>
            <w:vAlign w:val="bottom"/>
            <w:vMerge w:val="restart"/>
          </w:tcPr>
          <w:p>
            <w:pPr>
              <w:ind w:left="120"/>
              <w:spacing w:after="0"/>
              <w:rPr>
                <w:sz w:val="20"/>
                <w:szCs w:val="20"/>
                <w:color w:val="auto"/>
              </w:rPr>
            </w:pPr>
            <w:r>
              <w:rPr>
                <w:rFonts w:ascii="Arial" w:cs="Arial" w:eastAsia="Arial" w:hAnsi="Arial"/>
                <w:sz w:val="22"/>
                <w:szCs w:val="22"/>
                <w:color w:val="auto"/>
              </w:rPr>
              <w:t>23,251</w:t>
            </w:r>
          </w:p>
        </w:tc>
        <w:tc>
          <w:tcPr>
            <w:tcW w:w="0" w:type="dxa"/>
            <w:vAlign w:val="bottom"/>
          </w:tcPr>
          <w:p>
            <w:pPr>
              <w:spacing w:after="0"/>
              <w:rPr>
                <w:sz w:val="1"/>
                <w:szCs w:val="1"/>
                <w:color w:val="auto"/>
              </w:rPr>
            </w:pPr>
          </w:p>
        </w:tc>
      </w:tr>
      <w:tr>
        <w:trPr>
          <w:trHeight w:val="251"/>
        </w:trPr>
        <w:tc>
          <w:tcPr>
            <w:tcW w:w="2360" w:type="dxa"/>
            <w:vAlign w:val="bottom"/>
          </w:tcPr>
          <w:p>
            <w:pPr>
              <w:jc w:val="center"/>
              <w:ind w:right="712"/>
              <w:spacing w:after="0" w:line="251" w:lineRule="exact"/>
              <w:rPr>
                <w:sz w:val="20"/>
                <w:szCs w:val="20"/>
                <w:color w:val="auto"/>
              </w:rPr>
            </w:pPr>
            <w:r>
              <w:rPr>
                <w:rFonts w:ascii="Arial" w:cs="Arial" w:eastAsia="Arial" w:hAnsi="Arial"/>
                <w:sz w:val="22"/>
                <w:szCs w:val="22"/>
                <w:color w:val="auto"/>
                <w:w w:val="88"/>
              </w:rPr>
              <w:t>PERSON</w:t>
            </w:r>
          </w:p>
        </w:tc>
        <w:tc>
          <w:tcPr>
            <w:tcW w:w="60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60" w:type="dxa"/>
            <w:vAlign w:val="bottom"/>
          </w:tcPr>
          <w:p>
            <w:pPr>
              <w:jc w:val="center"/>
              <w:ind w:right="712"/>
              <w:spacing w:after="0"/>
              <w:rPr>
                <w:sz w:val="20"/>
                <w:szCs w:val="20"/>
                <w:color w:val="auto"/>
              </w:rPr>
            </w:pPr>
            <w:r>
              <w:rPr>
                <w:rFonts w:ascii="Arial" w:cs="Arial" w:eastAsia="Arial" w:hAnsi="Arial"/>
                <w:sz w:val="22"/>
                <w:szCs w:val="22"/>
                <w:color w:val="auto"/>
              </w:rPr>
              <w:t>WITH</w:t>
            </w:r>
          </w:p>
        </w:tc>
        <w:tc>
          <w:tcPr>
            <w:tcW w:w="600" w:type="dxa"/>
            <w:vAlign w:val="bottom"/>
          </w:tcPr>
          <w:p>
            <w:pPr>
              <w:jc w:val="center"/>
              <w:ind w:left="14"/>
              <w:spacing w:after="0"/>
              <w:rPr>
                <w:sz w:val="20"/>
                <w:szCs w:val="20"/>
                <w:color w:val="auto"/>
              </w:rPr>
            </w:pPr>
            <w:r>
              <w:rPr>
                <w:rFonts w:ascii="Arial" w:cs="Arial" w:eastAsia="Arial" w:hAnsi="Arial"/>
                <w:sz w:val="22"/>
                <w:szCs w:val="22"/>
                <w:b w:val="1"/>
                <w:bCs w:val="1"/>
                <w:color w:val="auto"/>
                <w:w w:val="81"/>
              </w:rPr>
              <w:t>10</w:t>
            </w:r>
          </w:p>
        </w:tc>
        <w:tc>
          <w:tcPr>
            <w:tcW w:w="7620" w:type="dxa"/>
            <w:vAlign w:val="bottom"/>
          </w:tcPr>
          <w:p>
            <w:pPr>
              <w:ind w:left="12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284"/>
        <w:spacing w:after="0"/>
        <w:rPr>
          <w:sz w:val="20"/>
          <w:szCs w:val="20"/>
          <w:color w:val="auto"/>
        </w:rPr>
      </w:pPr>
      <w:r>
        <w:rPr>
          <w:rFonts w:ascii="Arial" w:cs="Arial" w:eastAsia="Arial" w:hAnsi="Arial"/>
          <w:sz w:val="22"/>
          <w:szCs w:val="22"/>
          <w:color w:val="auto"/>
        </w:rPr>
        <w:t>8,616,834</w:t>
      </w:r>
    </w:p>
    <w:p>
      <w:pPr>
        <w:spacing w:after="0" w:line="22" w:lineRule="exact"/>
        <w:rPr>
          <w:sz w:val="20"/>
          <w:szCs w:val="20"/>
          <w:color w:val="auto"/>
        </w:rPr>
      </w:pPr>
    </w:p>
    <w:p>
      <w:pPr>
        <w:ind w:left="844" w:right="2060" w:hanging="838"/>
        <w:spacing w:after="0" w:line="339" w:lineRule="auto"/>
        <w:tabs>
          <w:tab w:leader="none" w:pos="844"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 8,640,085</w:t>
      </w:r>
    </w:p>
    <w:p>
      <w:pPr>
        <w:spacing w:after="0" w:line="1" w:lineRule="exact"/>
        <w:rPr>
          <w:rFonts w:ascii="Arial" w:cs="Arial" w:eastAsia="Arial" w:hAnsi="Arial"/>
          <w:sz w:val="22"/>
          <w:szCs w:val="22"/>
          <w:b w:val="1"/>
          <w:bCs w:val="1"/>
          <w:color w:val="auto"/>
        </w:rPr>
      </w:pPr>
    </w:p>
    <w:p>
      <w:pPr>
        <w:ind w:left="844" w:right="840" w:hanging="844"/>
        <w:spacing w:after="0" w:line="233" w:lineRule="auto"/>
        <w:tabs>
          <w:tab w:leader="none" w:pos="844"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CHECK BOX IF THE AGGREGATE AMOUNT IN ROW (11) EXCLUDES CERTAIN SHARES (SEE INSTRUCTIONS)</w:t>
      </w:r>
    </w:p>
    <w:p>
      <w:pPr>
        <w:spacing w:after="0" w:line="1"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43" w:lineRule="exact"/>
        <w:rPr>
          <w:sz w:val="20"/>
          <w:szCs w:val="20"/>
          <w:color w:val="auto"/>
        </w:rPr>
      </w:pPr>
    </w:p>
    <w:p>
      <w:pPr>
        <w:ind w:left="844" w:right="3760" w:hanging="844"/>
        <w:spacing w:after="0" w:line="348" w:lineRule="auto"/>
        <w:tabs>
          <w:tab w:leader="none" w:pos="844"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 (11) 6.0%</w:t>
      </w:r>
    </w:p>
    <w:p>
      <w:pPr>
        <w:ind w:left="844" w:right="4740" w:hanging="844"/>
        <w:spacing w:after="0" w:line="439" w:lineRule="auto"/>
        <w:tabs>
          <w:tab w:leader="none" w:pos="844"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160655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4"/>
          </w:cols>
          <w:pgMar w:left="876" w:top="132" w:right="239" w:bottom="1440" w:gutter="0" w:footer="0" w:header="0"/>
        </w:sectPr>
      </w:pPr>
    </w:p>
    <w:bookmarkStart w:id="4" w:name="page5"/>
    <w:bookmarkEnd w:id="4"/>
    <w:p>
      <w:pPr>
        <w:jc w:val="both"/>
        <w:ind w:firstLine="648"/>
        <w:spacing w:after="0" w:line="233" w:lineRule="auto"/>
        <w:rPr>
          <w:sz w:val="20"/>
          <w:szCs w:val="20"/>
          <w:color w:val="auto"/>
        </w:rPr>
      </w:pPr>
      <w:r>
        <w:rPr>
          <w:rFonts w:ascii="Arial" w:cs="Arial" w:eastAsia="Arial" w:hAnsi="Arial"/>
          <w:sz w:val="22"/>
          <w:szCs w:val="22"/>
          <w:color w:val="auto"/>
        </w:rPr>
        <w:t>This Amendment No. 2 to Schedule 13D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amends and supplements the Schedule 13D filed with the Securities and Exchange Commission (the "</w:t>
      </w:r>
      <w:r>
        <w:rPr>
          <w:rFonts w:ascii="Arial" w:cs="Arial" w:eastAsia="Arial" w:hAnsi="Arial"/>
          <w:sz w:val="22"/>
          <w:szCs w:val="22"/>
          <w:b w:val="1"/>
          <w:bCs w:val="1"/>
          <w:i w:val="1"/>
          <w:iCs w:val="1"/>
          <w:color w:val="auto"/>
        </w:rPr>
        <w:t>SEC</w:t>
      </w:r>
      <w:r>
        <w:rPr>
          <w:rFonts w:ascii="Arial" w:cs="Arial" w:eastAsia="Arial" w:hAnsi="Arial"/>
          <w:sz w:val="22"/>
          <w:szCs w:val="22"/>
          <w:color w:val="auto"/>
        </w:rPr>
        <w:t>") on August 30, 2011, as amended by Amendment No. 1 to Schedule 13D filed with the SEC on July 9, 2014 (as amended, the "</w:t>
      </w:r>
      <w:r>
        <w:rPr>
          <w:rFonts w:ascii="Arial" w:cs="Arial" w:eastAsia="Arial" w:hAnsi="Arial"/>
          <w:sz w:val="22"/>
          <w:szCs w:val="22"/>
          <w:b w:val="1"/>
          <w:bCs w:val="1"/>
          <w:i w:val="1"/>
          <w:iCs w:val="1"/>
          <w:color w:val="auto"/>
        </w:rPr>
        <w:t>Schedule 13D</w:t>
      </w:r>
      <w:r>
        <w:rPr>
          <w:rFonts w:ascii="Arial" w:cs="Arial" w:eastAsia="Arial" w:hAnsi="Arial"/>
          <w:sz w:val="22"/>
          <w:szCs w:val="22"/>
          <w:color w:val="auto"/>
        </w:rPr>
        <w:t>") by Mrs. Ruta Zandman, Mr. Marc Zandman, and Mr. Ziv Shoshani (collectively, the "</w:t>
      </w:r>
      <w:r>
        <w:rPr>
          <w:rFonts w:ascii="Arial" w:cs="Arial" w:eastAsia="Arial" w:hAnsi="Arial"/>
          <w:sz w:val="22"/>
          <w:szCs w:val="22"/>
          <w:b w:val="1"/>
          <w:bCs w:val="1"/>
          <w:i w:val="1"/>
          <w:iCs w:val="1"/>
          <w:color w:val="auto"/>
        </w:rPr>
        <w:t>Reporting Persons</w:t>
      </w:r>
      <w:r>
        <w:rPr>
          <w:rFonts w:ascii="Arial" w:cs="Arial" w:eastAsia="Arial" w:hAnsi="Arial"/>
          <w:sz w:val="22"/>
          <w:szCs w:val="22"/>
          <w:color w:val="auto"/>
        </w:rPr>
        <w:t>). This Amendment relates to the transfer of certain shares of Class B Common Stock, par value $0.10 per share ("</w:t>
      </w:r>
      <w:r>
        <w:rPr>
          <w:rFonts w:ascii="Arial" w:cs="Arial" w:eastAsia="Arial" w:hAnsi="Arial"/>
          <w:sz w:val="22"/>
          <w:szCs w:val="22"/>
          <w:b w:val="1"/>
          <w:bCs w:val="1"/>
          <w:i w:val="1"/>
          <w:iCs w:val="1"/>
          <w:color w:val="auto"/>
        </w:rPr>
        <w:t>Class B Common Stock</w:t>
      </w:r>
      <w:r>
        <w:rPr>
          <w:rFonts w:ascii="Arial" w:cs="Arial" w:eastAsia="Arial" w:hAnsi="Arial"/>
          <w:sz w:val="22"/>
          <w:szCs w:val="22"/>
          <w:color w:val="auto"/>
        </w:rPr>
        <w:t>") issued by Vishay Intertechnology, Inc.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from each of the Estate of Dr. Felix Zandman and the Dr. Felix Zandman Family Trust to Trust B Share II Trust under Article Fifth of the Felix Zandman Family Trust U/A 1/14/11 ("</w:t>
      </w:r>
      <w:r>
        <w:rPr>
          <w:rFonts w:ascii="Arial" w:cs="Arial" w:eastAsia="Arial" w:hAnsi="Arial"/>
          <w:sz w:val="22"/>
          <w:szCs w:val="22"/>
          <w:b w:val="1"/>
          <w:bCs w:val="1"/>
          <w:i w:val="1"/>
          <w:iCs w:val="1"/>
          <w:color w:val="auto"/>
        </w:rPr>
        <w:t>Trust B</w:t>
      </w:r>
      <w:r>
        <w:rPr>
          <w:rFonts w:ascii="Arial" w:cs="Arial" w:eastAsia="Arial" w:hAnsi="Arial"/>
          <w:sz w:val="22"/>
          <w:szCs w:val="22"/>
          <w:color w:val="auto"/>
        </w:rPr>
        <w:t>"). Each of the Reporting Persons is a co-trustee of Trust B and shares voting and dispositive power with respect to Class B Common Stock held by Trust B. Such transfer was effected pursuant to the estate plan of Dr. Felix Zandman and the terms of the Amended and Restated Trust Agreement dated January 14, 2011 made by Dr. Felix Zandman.</w:t>
      </w:r>
    </w:p>
    <w:p>
      <w:pPr>
        <w:spacing w:after="0" w:line="21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Items 2 and 5 of the Schedule 13D are hereby amended to the extent hereinafter expressly set forth. All capitalized terms used and not expressly defined in this Amendment have the respective meanings ascribed to them in the Schedule 13D.</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Identity and Background.</w:t>
      </w:r>
    </w:p>
    <w:p>
      <w:pPr>
        <w:spacing w:after="0" w:line="212" w:lineRule="exact"/>
        <w:rPr>
          <w:sz w:val="20"/>
          <w:szCs w:val="20"/>
          <w:color w:val="auto"/>
        </w:rPr>
      </w:pPr>
    </w:p>
    <w:p>
      <w:pPr>
        <w:ind w:left="1300" w:hanging="1292"/>
        <w:spacing w:after="0" w:line="252" w:lineRule="auto"/>
        <w:tabs>
          <w:tab w:leader="none" w:pos="311" w:val="left"/>
        </w:tabs>
        <w:numPr>
          <w:ilvl w:val="0"/>
          <w:numId w:val="29"/>
        </w:numPr>
        <w:rPr>
          <w:rFonts w:ascii="Arial" w:cs="Arial" w:eastAsia="Arial" w:hAnsi="Arial"/>
          <w:sz w:val="22"/>
          <w:szCs w:val="22"/>
          <w:color w:val="auto"/>
        </w:rPr>
      </w:pPr>
      <w:r>
        <w:rPr>
          <w:rFonts w:ascii="Arial" w:cs="Arial" w:eastAsia="Arial" w:hAnsi="Arial"/>
          <w:sz w:val="22"/>
          <w:szCs w:val="22"/>
          <w:color w:val="auto"/>
        </w:rPr>
        <w:t>- (c)</w:t>
      </w:r>
      <w:r>
        <w:rPr>
          <w:rFonts w:ascii="Arial" w:cs="Arial" w:eastAsia="Arial" w:hAnsi="Arial"/>
          <w:sz w:val="21"/>
          <w:szCs w:val="21"/>
          <w:color w:val="auto"/>
        </w:rPr>
        <w:t>This statement on Schedule 13D is being filed by (A) Mrs. Ruta Zandman, individually and as (i) executrix of the Estate of Dr. Felix Zandman, (ii) co-trustee of Trust B; and (iii) the Voting Representative under the Voting Agreement; (B) Mr. Marc Zandman, individually and as co-trustee of Trust B; and (C) Mr. Ziv Shoshani, individually and as co-trustee of Trust B (collectively, the "</w:t>
      </w:r>
      <w:r>
        <w:rPr>
          <w:rFonts w:ascii="Arial" w:cs="Arial" w:eastAsia="Arial" w:hAnsi="Arial"/>
          <w:sz w:val="21"/>
          <w:szCs w:val="21"/>
          <w:b w:val="1"/>
          <w:bCs w:val="1"/>
          <w:i w:val="1"/>
          <w:iCs w:val="1"/>
          <w:color w:val="auto"/>
        </w:rPr>
        <w:t>Reporting Persons</w:t>
      </w:r>
      <w:r>
        <w:rPr>
          <w:rFonts w:ascii="Arial" w:cs="Arial" w:eastAsia="Arial" w:hAnsi="Arial"/>
          <w:sz w:val="21"/>
          <w:szCs w:val="21"/>
          <w:color w:val="auto"/>
        </w:rPr>
        <w:t>").</w:t>
      </w:r>
    </w:p>
    <w:p>
      <w:pPr>
        <w:spacing w:after="0" w:line="174" w:lineRule="exact"/>
        <w:rPr>
          <w:sz w:val="20"/>
          <w:szCs w:val="20"/>
          <w:color w:val="auto"/>
        </w:rPr>
      </w:pPr>
    </w:p>
    <w:p>
      <w:pPr>
        <w:jc w:val="both"/>
        <w:ind w:left="1300"/>
        <w:spacing w:after="0" w:line="249" w:lineRule="auto"/>
        <w:rPr>
          <w:sz w:val="20"/>
          <w:szCs w:val="20"/>
          <w:color w:val="auto"/>
        </w:rPr>
      </w:pPr>
      <w:r>
        <w:rPr>
          <w:rFonts w:ascii="Arial" w:cs="Arial" w:eastAsia="Arial" w:hAnsi="Arial"/>
          <w:sz w:val="21"/>
          <w:szCs w:val="21"/>
          <w:color w:val="auto"/>
        </w:rPr>
        <w:t>Mrs. Zandman serves as a director of the Company. Mr. Zandman serves as the Executive Chairman of the Board of Directors of the Company and its Chief Business Development Officer, as well as the Chairman of the Board of Directors of Vishay Precision Group, Inc. ("</w:t>
      </w:r>
      <w:r>
        <w:rPr>
          <w:rFonts w:ascii="Arial" w:cs="Arial" w:eastAsia="Arial" w:hAnsi="Arial"/>
          <w:sz w:val="21"/>
          <w:szCs w:val="21"/>
          <w:b w:val="1"/>
          <w:bCs w:val="1"/>
          <w:i w:val="1"/>
          <w:iCs w:val="1"/>
          <w:color w:val="auto"/>
        </w:rPr>
        <w:t>VPG</w:t>
      </w:r>
      <w:r>
        <w:rPr>
          <w:rFonts w:ascii="Arial" w:cs="Arial" w:eastAsia="Arial" w:hAnsi="Arial"/>
          <w:sz w:val="21"/>
          <w:szCs w:val="21"/>
          <w:color w:val="auto"/>
        </w:rPr>
        <w:t>"). Mr. Shoshani services as the Chief Executive Officer of VPG, in addition to serving on the Boards of Directors of the Company and VPG. The business address of the Reporting Persons and the Company is 63 Lancaster Avenue, Malvern, Pennsylvania 19355.</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 (b) The aggregate number and percentage of shares set forth in this Item 5 and on the cover pages hereto of the Company's common stock, par value $0.10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owned by each Reporting Person are (i) based upon 135,440,811 shares of Common Stock and 12,129,227 shares of Class B Common Stock outstanding as of February 16, 2015, as disclosed in the Company's Annual Report on Form 10-K for the fiscal year ended December 31, 2014, filed with the SEC on February 19, 2015,</w:t>
      </w:r>
    </w:p>
    <w:p>
      <w:pPr>
        <w:spacing w:after="0" w:line="4" w:lineRule="exact"/>
        <w:rPr>
          <w:sz w:val="20"/>
          <w:szCs w:val="20"/>
          <w:color w:val="auto"/>
        </w:rPr>
      </w:pPr>
    </w:p>
    <w:p>
      <w:pPr>
        <w:jc w:val="both"/>
        <w:ind w:firstLine="8"/>
        <w:spacing w:after="0" w:line="234" w:lineRule="auto"/>
        <w:tabs>
          <w:tab w:leader="none" w:pos="32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assume the exercise of all options to purchase Common Stock exercisable within 60 days of the date of this report beneficially owned by such Reporting Person, and (iii) assume the conversion into Common Stock of all of the shares of Class B Common Stock beneficially owned by such Reporting Person.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Mrs. Zandman may be deemed to beneficially own an aggregate of 11,087,483 shares of Common Stock as a result of her beneficial ownership of (i) 200,683 shares of Common Stock owned directly by her (the "</w:t>
      </w:r>
      <w:r>
        <w:rPr>
          <w:rFonts w:ascii="Arial" w:cs="Arial" w:eastAsia="Arial" w:hAnsi="Arial"/>
          <w:sz w:val="19"/>
          <w:szCs w:val="19"/>
          <w:b w:val="1"/>
          <w:bCs w:val="1"/>
          <w:i w:val="1"/>
          <w:iCs w:val="1"/>
          <w:color w:val="auto"/>
        </w:rPr>
        <w:t>Owned Shares</w:t>
      </w:r>
      <w:r>
        <w:rPr>
          <w:rFonts w:ascii="Arial" w:cs="Arial" w:eastAsia="Arial" w:hAnsi="Arial"/>
          <w:sz w:val="19"/>
          <w:szCs w:val="19"/>
          <w:color w:val="auto"/>
        </w:rPr>
        <w:t>"), (ii) 37,417 shares of Common Stock owned by the Estate of Dr. Felix Zandman for which Mrs. Zandman is the executrix (the "</w:t>
      </w:r>
      <w:r>
        <w:rPr>
          <w:rFonts w:ascii="Arial" w:cs="Arial" w:eastAsia="Arial" w:hAnsi="Arial"/>
          <w:sz w:val="19"/>
          <w:szCs w:val="19"/>
          <w:b w:val="1"/>
          <w:bCs w:val="1"/>
          <w:i w:val="1"/>
          <w:iCs w:val="1"/>
          <w:color w:val="auto"/>
        </w:rPr>
        <w:t>Estate Shares</w:t>
      </w:r>
      <w:r>
        <w:rPr>
          <w:rFonts w:ascii="Arial" w:cs="Arial" w:eastAsia="Arial" w:hAnsi="Arial"/>
          <w:sz w:val="19"/>
          <w:szCs w:val="19"/>
          <w:color w:val="auto"/>
        </w:rPr>
        <w:t>"), (iii) 8,616,834 shares of Common Stock issuable upon conversion of an equal number of shares of Class B Common Stock held by Trust B (the "</w:t>
      </w:r>
      <w:r>
        <w:rPr>
          <w:rFonts w:ascii="Arial" w:cs="Arial" w:eastAsia="Arial" w:hAnsi="Arial"/>
          <w:sz w:val="19"/>
          <w:szCs w:val="19"/>
          <w:b w:val="1"/>
          <w:bCs w:val="1"/>
          <w:i w:val="1"/>
          <w:iCs w:val="1"/>
          <w:color w:val="auto"/>
        </w:rPr>
        <w:t>Trust B Shares</w:t>
      </w:r>
      <w:r>
        <w:rPr>
          <w:rFonts w:ascii="Arial" w:cs="Arial" w:eastAsia="Arial" w:hAnsi="Arial"/>
          <w:sz w:val="19"/>
          <w:szCs w:val="19"/>
          <w:color w:val="auto"/>
        </w:rPr>
        <w:t>"), and (iv) 2,232,549 shares of Common Stock issuable upon conversion of an equal number of shares of Class B Common Stock that are subject to the Voting Agreement pursuant to which Mrs. Zandman, as Voting Representative, may direct the voting of such shares (the "</w:t>
      </w:r>
      <w:r>
        <w:rPr>
          <w:rFonts w:ascii="Arial" w:cs="Arial" w:eastAsia="Arial" w:hAnsi="Arial"/>
          <w:sz w:val="19"/>
          <w:szCs w:val="19"/>
          <w:b w:val="1"/>
          <w:bCs w:val="1"/>
          <w:i w:val="1"/>
          <w:iCs w:val="1"/>
          <w:color w:val="auto"/>
        </w:rPr>
        <w:t>Voting Agreement Shares</w:t>
      </w:r>
      <w:r>
        <w:rPr>
          <w:rFonts w:ascii="Arial" w:cs="Arial" w:eastAsia="Arial" w:hAnsi="Arial"/>
          <w:sz w:val="19"/>
          <w:szCs w:val="19"/>
          <w:color w:val="auto"/>
        </w:rPr>
        <w:t>"). This aggregate number represents approximately 7.6% of the total shares of the Company's Common Stock currently outstanding (assuming conversion of all Class B Common Stock). As the Class B Common Stock is entitled to 10 votes per share, the shares of Common Stock and Class B Common Stock beneficially owned by Mrs. Zandman currently provide her with sole or shared voting power over 42.4% of the Common Stock.</w:t>
      </w:r>
    </w:p>
    <w:p>
      <w:pPr>
        <w:spacing w:after="0" w:line="16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Mrs. Zandman may be deemed to have the sole power to vote or direct the vote of 2,470,649 shares of Common Stock, comprised of the Owned Shares, the Estate Shares and the Voting Agreement Shares.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Mrs. Zandman may be deemed to have the sole power to dispose or direct the disposition of the Owned Shares and the Estate Shares.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Mrs. Zandman may be deemed to have shared dispositive power and voting power over the Trust B Shares.</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Mr. Zandman may be deemed to beneficially own an aggregate of 8,645,953 shares of Common Stock as a result of his beneficial ownership of (i) 27,619 shares of Common Stock issuable upon the exercise of options to purchase Common Stock held directly by him, (ii) the Trust B Shares, (iii) 750 shares of Common Stock issuable upon conversion of an equal number of shares of the Class B Common Stock held directly by Mr. Zandman; and (iv) 750 shares of Common Stock issuable upon conversion of an equal number of shares of the Class B Common Stock owned by one of Mr. Zandman's children. This aggregate number represents approximately 6.0% of the total shares of the Company's Common Stock currently outstanding (assuming conversion of all Class B Common Stock). The Class B Common Stock is entitled to 10 votes per share. The shares of Common Stock and Class B Common Stock beneficially owned by Mr. Zandman currently provide him with sole or shared voting power over 33.6% of the Common Stock. Mr. Zandman may be deemed to have the sole power to vote or direct the vote, and the sole power to dispose or direct the disposition, of all such shares of Common Stock.</w:t>
      </w:r>
    </w:p>
    <w:p>
      <w:pPr>
        <w:sectPr>
          <w:pgSz w:w="11900" w:h="16838" w:orient="portrait"/>
          <w:cols w:equalWidth="0" w:num="1">
            <w:col w:w="11420"/>
          </w:cols>
          <w:pgMar w:left="240" w:top="118" w:right="239" w:bottom="151" w:gutter="0" w:footer="0" w:header="0"/>
        </w:sectPr>
      </w:pPr>
    </w:p>
    <w:bookmarkStart w:id="5" w:name="page6"/>
    <w:bookmarkEnd w:id="5"/>
    <w:p>
      <w:pPr>
        <w:jc w:val="both"/>
        <w:ind w:firstLine="648"/>
        <w:spacing w:after="0" w:line="234" w:lineRule="auto"/>
        <w:rPr>
          <w:sz w:val="20"/>
          <w:szCs w:val="20"/>
          <w:color w:val="auto"/>
        </w:rPr>
      </w:pPr>
      <w:r>
        <w:rPr>
          <w:rFonts w:ascii="Arial" w:cs="Arial" w:eastAsia="Arial" w:hAnsi="Arial"/>
          <w:sz w:val="22"/>
          <w:szCs w:val="22"/>
          <w:color w:val="auto"/>
        </w:rPr>
        <w:t>Mr. Shoshani may be deemed to beneficially own an aggregate of 8,640,085 shares of Common Stock as a result of his beneficial ownership of (i) 23,251 shares of Common Stock held directly by him and (ii) the Trust B Shares. This aggregate number represents approximately 6.0% of the total shares of the Company's Common Stock currently outstanding. The Class B Common Stock is entitled to 10 votes per share. The shares of Common Stock and Class B Common Stock beneficially owned by Mr. Shoshani currently provide him with sole or shared voting power over 33.6% of the Common Stock. Mr. Shoshani may be deemed to have the sole power to vote or direct the vote, and the sole power to dispose or direct the disposition, of all such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 March 29, 2015</w:t>
      </w:r>
    </w:p>
    <w:p>
      <w:pPr>
        <w:jc w:val="right"/>
        <w:spacing w:after="0" w:line="238" w:lineRule="auto"/>
        <w:rPr>
          <w:sz w:val="20"/>
          <w:szCs w:val="20"/>
          <w:color w:val="auto"/>
        </w:rPr>
      </w:pPr>
      <w:r>
        <w:rPr>
          <w:rFonts w:ascii="Arial" w:cs="Arial" w:eastAsia="Arial" w:hAnsi="Arial"/>
          <w:sz w:val="22"/>
          <w:szCs w:val="22"/>
          <w:u w:val="single" w:color="auto"/>
          <w:color w:val="auto"/>
        </w:rPr>
        <w:t>/s/ Ruta Zandman</w:t>
      </w:r>
    </w:p>
    <w:p>
      <w:pPr>
        <w:jc w:val="right"/>
        <w:spacing w:after="0"/>
        <w:rPr>
          <w:sz w:val="20"/>
          <w:szCs w:val="20"/>
          <w:color w:val="auto"/>
        </w:rPr>
      </w:pPr>
      <w:r>
        <w:rPr>
          <w:rFonts w:ascii="Arial" w:cs="Arial" w:eastAsia="Arial" w:hAnsi="Arial"/>
          <w:sz w:val="22"/>
          <w:szCs w:val="22"/>
          <w:color w:val="auto"/>
        </w:rPr>
        <w:t>Ruta Zandman</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/s/ Marc Zandman</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 Zandman</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/s/ Ziv Shoshani</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Ziv Shoshani</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5"/>
      <w:numFmt w:val="bullet"/>
      <w:start w:val="1"/>
    </w:lvl>
  </w:abstractNum>
  <w:abstractNum w:abstractNumId="6">
    <w:nsid w:val="3F2DBA31"/>
    <w:multiLevelType w:val="hybridMultilevel"/>
    <w:lvl w:ilvl="0">
      <w:lvlJc w:val="left"/>
      <w:lvlText w:val="6"/>
      <w:numFmt w:val="bullet"/>
      <w:start w:val="1"/>
    </w:lvl>
  </w:abstractNum>
  <w:abstractNum w:abstractNumId="7">
    <w:nsid w:val="7C83E458"/>
    <w:multiLevelType w:val="hybridMultilevel"/>
    <w:lvl w:ilvl="0">
      <w:lvlJc w:val="left"/>
      <w:lvlText w:val="7"/>
      <w:numFmt w:val="bullet"/>
      <w:start w:val="1"/>
    </w:lvl>
  </w:abstractNum>
  <w:abstractNum w:abstractNumId="8">
    <w:nsid w:val="257130A3"/>
    <w:multiLevelType w:val="hybridMultilevel"/>
    <w:lvl w:ilvl="0">
      <w:lvlJc w:val="left"/>
      <w:lvlText w:val="%1"/>
      <w:numFmt w:val="decimal"/>
      <w:start w:val="11"/>
    </w:lvl>
  </w:abstractNum>
  <w:abstractNum w:abstractNumId="9">
    <w:nsid w:val="62BBD95A"/>
    <w:multiLevelType w:val="hybridMultilevel"/>
    <w:lvl w:ilvl="0">
      <w:lvlJc w:val="left"/>
      <w:lvlText w:val="%1"/>
      <w:numFmt w:val="decimal"/>
      <w:start w:val="13"/>
    </w:lvl>
  </w:abstractNum>
  <w:abstractNum w:abstractNumId="10">
    <w:nsid w:val="436C6125"/>
    <w:multiLevelType w:val="hybridMultilevel"/>
    <w:lvl w:ilvl="0">
      <w:lvlJc w:val="left"/>
      <w:lvlText w:val="1"/>
      <w:numFmt w:val="bullet"/>
      <w:start w:val="1"/>
    </w:lvl>
  </w:abstractNum>
  <w:abstractNum w:abstractNumId="11">
    <w:nsid w:val="628C895D"/>
    <w:multiLevelType w:val="hybridMultilevel"/>
    <w:lvl w:ilvl="0">
      <w:lvlJc w:val="left"/>
      <w:lvlText w:val="2"/>
      <w:numFmt w:val="bullet"/>
      <w:start w:val="1"/>
    </w:lvl>
  </w:abstractNum>
  <w:abstractNum w:abstractNumId="12">
    <w:nsid w:val="333AB105"/>
    <w:multiLevelType w:val="hybridMultilevel"/>
    <w:lvl w:ilvl="0">
      <w:lvlJc w:val="left"/>
      <w:lvlText w:val="3"/>
      <w:numFmt w:val="bullet"/>
      <w:start w:val="1"/>
    </w:lvl>
  </w:abstractNum>
  <w:abstractNum w:abstractNumId="13">
    <w:nsid w:val="721DA317"/>
    <w:multiLevelType w:val="hybridMultilevel"/>
    <w:lvl w:ilvl="0">
      <w:lvlJc w:val="left"/>
      <w:lvlText w:val="4"/>
      <w:numFmt w:val="bullet"/>
      <w:start w:val="1"/>
    </w:lvl>
  </w:abstractNum>
  <w:abstractNum w:abstractNumId="14">
    <w:nsid w:val="2443A858"/>
    <w:multiLevelType w:val="hybridMultilevel"/>
    <w:lvl w:ilvl="0">
      <w:lvlJc w:val="left"/>
      <w:lvlText w:val="5"/>
      <w:numFmt w:val="bullet"/>
      <w:start w:val="1"/>
    </w:lvl>
  </w:abstractNum>
  <w:abstractNum w:abstractNumId="15">
    <w:nsid w:val="2D1D5AE9"/>
    <w:multiLevelType w:val="hybridMultilevel"/>
    <w:lvl w:ilvl="0">
      <w:lvlJc w:val="left"/>
      <w:lvlText w:val="6"/>
      <w:numFmt w:val="bullet"/>
      <w:start w:val="1"/>
    </w:lvl>
  </w:abstractNum>
  <w:abstractNum w:abstractNumId="16">
    <w:nsid w:val="6763845E"/>
    <w:multiLevelType w:val="hybridMultilevel"/>
    <w:lvl w:ilvl="0">
      <w:lvlJc w:val="left"/>
      <w:lvlText w:val="7"/>
      <w:numFmt w:val="bullet"/>
      <w:start w:val="1"/>
    </w:lvl>
  </w:abstractNum>
  <w:abstractNum w:abstractNumId="17">
    <w:nsid w:val="75A2A8D4"/>
    <w:multiLevelType w:val="hybridMultilevel"/>
    <w:lvl w:ilvl="0">
      <w:lvlJc w:val="left"/>
      <w:lvlText w:val="%1"/>
      <w:numFmt w:val="decimal"/>
      <w:start w:val="11"/>
    </w:lvl>
  </w:abstractNum>
  <w:abstractNum w:abstractNumId="18">
    <w:nsid w:val="8EDBDAB"/>
    <w:multiLevelType w:val="hybridMultilevel"/>
    <w:lvl w:ilvl="0">
      <w:lvlJc w:val="left"/>
      <w:lvlText w:val="%1"/>
      <w:numFmt w:val="decimal"/>
      <w:start w:val="13"/>
    </w:lvl>
  </w:abstractNum>
  <w:abstractNum w:abstractNumId="19">
    <w:nsid w:val="79838CB2"/>
    <w:multiLevelType w:val="hybridMultilevel"/>
    <w:lvl w:ilvl="0">
      <w:lvlJc w:val="left"/>
      <w:lvlText w:val="1"/>
      <w:numFmt w:val="bullet"/>
      <w:start w:val="1"/>
    </w:lvl>
  </w:abstractNum>
  <w:abstractNum w:abstractNumId="20">
    <w:nsid w:val="4353D0CD"/>
    <w:multiLevelType w:val="hybridMultilevel"/>
    <w:lvl w:ilvl="0">
      <w:lvlJc w:val="left"/>
      <w:lvlText w:val="2"/>
      <w:numFmt w:val="bullet"/>
      <w:start w:val="1"/>
    </w:lvl>
  </w:abstractNum>
  <w:abstractNum w:abstractNumId="21">
    <w:nsid w:val="B03E0C6"/>
    <w:multiLevelType w:val="hybridMultilevel"/>
    <w:lvl w:ilvl="0">
      <w:lvlJc w:val="left"/>
      <w:lvlText w:val="3"/>
      <w:numFmt w:val="bullet"/>
      <w:start w:val="1"/>
    </w:lvl>
  </w:abstractNum>
  <w:abstractNum w:abstractNumId="22">
    <w:nsid w:val="189A769B"/>
    <w:multiLevelType w:val="hybridMultilevel"/>
    <w:lvl w:ilvl="0">
      <w:lvlJc w:val="left"/>
      <w:lvlText w:val="4"/>
      <w:numFmt w:val="bullet"/>
      <w:start w:val="1"/>
    </w:lvl>
  </w:abstractNum>
  <w:abstractNum w:abstractNumId="23">
    <w:nsid w:val="54E49EB4"/>
    <w:multiLevelType w:val="hybridMultilevel"/>
    <w:lvl w:ilvl="0">
      <w:lvlJc w:val="left"/>
      <w:lvlText w:val="5"/>
      <w:numFmt w:val="bullet"/>
      <w:start w:val="1"/>
    </w:lvl>
  </w:abstractNum>
  <w:abstractNum w:abstractNumId="24">
    <w:nsid w:val="71F32454"/>
    <w:multiLevelType w:val="hybridMultilevel"/>
    <w:lvl w:ilvl="0">
      <w:lvlJc w:val="left"/>
      <w:lvlText w:val="6"/>
      <w:numFmt w:val="bullet"/>
      <w:start w:val="1"/>
    </w:lvl>
  </w:abstractNum>
  <w:abstractNum w:abstractNumId="25">
    <w:nsid w:val="2CA88611"/>
    <w:multiLevelType w:val="hybridMultilevel"/>
    <w:lvl w:ilvl="0">
      <w:lvlJc w:val="left"/>
      <w:lvlText w:val="7"/>
      <w:numFmt w:val="bullet"/>
      <w:start w:val="1"/>
    </w:lvl>
  </w:abstractNum>
  <w:abstractNum w:abstractNumId="26">
    <w:nsid w:val="836C40E"/>
    <w:multiLevelType w:val="hybridMultilevel"/>
    <w:lvl w:ilvl="0">
      <w:lvlJc w:val="left"/>
      <w:lvlText w:val="%1"/>
      <w:numFmt w:val="decimal"/>
      <w:start w:val="11"/>
    </w:lvl>
  </w:abstractNum>
  <w:abstractNum w:abstractNumId="27">
    <w:nsid w:val="2901D82"/>
    <w:multiLevelType w:val="hybridMultilevel"/>
    <w:lvl w:ilvl="0">
      <w:lvlJc w:val="left"/>
      <w:lvlText w:val="%1"/>
      <w:numFmt w:val="decimal"/>
      <w:start w:val="13"/>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2020-01-22T23:15:48Z</dcterms:created>
  <dcterms:modified xsi:type="dcterms:W3CDTF">2020-01-22T23:15:48Z</dcterms:modified>
</cp:coreProperties>
</file>