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vishay_8k.htm"/>
      <w:bookmarkStart w:id="1" w:name="ksvishay_8k"/>
      <w:bookmarkStart w:id="2" w:name="vishay_8k.htm"/>
      <w:bookmarkStart w:id="3" w:name="ksvishay_8k"/>
      <w:bookmarkEnd w:id="2"/>
      <w:bookmarkEnd w:id="3"/>
    </w:p>
    <w:p>
      <w:pPr>
        <w:pStyle w:val="TextBody"/>
        <w:spacing w:before="0" w:after="0"/>
        <w:jc w:val="center"/>
        <w:rPr>
          <w:rFonts w:ascii="serif" w:hAnsi="serif"/>
          <w:b/>
          <w:sz w:val="20"/>
        </w:rPr>
      </w:pPr>
      <w:r>
        <w:rPr>
          <w:rFonts w:ascii="serif" w:hAnsi="serif"/>
          <w:b/>
          <w:sz w:val="20"/>
        </w:rPr>
        <w:t>UNITED STATES</w:t>
        <w:br/>
        <w:t>SECURITIES AND EXCHANGE COMMISSION</w:t>
        <w:br/>
        <w:t>Washington, D.C. 20549</w:t>
      </w:r>
    </w:p>
    <w:p>
      <w:pPr>
        <w:pStyle w:val="TextBody"/>
        <w:spacing w:before="0" w:after="0"/>
        <w:rPr/>
      </w:pPr>
      <w:r>
        <w:rPr/>
        <w:t> </w:t>
      </w:r>
    </w:p>
    <w:p>
      <w:pPr>
        <w:pStyle w:val="TextBody"/>
        <w:spacing w:before="0" w:after="0"/>
        <w:rPr/>
      </w:pPr>
      <w:r>
        <w:rPr/>
        <w:t> </w:t>
      </w:r>
    </w:p>
    <w:p>
      <w:pPr>
        <w:pStyle w:val="TextBody"/>
        <w:spacing w:before="0" w:after="0"/>
        <w:jc w:val="center"/>
        <w:rPr>
          <w:rFonts w:ascii="serif" w:hAnsi="serif"/>
          <w:b/>
          <w:sz w:val="36"/>
        </w:rPr>
      </w:pPr>
      <w:r>
        <w:rPr>
          <w:rFonts w:ascii="serif" w:hAnsi="serif"/>
          <w:b/>
          <w:sz w:val="36"/>
        </w:rPr>
        <w:t>FORM 8-K</w:t>
      </w:r>
    </w:p>
    <w:p>
      <w:pPr>
        <w:pStyle w:val="TextBody"/>
        <w:spacing w:before="0" w:after="0"/>
        <w:rPr/>
      </w:pPr>
      <w:r>
        <w:rPr/>
        <w:t> </w:t>
      </w:r>
    </w:p>
    <w:p>
      <w:pPr>
        <w:pStyle w:val="TextBody"/>
        <w:spacing w:before="0" w:after="0"/>
        <w:jc w:val="center"/>
        <w:rPr/>
      </w:pPr>
      <w:r>
        <w:rPr>
          <w:rFonts w:ascii="serif" w:hAnsi="serif"/>
          <w:b/>
          <w:sz w:val="28"/>
        </w:rPr>
        <w:t>CURRENT REPORT</w:t>
        <w:br/>
      </w:r>
      <w:r>
        <w:rPr>
          <w:rFonts w:ascii="serif" w:hAnsi="serif"/>
          <w:b/>
          <w:sz w:val="20"/>
        </w:rPr>
        <w:t>Pursuant to Section 13 OR 15(d) of the Securities Exchange Act of 1934</w:t>
      </w:r>
    </w:p>
    <w:p>
      <w:pPr>
        <w:pStyle w:val="TextBody"/>
        <w:spacing w:before="0" w:after="0"/>
        <w:rPr/>
      </w:pPr>
      <w:r>
        <w:rPr/>
        <w:t> </w:t>
      </w:r>
    </w:p>
    <w:p>
      <w:pPr>
        <w:pStyle w:val="TextBody"/>
        <w:spacing w:before="0" w:after="0"/>
        <w:jc w:val="left"/>
        <w:rPr>
          <w:rFonts w:ascii="serif" w:hAnsi="serif"/>
          <w:sz w:val="20"/>
        </w:rPr>
      </w:pPr>
      <w:r>
        <w:rPr>
          <w:rFonts w:ascii="serif" w:hAnsi="serif"/>
          <w:sz w:val="20"/>
        </w:rPr>
        <w:t>Date of Report (Date of earliest event reported)   July 21, 2010</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596"/>
        <w:gridCol w:w="5009"/>
        <w:gridCol w:w="2600"/>
      </w:tblGrid>
      <w:tr>
        <w:trPr/>
        <w:tc>
          <w:tcPr>
            <w:tcW w:w="2596" w:type="dxa"/>
            <w:tcBorders/>
            <w:shd w:fill="auto" w:val="clear"/>
            <w:vAlign w:val="bottom"/>
          </w:tcPr>
          <w:p>
            <w:pPr>
              <w:pStyle w:val="TableContents"/>
              <w:spacing w:before="0" w:after="283"/>
              <w:rPr/>
            </w:pPr>
            <w:r>
              <w:rPr/>
              <w:t> </w:t>
            </w:r>
          </w:p>
        </w:tc>
        <w:tc>
          <w:tcPr>
            <w:tcW w:w="5009" w:type="dxa"/>
            <w:tcBorders>
              <w:bottom w:val="single" w:sz="8" w:space="0" w:color="000000"/>
            </w:tcBorders>
            <w:shd w:fill="auto" w:val="clear"/>
            <w:tcMar>
              <w:bottom w:w="28" w:type="dxa"/>
            </w:tcMar>
            <w:vAlign w:val="bottom"/>
          </w:tcPr>
          <w:p>
            <w:pPr>
              <w:pStyle w:val="TableContents"/>
              <w:spacing w:before="0" w:after="283"/>
              <w:jc w:val="center"/>
              <w:rPr>
                <w:b/>
                <w:sz w:val="28"/>
              </w:rPr>
            </w:pPr>
            <w:r>
              <w:rPr>
                <w:b/>
                <w:sz w:val="28"/>
              </w:rPr>
              <w:t>Vishay Intertechnology, Inc.</w:t>
            </w:r>
          </w:p>
        </w:tc>
        <w:tc>
          <w:tcPr>
            <w:tcW w:w="2600" w:type="dxa"/>
            <w:tcBorders/>
            <w:shd w:fill="auto" w:val="clear"/>
            <w:vAlign w:val="bottom"/>
          </w:tcPr>
          <w:p>
            <w:pPr>
              <w:pStyle w:val="TableContents"/>
              <w:spacing w:before="0" w:after="283"/>
              <w:rPr/>
            </w:pPr>
            <w:r>
              <w:rPr/>
              <w:t> </w:t>
            </w:r>
          </w:p>
        </w:tc>
      </w:tr>
      <w:tr>
        <w:trPr/>
        <w:tc>
          <w:tcPr>
            <w:tcW w:w="10205" w:type="dxa"/>
            <w:gridSpan w:val="3"/>
            <w:tcBorders/>
            <w:shd w:fill="auto" w:val="clear"/>
            <w:vAlign w:val="bottom"/>
          </w:tcPr>
          <w:p>
            <w:pPr>
              <w:pStyle w:val="TableContents"/>
              <w:spacing w:before="0" w:after="283"/>
              <w:jc w:val="center"/>
              <w:rPr>
                <w:rFonts w:ascii="serif" w:hAnsi="serif"/>
                <w:sz w:val="20"/>
              </w:rPr>
            </w:pPr>
            <w:r>
              <w:rPr>
                <w:rFonts w:ascii="serif" w:hAnsi="serif"/>
                <w:sz w:val="20"/>
              </w:rPr>
              <w:t>(Exact name of registrant as specified in its charter)</w:t>
            </w:r>
          </w:p>
        </w:tc>
      </w:tr>
    </w:tbl>
    <w:p>
      <w:pPr>
        <w:pStyle w:val="TextBody"/>
        <w:spacing w:before="0" w:after="0"/>
        <w:rPr/>
      </w:pPr>
      <w:r>
        <w:rPr/>
      </w:r>
    </w:p>
    <w:tbl>
      <w:tblPr>
        <w:tblW w:w="5000" w:type="pct"/>
        <w:jc w:val="left"/>
        <w:tblInd w:w="0" w:type="dxa"/>
        <w:tblCellMar>
          <w:top w:w="0" w:type="dxa"/>
          <w:left w:w="0" w:type="dxa"/>
          <w:bottom w:w="28" w:type="dxa"/>
          <w:right w:w="0" w:type="dxa"/>
        </w:tblCellMar>
      </w:tblPr>
      <w:tblGrid>
        <w:gridCol w:w="2959"/>
        <w:gridCol w:w="510"/>
        <w:gridCol w:w="3062"/>
        <w:gridCol w:w="612"/>
        <w:gridCol w:w="3062"/>
      </w:tblGrid>
      <w:tr>
        <w:trPr/>
        <w:tc>
          <w:tcPr>
            <w:tcW w:w="2959" w:type="dxa"/>
            <w:tcBorders>
              <w:bottom w:val="single" w:sz="8" w:space="0" w:color="000000"/>
            </w:tcBorders>
            <w:shd w:fill="auto" w:val="clear"/>
            <w:vAlign w:val="bottom"/>
          </w:tcPr>
          <w:p>
            <w:pPr>
              <w:pStyle w:val="TableContents"/>
              <w:spacing w:before="0" w:after="283"/>
              <w:jc w:val="center"/>
              <w:rPr>
                <w:rFonts w:ascii="serif" w:hAnsi="serif"/>
                <w:b w:val="false"/>
                <w:sz w:val="20"/>
              </w:rPr>
            </w:pPr>
            <w:r>
              <w:rPr>
                <w:rFonts w:ascii="serif" w:hAnsi="serif"/>
                <w:b w:val="false"/>
                <w:sz w:val="20"/>
              </w:rPr>
              <w:t>Delaware</w:t>
            </w:r>
          </w:p>
        </w:tc>
        <w:tc>
          <w:tcPr>
            <w:tcW w:w="510" w:type="dxa"/>
            <w:tcBorders>
              <w:bottom w:val="single" w:sz="8" w:space="0" w:color="000000"/>
            </w:tcBorders>
            <w:shd w:fill="auto" w:val="clear"/>
            <w:vAlign w:val="bottom"/>
          </w:tcPr>
          <w:p>
            <w:pPr>
              <w:pStyle w:val="TableContents"/>
              <w:spacing w:before="0" w:after="283"/>
              <w:jc w:val="left"/>
              <w:rPr/>
            </w:pPr>
            <w:r>
              <w:rPr/>
              <w:t> </w:t>
            </w:r>
          </w:p>
        </w:tc>
        <w:tc>
          <w:tcPr>
            <w:tcW w:w="3062" w:type="dxa"/>
            <w:tcBorders>
              <w:bottom w:val="single" w:sz="8" w:space="0" w:color="000000"/>
            </w:tcBorders>
            <w:shd w:fill="auto" w:val="clear"/>
            <w:vAlign w:val="bottom"/>
          </w:tcPr>
          <w:p>
            <w:pPr>
              <w:pStyle w:val="TableContents"/>
              <w:spacing w:before="0" w:after="283"/>
              <w:jc w:val="center"/>
              <w:rPr>
                <w:rFonts w:ascii="serif" w:hAnsi="serif"/>
                <w:b w:val="false"/>
                <w:sz w:val="20"/>
              </w:rPr>
            </w:pPr>
            <w:r>
              <w:rPr>
                <w:rFonts w:ascii="serif" w:hAnsi="serif"/>
                <w:b w:val="false"/>
                <w:sz w:val="20"/>
              </w:rPr>
              <w:t>1-7416</w:t>
            </w:r>
          </w:p>
        </w:tc>
        <w:tc>
          <w:tcPr>
            <w:tcW w:w="612" w:type="dxa"/>
            <w:tcBorders>
              <w:bottom w:val="single" w:sz="8" w:space="0" w:color="000000"/>
            </w:tcBorders>
            <w:shd w:fill="auto" w:val="clear"/>
            <w:vAlign w:val="bottom"/>
          </w:tcPr>
          <w:p>
            <w:pPr>
              <w:pStyle w:val="TableContents"/>
              <w:spacing w:before="0" w:after="283"/>
              <w:jc w:val="left"/>
              <w:rPr/>
            </w:pPr>
            <w:r>
              <w:rPr/>
              <w:t> </w:t>
            </w:r>
          </w:p>
        </w:tc>
        <w:tc>
          <w:tcPr>
            <w:tcW w:w="3062" w:type="dxa"/>
            <w:tcBorders>
              <w:bottom w:val="single" w:sz="8" w:space="0" w:color="000000"/>
            </w:tcBorders>
            <w:shd w:fill="auto" w:val="clear"/>
            <w:vAlign w:val="bottom"/>
          </w:tcPr>
          <w:p>
            <w:pPr>
              <w:pStyle w:val="TableContents"/>
              <w:spacing w:before="0" w:after="283"/>
              <w:jc w:val="center"/>
              <w:rPr>
                <w:rFonts w:ascii="serif" w:hAnsi="serif"/>
                <w:b w:val="false"/>
                <w:sz w:val="20"/>
              </w:rPr>
            </w:pPr>
            <w:r>
              <w:rPr>
                <w:rFonts w:ascii="serif" w:hAnsi="serif"/>
                <w:b w:val="false"/>
                <w:sz w:val="20"/>
              </w:rPr>
              <w:t>38-1686453</w:t>
            </w:r>
          </w:p>
        </w:tc>
      </w:tr>
      <w:tr>
        <w:trPr/>
        <w:tc>
          <w:tcPr>
            <w:tcW w:w="2959"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(State or other jurisdiction</w:t>
            </w:r>
          </w:p>
        </w:tc>
        <w:tc>
          <w:tcPr>
            <w:tcW w:w="510" w:type="dxa"/>
            <w:tcBorders/>
            <w:shd w:fill="auto" w:val="clear"/>
            <w:tcMar>
              <w:bottom w:w="0" w:type="dxa"/>
            </w:tcMar>
            <w:vAlign w:val="bottom"/>
          </w:tcPr>
          <w:p>
            <w:pPr>
              <w:pStyle w:val="TableContents"/>
              <w:spacing w:before="0" w:after="283"/>
              <w:rPr/>
            </w:pPr>
            <w:r>
              <w:rPr/>
              <w:t> </w:t>
            </w:r>
          </w:p>
        </w:tc>
        <w:tc>
          <w:tcPr>
            <w:tcW w:w="3062"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(Commission</w:t>
            </w:r>
          </w:p>
        </w:tc>
        <w:tc>
          <w:tcPr>
            <w:tcW w:w="612" w:type="dxa"/>
            <w:tcBorders/>
            <w:shd w:fill="auto" w:val="clear"/>
            <w:tcMar>
              <w:bottom w:w="0" w:type="dxa"/>
            </w:tcMar>
            <w:vAlign w:val="bottom"/>
          </w:tcPr>
          <w:p>
            <w:pPr>
              <w:pStyle w:val="TableContents"/>
              <w:spacing w:before="0" w:after="283"/>
              <w:rPr/>
            </w:pPr>
            <w:r>
              <w:rPr/>
              <w:t> </w:t>
            </w:r>
          </w:p>
        </w:tc>
        <w:tc>
          <w:tcPr>
            <w:tcW w:w="3062"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(I.R.S. Employer</w:t>
            </w:r>
          </w:p>
        </w:tc>
      </w:tr>
      <w:tr>
        <w:trPr/>
        <w:tc>
          <w:tcPr>
            <w:tcW w:w="2959"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of incorporation)</w:t>
            </w:r>
          </w:p>
        </w:tc>
        <w:tc>
          <w:tcPr>
            <w:tcW w:w="510" w:type="dxa"/>
            <w:tcBorders/>
            <w:shd w:fill="auto" w:val="clear"/>
            <w:tcMar>
              <w:bottom w:w="0" w:type="dxa"/>
            </w:tcMar>
            <w:vAlign w:val="bottom"/>
          </w:tcPr>
          <w:p>
            <w:pPr>
              <w:pStyle w:val="TableContents"/>
              <w:spacing w:before="0" w:after="283"/>
              <w:rPr>
                <w:sz w:val="4"/>
                <w:szCs w:val="4"/>
              </w:rPr>
            </w:pPr>
            <w:r>
              <w:rPr>
                <w:sz w:val="4"/>
                <w:szCs w:val="4"/>
              </w:rPr>
            </w:r>
          </w:p>
        </w:tc>
        <w:tc>
          <w:tcPr>
            <w:tcW w:w="3062"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File Number)</w:t>
            </w:r>
          </w:p>
        </w:tc>
        <w:tc>
          <w:tcPr>
            <w:tcW w:w="612" w:type="dxa"/>
            <w:tcBorders/>
            <w:shd w:fill="auto" w:val="clear"/>
            <w:tcMar>
              <w:bottom w:w="0" w:type="dxa"/>
            </w:tcMar>
            <w:vAlign w:val="bottom"/>
          </w:tcPr>
          <w:p>
            <w:pPr>
              <w:pStyle w:val="TableContents"/>
              <w:spacing w:before="0" w:after="283"/>
              <w:rPr>
                <w:sz w:val="4"/>
                <w:szCs w:val="4"/>
              </w:rPr>
            </w:pPr>
            <w:r>
              <w:rPr>
                <w:sz w:val="4"/>
                <w:szCs w:val="4"/>
              </w:rPr>
            </w:r>
          </w:p>
        </w:tc>
        <w:tc>
          <w:tcPr>
            <w:tcW w:w="3062"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Identification No.)</w:t>
            </w:r>
          </w:p>
        </w:tc>
      </w:tr>
    </w:tbl>
    <w:p>
      <w:pPr>
        <w:pStyle w:val="TextBody"/>
        <w:spacing w:before="0" w:after="0"/>
        <w:rPr/>
      </w:pPr>
      <w:r>
        <w:rPr/>
        <w:t xml:space="preserve">  </w:t>
      </w:r>
    </w:p>
    <w:tbl>
      <w:tblPr>
        <w:tblW w:w="5000" w:type="pct"/>
        <w:jc w:val="center"/>
        <w:tblInd w:w="0" w:type="dxa"/>
        <w:tblCellMar>
          <w:top w:w="0" w:type="dxa"/>
          <w:left w:w="0" w:type="dxa"/>
          <w:bottom w:w="0" w:type="dxa"/>
          <w:right w:w="0" w:type="dxa"/>
        </w:tblCellMar>
      </w:tblPr>
      <w:tblGrid>
        <w:gridCol w:w="5103"/>
        <w:gridCol w:w="407"/>
        <w:gridCol w:w="4695"/>
      </w:tblGrid>
      <w:tr>
        <w:trPr/>
        <w:tc>
          <w:tcPr>
            <w:tcW w:w="5103" w:type="dxa"/>
            <w:tcBorders/>
            <w:shd w:fill="auto" w:val="clear"/>
            <w:vAlign w:val="bottom"/>
          </w:tcPr>
          <w:p>
            <w:pPr>
              <w:pStyle w:val="TableContents"/>
              <w:spacing w:before="0" w:after="283"/>
              <w:jc w:val="center"/>
              <w:rPr>
                <w:rFonts w:ascii="serif" w:hAnsi="serif"/>
                <w:b w:val="false"/>
                <w:sz w:val="20"/>
              </w:rPr>
            </w:pPr>
            <w:r>
              <w:rPr>
                <w:rFonts w:ascii="serif" w:hAnsi="serif"/>
                <w:b w:val="false"/>
                <w:sz w:val="20"/>
              </w:rPr>
              <w:t>63 Lancaster Avenue</w:t>
            </w:r>
          </w:p>
        </w:tc>
        <w:tc>
          <w:tcPr>
            <w:tcW w:w="407" w:type="dxa"/>
            <w:tcBorders/>
            <w:shd w:fill="auto" w:val="clear"/>
            <w:vAlign w:val="bottom"/>
          </w:tcPr>
          <w:p>
            <w:pPr>
              <w:pStyle w:val="TableContents"/>
              <w:spacing w:before="0" w:after="283"/>
              <w:jc w:val="center"/>
              <w:rPr/>
            </w:pPr>
            <w:r>
              <w:rPr/>
              <w:t>     </w:t>
            </w:r>
          </w:p>
        </w:tc>
        <w:tc>
          <w:tcPr>
            <w:tcW w:w="4695" w:type="dxa"/>
            <w:tcBorders/>
            <w:shd w:fill="auto" w:val="clear"/>
            <w:vAlign w:val="bottom"/>
          </w:tcPr>
          <w:p>
            <w:pPr>
              <w:pStyle w:val="TableContents"/>
              <w:spacing w:before="0" w:after="283"/>
              <w:jc w:val="center"/>
              <w:rPr/>
            </w:pPr>
            <w:r>
              <w:rPr/>
              <w:t> </w:t>
            </w:r>
          </w:p>
        </w:tc>
      </w:tr>
      <w:tr>
        <w:trPr/>
        <w:tc>
          <w:tcPr>
            <w:tcW w:w="5103"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val="false"/>
                <w:sz w:val="20"/>
              </w:rPr>
            </w:pPr>
            <w:r>
              <w:rPr>
                <w:rFonts w:ascii="serif" w:hAnsi="serif"/>
                <w:b w:val="false"/>
                <w:sz w:val="20"/>
              </w:rPr>
              <w:t>Malvern, PA 19355</w:t>
            </w:r>
          </w:p>
        </w:tc>
        <w:tc>
          <w:tcPr>
            <w:tcW w:w="40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4695" w:type="dxa"/>
            <w:tcBorders>
              <w:bottom w:val="single" w:sz="8" w:space="0" w:color="000000"/>
            </w:tcBorders>
            <w:shd w:fill="auto" w:val="clear"/>
            <w:tcMar>
              <w:bottom w:w="28" w:type="dxa"/>
            </w:tcMar>
            <w:vAlign w:val="bottom"/>
          </w:tcPr>
          <w:p>
            <w:pPr>
              <w:pStyle w:val="TableContents"/>
              <w:spacing w:before="0" w:after="283"/>
              <w:jc w:val="center"/>
              <w:rPr>
                <w:b w:val="false"/>
              </w:rPr>
            </w:pPr>
            <w:r>
              <w:rPr>
                <w:rFonts w:ascii="serif" w:hAnsi="serif"/>
                <w:b w:val="false"/>
                <w:sz w:val="20"/>
              </w:rPr>
              <w:t>19355</w:t>
            </w:r>
            <w:r>
              <w:rPr>
                <w:b w:val="false"/>
                <w:sz w:val="20"/>
              </w:rPr>
              <w:t>-</w:t>
            </w:r>
            <w:r>
              <w:rPr>
                <w:rFonts w:ascii="serif" w:hAnsi="serif"/>
                <w:b w:val="false"/>
                <w:sz w:val="20"/>
              </w:rPr>
              <w:t>2143</w:t>
            </w:r>
          </w:p>
        </w:tc>
      </w:tr>
      <w:tr>
        <w:trPr/>
        <w:tc>
          <w:tcPr>
            <w:tcW w:w="5103" w:type="dxa"/>
            <w:tcBorders/>
            <w:shd w:fill="auto" w:val="clear"/>
            <w:vAlign w:val="bottom"/>
          </w:tcPr>
          <w:p>
            <w:pPr>
              <w:pStyle w:val="TableContents"/>
              <w:spacing w:before="0" w:after="283"/>
              <w:jc w:val="center"/>
              <w:rPr>
                <w:rFonts w:ascii="serif" w:hAnsi="serif"/>
                <w:sz w:val="20"/>
              </w:rPr>
            </w:pPr>
            <w:r>
              <w:rPr>
                <w:rFonts w:ascii="serif" w:hAnsi="serif"/>
                <w:sz w:val="20"/>
              </w:rPr>
              <w:t>(Address of principal executive offices)</w:t>
            </w:r>
          </w:p>
        </w:tc>
        <w:tc>
          <w:tcPr>
            <w:tcW w:w="407" w:type="dxa"/>
            <w:tcBorders/>
            <w:shd w:fill="auto" w:val="clear"/>
            <w:vAlign w:val="bottom"/>
          </w:tcPr>
          <w:p>
            <w:pPr>
              <w:pStyle w:val="TableContents"/>
              <w:spacing w:before="0" w:after="283"/>
              <w:jc w:val="center"/>
              <w:rPr/>
            </w:pPr>
            <w:r>
              <w:rPr/>
              <w:t> </w:t>
            </w:r>
          </w:p>
        </w:tc>
        <w:tc>
          <w:tcPr>
            <w:tcW w:w="4695" w:type="dxa"/>
            <w:tcBorders/>
            <w:shd w:fill="auto" w:val="clear"/>
            <w:vAlign w:val="bottom"/>
          </w:tcPr>
          <w:p>
            <w:pPr>
              <w:pStyle w:val="TableContents"/>
              <w:spacing w:before="0" w:after="283"/>
              <w:jc w:val="center"/>
              <w:rPr>
                <w:rFonts w:ascii="serif" w:hAnsi="serif"/>
                <w:sz w:val="20"/>
              </w:rPr>
            </w:pPr>
            <w:r>
              <w:rPr>
                <w:rFonts w:ascii="serif" w:hAnsi="serif"/>
                <w:sz w:val="20"/>
              </w:rPr>
              <w:t>(Zip Code)</w:t>
            </w:r>
          </w:p>
        </w:tc>
      </w:tr>
    </w:tbl>
    <w:p>
      <w:pPr>
        <w:pStyle w:val="TextBody"/>
        <w:spacing w:before="0" w:after="0"/>
        <w:jc w:val="center"/>
        <w:rPr/>
      </w:pPr>
      <w:r>
        <w:rPr/>
        <w:br/>
        <w:t> </w:t>
      </w:r>
    </w:p>
    <w:p>
      <w:pPr>
        <w:pStyle w:val="TextBody"/>
        <w:spacing w:before="0" w:after="0"/>
        <w:jc w:val="left"/>
        <w:rPr>
          <w:rFonts w:ascii="serif" w:hAnsi="serif"/>
          <w:sz w:val="20"/>
        </w:rPr>
      </w:pPr>
      <w:r>
        <w:rPr>
          <w:rFonts w:ascii="serif" w:hAnsi="serif"/>
          <w:sz w:val="20"/>
        </w:rPr>
        <w:t>Registrant’s telephone number, including area code   610-644-1300</w:t>
      </w:r>
    </w:p>
    <w:p>
      <w:pPr>
        <w:pStyle w:val="TextBody"/>
        <w:spacing w:before="0" w:after="0"/>
        <w:rPr/>
      </w:pPr>
      <w:r>
        <w:rPr/>
        <w:t> </w:t>
      </w:r>
    </w:p>
    <w:tbl>
      <w:tblPr>
        <w:tblW w:w="5000" w:type="pct"/>
        <w:jc w:val="center"/>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283"/>
              <w:jc w:val="left"/>
              <w:rPr/>
            </w:pPr>
            <w:r>
              <w:rPr/>
              <w:t xml:space="preserve">  </w:t>
            </w:r>
          </w:p>
        </w:tc>
      </w:tr>
      <w:tr>
        <w:trPr/>
        <w:tc>
          <w:tcPr>
            <w:tcW w:w="10205"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(Former name or former address, if changed since last report.)</w:t>
            </w:r>
          </w:p>
        </w:tc>
      </w:tr>
    </w:tbl>
    <w:p>
      <w:pPr>
        <w:pStyle w:val="TextBody"/>
        <w:spacing w:before="0" w:after="0"/>
        <w:jc w:val="left"/>
        <w:rPr/>
      </w:pPr>
      <w:r>
        <w:rPr/>
        <w:br/>
      </w:r>
      <w:r>
        <w:rPr>
          <w:rFonts w:ascii="serif" w:hAnsi="serif"/>
          <w:sz w:val="20"/>
        </w:rPr>
        <w:t>Check the appropriate box below if the Form 8-K filing is intended to simultaneously satisfy the filing obligation of the registrant under any of the following provisions:</w:t>
      </w:r>
    </w:p>
    <w:p>
      <w:pPr>
        <w:pStyle w:val="TextBody"/>
        <w:spacing w:before="0" w:after="0"/>
        <w:rPr/>
      </w:pPr>
      <w:r>
        <w:rPr/>
        <w:t> </w:t>
      </w:r>
    </w:p>
    <w:tbl>
      <w:tblPr>
        <w:tblW w:w="11245" w:type="dxa"/>
        <w:jc w:val="left"/>
        <w:tblInd w:w="0" w:type="dxa"/>
        <w:tblCellMar>
          <w:top w:w="0" w:type="dxa"/>
          <w:left w:w="0" w:type="dxa"/>
          <w:bottom w:w="0" w:type="dxa"/>
          <w:right w:w="0" w:type="dxa"/>
        </w:tblCellMar>
      </w:tblPr>
      <w:tblGrid>
        <w:gridCol w:w="140"/>
        <w:gridCol w:w="300"/>
        <w:gridCol w:w="10805"/>
      </w:tblGrid>
      <w:tr>
        <w:trPr/>
        <w:tc>
          <w:tcPr>
            <w:tcW w:w="140"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300" w:type="dxa"/>
            <w:tcBorders/>
            <w:shd w:fill="auto" w:val="clear"/>
          </w:tcPr>
          <w:p>
            <w:pPr>
              <w:pStyle w:val="TableContents"/>
              <w:spacing w:before="0" w:after="283"/>
              <w:jc w:val="left"/>
              <w:rPr/>
            </w:pPr>
            <w:r>
              <w:rPr/>
              <w:t>     </w:t>
            </w:r>
          </w:p>
        </w:tc>
        <w:tc>
          <w:tcPr>
            <w:tcW w:w="10805" w:type="dxa"/>
            <w:tcBorders/>
            <w:shd w:fill="auto" w:val="clear"/>
          </w:tcPr>
          <w:p>
            <w:pPr>
              <w:pStyle w:val="TableContents"/>
              <w:spacing w:before="0" w:after="283"/>
              <w:jc w:val="left"/>
              <w:rPr>
                <w:rFonts w:ascii="serif" w:hAnsi="serif"/>
                <w:sz w:val="20"/>
              </w:rPr>
            </w:pPr>
            <w:r>
              <w:rPr>
                <w:rFonts w:ascii="serif" w:hAnsi="serif"/>
                <w:sz w:val="20"/>
              </w:rPr>
              <w:t>Written communications pursuant to Rule 425 under the Securities Act (17 CFR 230.425)</w:t>
            </w:r>
          </w:p>
        </w:tc>
      </w:tr>
      <w:tr>
        <w:trPr/>
        <w:tc>
          <w:tcPr>
            <w:tcW w:w="140" w:type="dxa"/>
            <w:tcBorders/>
            <w:shd w:fill="auto" w:val="clear"/>
          </w:tcPr>
          <w:p>
            <w:pPr>
              <w:pStyle w:val="TableContents"/>
              <w:spacing w:before="0" w:after="283"/>
              <w:rPr>
                <w:sz w:val="4"/>
                <w:szCs w:val="4"/>
              </w:rPr>
            </w:pPr>
            <w:r>
              <w:rPr>
                <w:sz w:val="4"/>
                <w:szCs w:val="4"/>
              </w:rPr>
            </w:r>
          </w:p>
        </w:tc>
        <w:tc>
          <w:tcPr>
            <w:tcW w:w="300" w:type="dxa"/>
            <w:tcBorders/>
            <w:shd w:fill="auto" w:val="clear"/>
          </w:tcPr>
          <w:p>
            <w:pPr>
              <w:pStyle w:val="TableContents"/>
              <w:spacing w:before="0" w:after="283"/>
              <w:rPr>
                <w:sz w:val="4"/>
                <w:szCs w:val="4"/>
              </w:rPr>
            </w:pPr>
            <w:r>
              <w:rPr>
                <w:sz w:val="4"/>
                <w:szCs w:val="4"/>
              </w:rPr>
            </w:r>
          </w:p>
        </w:tc>
        <w:tc>
          <w:tcPr>
            <w:tcW w:w="10805" w:type="dxa"/>
            <w:tcBorders/>
            <w:shd w:fill="auto" w:val="clear"/>
          </w:tcPr>
          <w:p>
            <w:pPr>
              <w:pStyle w:val="TableContents"/>
              <w:spacing w:before="0" w:after="283"/>
              <w:jc w:val="left"/>
              <w:rPr/>
            </w:pPr>
            <w:r>
              <w:rPr/>
              <w:t xml:space="preserve">  </w:t>
            </w:r>
          </w:p>
        </w:tc>
      </w:tr>
      <w:tr>
        <w:trPr/>
        <w:tc>
          <w:tcPr>
            <w:tcW w:w="140"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300" w:type="dxa"/>
            <w:tcBorders/>
            <w:shd w:fill="auto" w:val="clear"/>
          </w:tcPr>
          <w:p>
            <w:pPr>
              <w:pStyle w:val="TableContents"/>
              <w:spacing w:before="0" w:after="283"/>
              <w:rPr>
                <w:sz w:val="4"/>
                <w:szCs w:val="4"/>
              </w:rPr>
            </w:pPr>
            <w:r>
              <w:rPr>
                <w:sz w:val="4"/>
                <w:szCs w:val="4"/>
              </w:rPr>
            </w:r>
          </w:p>
        </w:tc>
        <w:tc>
          <w:tcPr>
            <w:tcW w:w="10805" w:type="dxa"/>
            <w:tcBorders/>
            <w:shd w:fill="auto" w:val="clear"/>
          </w:tcPr>
          <w:p>
            <w:pPr>
              <w:pStyle w:val="TableContents"/>
              <w:spacing w:before="0" w:after="283"/>
              <w:jc w:val="left"/>
              <w:rPr>
                <w:rFonts w:ascii="serif" w:hAnsi="serif"/>
                <w:sz w:val="20"/>
              </w:rPr>
            </w:pPr>
            <w:r>
              <w:rPr>
                <w:rFonts w:ascii="serif" w:hAnsi="serif"/>
                <w:sz w:val="20"/>
              </w:rPr>
              <w:t>Soliciting material pursuant to Rule 14a-12 under the Exchange Act (17 CFR 240.14a-12)</w:t>
            </w:r>
          </w:p>
        </w:tc>
      </w:tr>
      <w:tr>
        <w:trPr/>
        <w:tc>
          <w:tcPr>
            <w:tcW w:w="140" w:type="dxa"/>
            <w:tcBorders/>
            <w:shd w:fill="auto" w:val="clear"/>
          </w:tcPr>
          <w:p>
            <w:pPr>
              <w:pStyle w:val="TableContents"/>
              <w:spacing w:before="0" w:after="283"/>
              <w:rPr>
                <w:sz w:val="4"/>
                <w:szCs w:val="4"/>
              </w:rPr>
            </w:pPr>
            <w:r>
              <w:rPr>
                <w:sz w:val="4"/>
                <w:szCs w:val="4"/>
              </w:rPr>
            </w:r>
          </w:p>
        </w:tc>
        <w:tc>
          <w:tcPr>
            <w:tcW w:w="300" w:type="dxa"/>
            <w:tcBorders/>
            <w:shd w:fill="auto" w:val="clear"/>
          </w:tcPr>
          <w:p>
            <w:pPr>
              <w:pStyle w:val="TableContents"/>
              <w:spacing w:before="0" w:after="283"/>
              <w:rPr>
                <w:sz w:val="4"/>
                <w:szCs w:val="4"/>
              </w:rPr>
            </w:pPr>
            <w:r>
              <w:rPr>
                <w:sz w:val="4"/>
                <w:szCs w:val="4"/>
              </w:rPr>
            </w:r>
          </w:p>
        </w:tc>
        <w:tc>
          <w:tcPr>
            <w:tcW w:w="10805" w:type="dxa"/>
            <w:tcBorders/>
            <w:shd w:fill="auto" w:val="clear"/>
          </w:tcPr>
          <w:p>
            <w:pPr>
              <w:pStyle w:val="TableContents"/>
              <w:spacing w:before="0" w:after="283"/>
              <w:jc w:val="left"/>
              <w:rPr/>
            </w:pPr>
            <w:r>
              <w:rPr/>
              <w:t> </w:t>
            </w:r>
          </w:p>
        </w:tc>
      </w:tr>
      <w:tr>
        <w:trPr/>
        <w:tc>
          <w:tcPr>
            <w:tcW w:w="140"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300" w:type="dxa"/>
            <w:tcBorders/>
            <w:shd w:fill="auto" w:val="clear"/>
          </w:tcPr>
          <w:p>
            <w:pPr>
              <w:pStyle w:val="TableContents"/>
              <w:spacing w:before="0" w:after="283"/>
              <w:rPr>
                <w:sz w:val="4"/>
                <w:szCs w:val="4"/>
              </w:rPr>
            </w:pPr>
            <w:r>
              <w:rPr>
                <w:sz w:val="4"/>
                <w:szCs w:val="4"/>
              </w:rPr>
            </w:r>
          </w:p>
        </w:tc>
        <w:tc>
          <w:tcPr>
            <w:tcW w:w="10805" w:type="dxa"/>
            <w:tcBorders/>
            <w:shd w:fill="auto" w:val="clear"/>
          </w:tcPr>
          <w:p>
            <w:pPr>
              <w:pStyle w:val="TableContents"/>
              <w:spacing w:before="0" w:after="283"/>
              <w:jc w:val="left"/>
              <w:rPr>
                <w:rFonts w:ascii="serif" w:hAnsi="serif"/>
                <w:sz w:val="20"/>
              </w:rPr>
            </w:pPr>
            <w:r>
              <w:rPr>
                <w:rFonts w:ascii="serif" w:hAnsi="serif"/>
                <w:sz w:val="20"/>
              </w:rPr>
              <w:t>Pre-commencement communications pursuant to Rule 14d-2(b) under the Exchange Act (17 CFR 240.14d-2(b))</w:t>
            </w:r>
          </w:p>
        </w:tc>
      </w:tr>
      <w:tr>
        <w:trPr/>
        <w:tc>
          <w:tcPr>
            <w:tcW w:w="140" w:type="dxa"/>
            <w:tcBorders/>
            <w:shd w:fill="auto" w:val="clear"/>
          </w:tcPr>
          <w:p>
            <w:pPr>
              <w:pStyle w:val="TableContents"/>
              <w:spacing w:before="0" w:after="283"/>
              <w:rPr>
                <w:sz w:val="4"/>
                <w:szCs w:val="4"/>
              </w:rPr>
            </w:pPr>
            <w:r>
              <w:rPr>
                <w:sz w:val="4"/>
                <w:szCs w:val="4"/>
              </w:rPr>
            </w:r>
          </w:p>
        </w:tc>
        <w:tc>
          <w:tcPr>
            <w:tcW w:w="300" w:type="dxa"/>
            <w:tcBorders/>
            <w:shd w:fill="auto" w:val="clear"/>
          </w:tcPr>
          <w:p>
            <w:pPr>
              <w:pStyle w:val="TableContents"/>
              <w:spacing w:before="0" w:after="283"/>
              <w:rPr>
                <w:sz w:val="4"/>
                <w:szCs w:val="4"/>
              </w:rPr>
            </w:pPr>
            <w:r>
              <w:rPr>
                <w:sz w:val="4"/>
                <w:szCs w:val="4"/>
              </w:rPr>
            </w:r>
          </w:p>
        </w:tc>
        <w:tc>
          <w:tcPr>
            <w:tcW w:w="10805" w:type="dxa"/>
            <w:tcBorders/>
            <w:shd w:fill="auto" w:val="clear"/>
          </w:tcPr>
          <w:p>
            <w:pPr>
              <w:pStyle w:val="TableContents"/>
              <w:spacing w:before="0" w:after="283"/>
              <w:jc w:val="left"/>
              <w:rPr/>
            </w:pPr>
            <w:r>
              <w:rPr/>
              <w:t> </w:t>
            </w:r>
          </w:p>
        </w:tc>
      </w:tr>
      <w:tr>
        <w:trPr/>
        <w:tc>
          <w:tcPr>
            <w:tcW w:w="140"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300" w:type="dxa"/>
            <w:tcBorders/>
            <w:shd w:fill="auto" w:val="clear"/>
          </w:tcPr>
          <w:p>
            <w:pPr>
              <w:pStyle w:val="TableContents"/>
              <w:spacing w:before="0" w:after="283"/>
              <w:rPr>
                <w:sz w:val="4"/>
                <w:szCs w:val="4"/>
              </w:rPr>
            </w:pPr>
            <w:r>
              <w:rPr>
                <w:sz w:val="4"/>
                <w:szCs w:val="4"/>
              </w:rPr>
            </w:r>
          </w:p>
        </w:tc>
        <w:tc>
          <w:tcPr>
            <w:tcW w:w="10805" w:type="dxa"/>
            <w:tcBorders/>
            <w:shd w:fill="auto" w:val="clear"/>
          </w:tcPr>
          <w:p>
            <w:pPr>
              <w:pStyle w:val="TableContents"/>
              <w:spacing w:before="0" w:after="283"/>
              <w:jc w:val="left"/>
              <w:rPr>
                <w:rFonts w:ascii="serif" w:hAnsi="serif"/>
                <w:sz w:val="20"/>
              </w:rPr>
            </w:pPr>
            <w:r>
              <w:rPr>
                <w:rFonts w:ascii="serif" w:hAnsi="serif"/>
                <w:sz w:val="20"/>
              </w:rPr>
              <w:t>Pre-commencement communications pursuant to Rule 13e-4(c) under the Exchange Act (17 CFR 240.13e-4(c))</w:t>
            </w:r>
          </w:p>
        </w:tc>
      </w:tr>
    </w:tbl>
    <w:p>
      <w:pPr>
        <w:pStyle w:val="TextBody"/>
        <w:spacing w:before="0" w:after="0"/>
        <w:rPr/>
      </w:pPr>
      <w:r>
        <w:rPr/>
        <w:t> </w:t>
      </w:r>
    </w:p>
    <w:p>
      <w:pPr>
        <w:pStyle w:val="HorizontalLine"/>
        <w:pBdr>
          <w:bottom w:val="single" w:sz="12"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left"/>
        <w:rPr>
          <w:rFonts w:ascii="serif" w:hAnsi="serif"/>
          <w:b/>
          <w:sz w:val="20"/>
        </w:rPr>
      </w:pPr>
      <w:r>
        <w:rPr>
          <w:rFonts w:ascii="serif" w:hAnsi="serif"/>
          <w:b/>
          <w:sz w:val="20"/>
        </w:rPr>
        <w:t>Item 1.01 – Entry into a Material Definitive Agreement</w:t>
      </w:r>
    </w:p>
    <w:p>
      <w:pPr>
        <w:pStyle w:val="TextBody"/>
        <w:spacing w:before="0" w:after="0"/>
        <w:rPr/>
      </w:pPr>
      <w:r>
        <w:rPr/>
        <w:t> </w:t>
      </w:r>
    </w:p>
    <w:p>
      <w:pPr>
        <w:pStyle w:val="TextBody"/>
        <w:spacing w:before="0" w:after="0"/>
        <w:jc w:val="left"/>
        <w:rPr>
          <w:rFonts w:ascii="serif" w:hAnsi="serif"/>
          <w:sz w:val="20"/>
        </w:rPr>
      </w:pPr>
      <w:r>
        <w:rPr>
          <w:rFonts w:ascii="serif" w:hAnsi="serif"/>
          <w:sz w:val="20"/>
        </w:rPr>
        <w:t xml:space="preserve">On July 21, 2010, Vishay Intertechnology, Inc. (“Vishay”) issued a press release announcing the terms of the replacement notes to be issued to holders of Vishay’s exchangeable floating-rate unsecured notes due 2102 and revised </w:t>
      </w:r>
      <w:r>
        <w:rPr>
          <w:rFonts w:ascii="serif" w:hAnsi="serif"/>
          <w:color w:val="000000"/>
          <w:sz w:val="20"/>
        </w:rPr>
        <w:t>terms of its outstanding warrants as required due to the spin-off of Vishay Precision Group, Inc. on July 6, 2010. A copy of the press release is attached as Exhibit 99 to this report.</w:t>
      </w:r>
    </w:p>
    <w:p>
      <w:pPr>
        <w:pStyle w:val="TextBody"/>
        <w:spacing w:before="0" w:after="0"/>
        <w:rPr/>
      </w:pPr>
      <w:r>
        <w:rPr/>
        <w:t> </w:t>
      </w:r>
    </w:p>
    <w:p>
      <w:pPr>
        <w:pStyle w:val="TextBody"/>
        <w:spacing w:before="0" w:after="0"/>
        <w:jc w:val="left"/>
        <w:rPr>
          <w:rFonts w:ascii="serif" w:hAnsi="serif"/>
          <w:b/>
          <w:sz w:val="20"/>
        </w:rPr>
      </w:pPr>
      <w:r>
        <w:rPr>
          <w:rFonts w:ascii="serif" w:hAnsi="serif"/>
          <w:b/>
          <w:sz w:val="20"/>
        </w:rPr>
        <w:t>Item 9.01 – Financial Statements and Exhibits</w:t>
      </w:r>
    </w:p>
    <w:p>
      <w:pPr>
        <w:pStyle w:val="TextBody"/>
        <w:spacing w:before="0" w:after="0"/>
        <w:rPr/>
      </w:pPr>
      <w:r>
        <w:rPr/>
        <w:t> </w:t>
      </w:r>
    </w:p>
    <w:p>
      <w:pPr>
        <w:pStyle w:val="TextBody"/>
        <w:spacing w:before="0" w:after="0"/>
        <w:jc w:val="left"/>
        <w:rPr>
          <w:rFonts w:ascii="serif" w:hAnsi="serif"/>
          <w:sz w:val="20"/>
        </w:rPr>
      </w:pPr>
      <w:r>
        <w:rPr>
          <w:rFonts w:ascii="serif" w:hAnsi="serif"/>
          <w:sz w:val="20"/>
        </w:rPr>
        <w:t>(d) Exhibits</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1103"/>
        <w:gridCol w:w="456"/>
        <w:gridCol w:w="8646"/>
      </w:tblGrid>
      <w:tr>
        <w:trPr/>
        <w:tc>
          <w:tcPr>
            <w:tcW w:w="1103" w:type="dxa"/>
            <w:tcBorders>
              <w:bottom w:val="single" w:sz="8" w:space="0" w:color="000000"/>
            </w:tcBorders>
            <w:shd w:fill="auto" w:val="clear"/>
          </w:tcPr>
          <w:p>
            <w:pPr>
              <w:pStyle w:val="TableContents"/>
              <w:spacing w:before="0" w:after="283"/>
              <w:jc w:val="left"/>
              <w:rPr>
                <w:rFonts w:ascii="serif" w:hAnsi="serif"/>
                <w:sz w:val="20"/>
              </w:rPr>
            </w:pPr>
            <w:r>
              <w:rPr>
                <w:rFonts w:ascii="serif" w:hAnsi="serif"/>
                <w:sz w:val="20"/>
              </w:rPr>
              <w:t>Exhibit No.</w:t>
            </w:r>
          </w:p>
        </w:tc>
        <w:tc>
          <w:tcPr>
            <w:tcW w:w="456" w:type="dxa"/>
            <w:tcBorders/>
            <w:shd w:fill="auto" w:val="clear"/>
            <w:tcMar>
              <w:bottom w:w="0" w:type="dxa"/>
            </w:tcMar>
          </w:tcPr>
          <w:p>
            <w:pPr>
              <w:pStyle w:val="TableContents"/>
              <w:spacing w:before="0" w:after="283"/>
              <w:jc w:val="left"/>
              <w:rPr/>
            </w:pPr>
            <w:r>
              <w:rPr/>
              <w:t xml:space="preserve">       </w:t>
            </w:r>
          </w:p>
        </w:tc>
        <w:tc>
          <w:tcPr>
            <w:tcW w:w="8646" w:type="dxa"/>
            <w:tcBorders>
              <w:bottom w:val="single" w:sz="8" w:space="0" w:color="000000"/>
            </w:tcBorders>
            <w:shd w:fill="auto" w:val="clear"/>
          </w:tcPr>
          <w:p>
            <w:pPr>
              <w:pStyle w:val="TableContents"/>
              <w:spacing w:before="0" w:after="283"/>
              <w:jc w:val="left"/>
              <w:rPr>
                <w:rFonts w:ascii="serif" w:hAnsi="serif"/>
                <w:sz w:val="20"/>
              </w:rPr>
            </w:pPr>
            <w:r>
              <w:rPr>
                <w:rFonts w:ascii="serif" w:hAnsi="serif"/>
                <w:sz w:val="20"/>
              </w:rPr>
              <w:t>Description</w:t>
            </w:r>
          </w:p>
        </w:tc>
      </w:tr>
      <w:tr>
        <w:trPr/>
        <w:tc>
          <w:tcPr>
            <w:tcW w:w="1103"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99</w:t>
            </w:r>
          </w:p>
        </w:tc>
        <w:tc>
          <w:tcPr>
            <w:tcW w:w="456" w:type="dxa"/>
            <w:tcBorders/>
            <w:shd w:fill="C0C0C0" w:val="clear"/>
            <w:tcMar>
              <w:bottom w:w="0" w:type="dxa"/>
            </w:tcMar>
          </w:tcPr>
          <w:p>
            <w:pPr>
              <w:pStyle w:val="TableContents"/>
              <w:spacing w:before="0" w:after="283"/>
              <w:rPr>
                <w:sz w:val="4"/>
                <w:szCs w:val="4"/>
              </w:rPr>
            </w:pPr>
            <w:r>
              <w:rPr>
                <w:sz w:val="4"/>
                <w:szCs w:val="4"/>
              </w:rPr>
            </w:r>
          </w:p>
        </w:tc>
        <w:tc>
          <w:tcPr>
            <w:tcW w:w="8646"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Press release dated July 21, 2010</w:t>
            </w:r>
          </w:p>
        </w:tc>
      </w:tr>
    </w:tbl>
    <w:p>
      <w:pPr>
        <w:pStyle w:val="TextBody"/>
        <w:spacing w:before="0" w:after="0"/>
        <w:rPr/>
      </w:pPr>
      <w:r>
        <w:rPr/>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 w:name="PN"/>
      <w:bookmarkStart w:id="5" w:name="PN"/>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serif" w:hAnsi="serif"/>
          <w:b/>
          <w:sz w:val="20"/>
        </w:rPr>
      </w:pPr>
      <w:r>
        <w:rPr>
          <w:rFonts w:ascii="serif" w:hAnsi="serif"/>
          <w:b/>
          <w:sz w:val="20"/>
        </w:rPr>
        <w:t xml:space="preserve">Signature </w:t>
      </w:r>
    </w:p>
    <w:p>
      <w:pPr>
        <w:pStyle w:val="TextBody"/>
        <w:spacing w:before="0" w:after="0"/>
        <w:rPr/>
      </w:pPr>
      <w:r>
        <w:rPr/>
        <w:t> </w:t>
      </w:r>
    </w:p>
    <w:p>
      <w:pPr>
        <w:pStyle w:val="TextBody"/>
        <w:spacing w:before="0" w:after="0"/>
        <w:jc w:val="left"/>
        <w:rPr>
          <w:rFonts w:ascii="serif" w:hAnsi="serif"/>
          <w:sz w:val="20"/>
        </w:rPr>
      </w:pPr>
      <w:r>
        <w:rPr>
          <w:rFonts w:ascii="serif" w:hAnsi="serif"/>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t> </w:t>
      </w:r>
    </w:p>
    <w:p>
      <w:pPr>
        <w:pStyle w:val="TextBody"/>
        <w:spacing w:before="0" w:after="0"/>
        <w:jc w:val="left"/>
        <w:rPr>
          <w:rFonts w:ascii="serif" w:hAnsi="serif"/>
          <w:sz w:val="20"/>
        </w:rPr>
      </w:pPr>
      <w:r>
        <w:rPr>
          <w:rFonts w:ascii="serif" w:hAnsi="serif"/>
          <w:sz w:val="20"/>
        </w:rPr>
        <w:t xml:space="preserve">Date: July 21,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350"/>
        <w:gridCol w:w="804"/>
        <w:gridCol w:w="2753"/>
        <w:gridCol w:w="3298"/>
      </w:tblGrid>
      <w:tr>
        <w:trPr/>
        <w:tc>
          <w:tcPr>
            <w:tcW w:w="3350" w:type="dxa"/>
            <w:tcBorders/>
            <w:shd w:fill="auto" w:val="clear"/>
            <w:vAlign w:val="bottom"/>
          </w:tcPr>
          <w:p>
            <w:pPr>
              <w:pStyle w:val="TableContents"/>
              <w:spacing w:before="0" w:after="283"/>
              <w:rPr>
                <w:sz w:val="4"/>
                <w:szCs w:val="4"/>
              </w:rPr>
            </w:pPr>
            <w:r>
              <w:rPr>
                <w:sz w:val="4"/>
                <w:szCs w:val="4"/>
              </w:rPr>
            </w:r>
          </w:p>
        </w:tc>
        <w:tc>
          <w:tcPr>
            <w:tcW w:w="6855" w:type="dxa"/>
            <w:gridSpan w:val="3"/>
            <w:tcBorders/>
            <w:shd w:fill="auto" w:val="clear"/>
            <w:vAlign w:val="bottom"/>
          </w:tcPr>
          <w:p>
            <w:pPr>
              <w:pStyle w:val="TableContents"/>
              <w:spacing w:before="0" w:after="283"/>
              <w:jc w:val="left"/>
              <w:rPr>
                <w:rFonts w:ascii="serif" w:hAnsi="serif"/>
                <w:sz w:val="20"/>
              </w:rPr>
            </w:pPr>
            <w:r>
              <w:rPr>
                <w:rFonts w:ascii="serif" w:hAnsi="serif"/>
                <w:sz w:val="20"/>
              </w:rPr>
              <w:t>VISHAY INTERTECHNOLOGY, INC.</w:t>
            </w:r>
          </w:p>
        </w:tc>
      </w:tr>
      <w:tr>
        <w:trPr/>
        <w:tc>
          <w:tcPr>
            <w:tcW w:w="3350" w:type="dxa"/>
            <w:tcBorders/>
            <w:shd w:fill="auto" w:val="clear"/>
            <w:vAlign w:val="center"/>
          </w:tcPr>
          <w:p>
            <w:pPr>
              <w:pStyle w:val="TableContents"/>
              <w:spacing w:before="0" w:after="283"/>
              <w:rPr>
                <w:sz w:val="4"/>
                <w:szCs w:val="4"/>
              </w:rPr>
            </w:pPr>
            <w:r>
              <w:rPr>
                <w:sz w:val="4"/>
                <w:szCs w:val="4"/>
              </w:rPr>
            </w:r>
          </w:p>
        </w:tc>
        <w:tc>
          <w:tcPr>
            <w:tcW w:w="6855" w:type="dxa"/>
            <w:gridSpan w:val="3"/>
            <w:tcBorders/>
            <w:shd w:fill="auto" w:val="clear"/>
            <w:vAlign w:val="center"/>
          </w:tcPr>
          <w:p>
            <w:pPr>
              <w:pStyle w:val="TableContents"/>
              <w:spacing w:before="0" w:after="283"/>
              <w:rPr/>
            </w:pPr>
            <w:r>
              <w:rPr/>
              <w:t xml:space="preserve">  </w:t>
            </w:r>
          </w:p>
        </w:tc>
      </w:tr>
      <w:tr>
        <w:trPr/>
        <w:tc>
          <w:tcPr>
            <w:tcW w:w="3350" w:type="dxa"/>
            <w:tcBorders/>
            <w:shd w:fill="auto" w:val="clear"/>
            <w:vAlign w:val="bottom"/>
          </w:tcPr>
          <w:p>
            <w:pPr>
              <w:pStyle w:val="TableContents"/>
              <w:spacing w:before="0" w:after="283"/>
              <w:rPr>
                <w:sz w:val="4"/>
                <w:szCs w:val="4"/>
              </w:rPr>
            </w:pPr>
            <w:r>
              <w:rPr>
                <w:sz w:val="4"/>
                <w:szCs w:val="4"/>
              </w:rPr>
            </w:r>
          </w:p>
        </w:tc>
        <w:tc>
          <w:tcPr>
            <w:tcW w:w="804" w:type="dxa"/>
            <w:tcBorders/>
            <w:shd w:fill="auto" w:val="clear"/>
            <w:vAlign w:val="bottom"/>
          </w:tcPr>
          <w:p>
            <w:pPr>
              <w:pStyle w:val="TableContents"/>
              <w:spacing w:before="0" w:after="283"/>
              <w:jc w:val="left"/>
              <w:rPr>
                <w:rFonts w:ascii="serif" w:hAnsi="serif"/>
                <w:sz w:val="20"/>
              </w:rPr>
            </w:pPr>
            <w:r>
              <w:rPr>
                <w:rFonts w:ascii="serif" w:hAnsi="serif"/>
                <w:sz w:val="20"/>
              </w:rPr>
              <w:t xml:space="preserve">By:  </w:t>
            </w:r>
          </w:p>
        </w:tc>
        <w:tc>
          <w:tcPr>
            <w:tcW w:w="2753" w:type="dxa"/>
            <w:tcBorders>
              <w:bottom w:val="single" w:sz="8" w:space="0" w:color="000000"/>
            </w:tcBorders>
            <w:shd w:fill="auto" w:val="clear"/>
            <w:tcMar>
              <w:bottom w:w="28" w:type="dxa"/>
            </w:tcMar>
            <w:vAlign w:val="bottom"/>
          </w:tcPr>
          <w:p>
            <w:pPr>
              <w:pStyle w:val="TableContents"/>
              <w:spacing w:before="0" w:after="283"/>
              <w:jc w:val="left"/>
              <w:rPr>
                <w:sz w:val="20"/>
              </w:rPr>
            </w:pPr>
            <w:r>
              <w:rPr>
                <w:sz w:val="20"/>
              </w:rPr>
              <w:t>/s/ Lior E. Yahalomi</w:t>
            </w:r>
          </w:p>
        </w:tc>
        <w:tc>
          <w:tcPr>
            <w:tcW w:w="3298" w:type="dxa"/>
            <w:tcBorders/>
            <w:shd w:fill="auto" w:val="clear"/>
            <w:vAlign w:val="bottom"/>
          </w:tcPr>
          <w:p>
            <w:pPr>
              <w:pStyle w:val="TableContents"/>
              <w:spacing w:before="0" w:after="283"/>
              <w:jc w:val="left"/>
              <w:rPr/>
            </w:pPr>
            <w:r>
              <w:rPr/>
              <w:t> </w:t>
            </w:r>
          </w:p>
        </w:tc>
      </w:tr>
      <w:tr>
        <w:trPr/>
        <w:tc>
          <w:tcPr>
            <w:tcW w:w="3350" w:type="dxa"/>
            <w:tcBorders/>
            <w:shd w:fill="auto" w:val="clear"/>
            <w:vAlign w:val="center"/>
          </w:tcPr>
          <w:p>
            <w:pPr>
              <w:pStyle w:val="TableContents"/>
              <w:spacing w:before="0" w:after="283"/>
              <w:rPr>
                <w:sz w:val="4"/>
                <w:szCs w:val="4"/>
              </w:rPr>
            </w:pPr>
            <w:r>
              <w:rPr>
                <w:sz w:val="4"/>
                <w:szCs w:val="4"/>
              </w:rPr>
            </w:r>
          </w:p>
        </w:tc>
        <w:tc>
          <w:tcPr>
            <w:tcW w:w="6855" w:type="dxa"/>
            <w:gridSpan w:val="3"/>
            <w:tcBorders/>
            <w:shd w:fill="auto" w:val="clear"/>
            <w:vAlign w:val="center"/>
          </w:tcPr>
          <w:p>
            <w:pPr>
              <w:pStyle w:val="TableContents"/>
              <w:spacing w:before="0" w:after="283"/>
              <w:rPr/>
            </w:pPr>
            <w:r>
              <w:rPr/>
              <w:t xml:space="preserve">  </w:t>
            </w:r>
          </w:p>
        </w:tc>
      </w:tr>
      <w:tr>
        <w:trPr/>
        <w:tc>
          <w:tcPr>
            <w:tcW w:w="3350" w:type="dxa"/>
            <w:tcBorders/>
            <w:shd w:fill="auto" w:val="clear"/>
            <w:vAlign w:val="bottom"/>
          </w:tcPr>
          <w:p>
            <w:pPr>
              <w:pStyle w:val="TableContents"/>
              <w:spacing w:before="0" w:after="283"/>
              <w:rPr>
                <w:sz w:val="4"/>
                <w:szCs w:val="4"/>
              </w:rPr>
            </w:pPr>
            <w:r>
              <w:rPr>
                <w:sz w:val="4"/>
                <w:szCs w:val="4"/>
              </w:rPr>
            </w:r>
          </w:p>
        </w:tc>
        <w:tc>
          <w:tcPr>
            <w:tcW w:w="6855" w:type="dxa"/>
            <w:gridSpan w:val="3"/>
            <w:tcBorders/>
            <w:shd w:fill="auto" w:val="clear"/>
            <w:vAlign w:val="bottom"/>
          </w:tcPr>
          <w:p>
            <w:pPr>
              <w:pStyle w:val="TableContents"/>
              <w:spacing w:before="0" w:after="283"/>
              <w:jc w:val="left"/>
              <w:rPr>
                <w:rFonts w:ascii="serif" w:hAnsi="serif"/>
                <w:sz w:val="20"/>
              </w:rPr>
            </w:pPr>
            <w:r>
              <w:rPr>
                <w:rFonts w:ascii="serif" w:hAnsi="serif"/>
                <w:sz w:val="20"/>
              </w:rPr>
              <w:t>Name: Dr. Lior E. Yahalomi</w:t>
            </w:r>
          </w:p>
        </w:tc>
      </w:tr>
      <w:tr>
        <w:trPr/>
        <w:tc>
          <w:tcPr>
            <w:tcW w:w="3350" w:type="dxa"/>
            <w:tcBorders/>
            <w:shd w:fill="auto" w:val="clear"/>
            <w:vAlign w:val="bottom"/>
          </w:tcPr>
          <w:p>
            <w:pPr>
              <w:pStyle w:val="TableContents"/>
              <w:spacing w:before="0" w:after="283"/>
              <w:rPr>
                <w:sz w:val="4"/>
                <w:szCs w:val="4"/>
              </w:rPr>
            </w:pPr>
            <w:r>
              <w:rPr>
                <w:sz w:val="4"/>
                <w:szCs w:val="4"/>
              </w:rPr>
            </w:r>
          </w:p>
        </w:tc>
        <w:tc>
          <w:tcPr>
            <w:tcW w:w="6855" w:type="dxa"/>
            <w:gridSpan w:val="3"/>
            <w:tcBorders/>
            <w:shd w:fill="auto" w:val="clear"/>
            <w:vAlign w:val="bottom"/>
          </w:tcPr>
          <w:p>
            <w:pPr>
              <w:pStyle w:val="TableContents"/>
              <w:spacing w:before="0" w:after="283"/>
              <w:jc w:val="left"/>
              <w:rPr>
                <w:rFonts w:ascii="serif" w:hAnsi="serif"/>
                <w:sz w:val="20"/>
              </w:rPr>
            </w:pPr>
            <w:r>
              <w:rPr>
                <w:rFonts w:ascii="serif" w:hAnsi="serif"/>
                <w:sz w:val="20"/>
              </w:rPr>
              <w:t>Title: Executive Vice President and</w:t>
            </w:r>
          </w:p>
        </w:tc>
      </w:tr>
      <w:tr>
        <w:trPr/>
        <w:tc>
          <w:tcPr>
            <w:tcW w:w="3350" w:type="dxa"/>
            <w:tcBorders/>
            <w:shd w:fill="auto" w:val="clear"/>
            <w:vAlign w:val="bottom"/>
          </w:tcPr>
          <w:p>
            <w:pPr>
              <w:pStyle w:val="TableContents"/>
              <w:spacing w:before="0" w:after="283"/>
              <w:rPr>
                <w:sz w:val="4"/>
                <w:szCs w:val="4"/>
              </w:rPr>
            </w:pPr>
            <w:r>
              <w:rPr>
                <w:sz w:val="4"/>
                <w:szCs w:val="4"/>
              </w:rPr>
            </w:r>
          </w:p>
        </w:tc>
        <w:tc>
          <w:tcPr>
            <w:tcW w:w="6855" w:type="dxa"/>
            <w:gridSpan w:val="3"/>
            <w:tcBorders/>
            <w:shd w:fill="auto" w:val="clear"/>
            <w:vAlign w:val="bottom"/>
          </w:tcPr>
          <w:p>
            <w:pPr>
              <w:pStyle w:val="TableContents"/>
              <w:spacing w:before="0" w:after="283"/>
              <w:jc w:val="left"/>
              <w:rPr/>
            </w:pPr>
            <w:r>
              <w:rPr/>
              <w:t>          </w:t>
            </w:r>
            <w:r>
              <w:rPr>
                <w:rFonts w:ascii="serif" w:hAnsi="serif"/>
                <w:sz w:val="20"/>
              </w:rPr>
              <w:t>Chief Financial Officer</w:t>
            </w:r>
          </w:p>
        </w:tc>
      </w:tr>
    </w:tbl>
    <w:p>
      <w:pPr>
        <w:pStyle w:val="TextBody"/>
        <w:spacing w:before="0" w:after="0"/>
        <w:rPr/>
      </w:pPr>
      <w:r>
        <w:rPr/>
      </w:r>
    </w:p>
    <w:p>
      <w:pPr>
        <w:pStyle w:val="HorizontalLine"/>
        <w:pBdr>
          <w:bottom w:val="single" w:sz="12" w:space="0" w:color="808080"/>
        </w:pBdr>
        <w:rPr/>
      </w:pPr>
      <w:r>
        <w:rPr/>
      </w:r>
      <w:r>
        <w:br w:type="page"/>
      </w:r>
    </w:p>
    <w:p>
      <w:pPr>
        <w:pStyle w:val="TextBody"/>
        <w:spacing w:before="0" w:after="0"/>
        <w:rPr/>
      </w:pPr>
      <w:r>
        <w:rPr/>
      </w:r>
      <w:bookmarkStart w:id="6" w:name="exhibit99.htm"/>
      <w:bookmarkStart w:id="7" w:name="ksexhibit99"/>
      <w:bookmarkStart w:id="8" w:name="exhibit99.htm"/>
      <w:bookmarkStart w:id="9" w:name="ksexhibit99"/>
      <w:bookmarkEnd w:id="8"/>
      <w:bookmarkEnd w:id="9"/>
    </w:p>
    <w:p>
      <w:pPr>
        <w:pStyle w:val="TextBody"/>
        <w:spacing w:before="0" w:after="0"/>
        <w:jc w:val="center"/>
        <w:rPr>
          <w:rFonts w:ascii="serif" w:hAnsi="serif"/>
          <w:b/>
          <w:sz w:val="20"/>
        </w:rPr>
      </w:pPr>
      <w:r>
        <w:rPr>
          <w:rFonts w:ascii="serif" w:hAnsi="serif"/>
          <w:b/>
          <w:sz w:val="20"/>
        </w:rPr>
        <w:t xml:space="preserve">Vishay Intertechnology and Vishay Precision Group </w:t>
      </w:r>
    </w:p>
    <w:p>
      <w:pPr>
        <w:pStyle w:val="TextBody"/>
        <w:spacing w:before="0" w:after="0"/>
        <w:jc w:val="center"/>
        <w:rPr>
          <w:rFonts w:ascii="serif" w:hAnsi="serif"/>
          <w:b/>
          <w:sz w:val="20"/>
        </w:rPr>
      </w:pPr>
      <w:r>
        <w:rPr>
          <w:rFonts w:ascii="serif" w:hAnsi="serif"/>
          <w:b/>
          <w:sz w:val="20"/>
        </w:rPr>
        <w:t>Announce Terms of Replacement Notes and Warrants</w:t>
      </w:r>
    </w:p>
    <w:p>
      <w:pPr>
        <w:pStyle w:val="TextBody"/>
        <w:spacing w:before="0" w:after="0"/>
        <w:rPr/>
      </w:pPr>
      <w:r>
        <w:rPr/>
        <w:t> </w:t>
      </w:r>
    </w:p>
    <w:p>
      <w:pPr>
        <w:pStyle w:val="TextBody"/>
        <w:spacing w:before="0" w:after="0"/>
        <w:jc w:val="left"/>
        <w:rPr>
          <w:rFonts w:ascii="serif" w:hAnsi="serif"/>
          <w:sz w:val="20"/>
        </w:rPr>
      </w:pPr>
      <w:r>
        <w:rPr>
          <w:rFonts w:ascii="serif" w:hAnsi="serif"/>
          <w:sz w:val="20"/>
        </w:rPr>
        <w:t>Malvern, PA – July 21, 2010 – Vishay Intertechnology, Inc. (“Vishay”) (NYSE: VSH) and Vishay Precision Group, Inc. (“VPG”) (NYSE: VPG) today announced the terms of the replacement notes to be issued to holders of Vishay’s exchangeable floating-rate unsecured notes due 2102. Vishay also announced revised terms of its outstanding warrants, and VPG announced the terms of warrants that it has issued.</w:t>
      </w:r>
    </w:p>
    <w:p>
      <w:pPr>
        <w:pStyle w:val="TextBody"/>
        <w:spacing w:before="0" w:after="0"/>
        <w:rPr/>
      </w:pPr>
      <w:r>
        <w:rPr/>
        <w:t> </w:t>
      </w:r>
    </w:p>
    <w:p>
      <w:pPr>
        <w:pStyle w:val="TextBody"/>
        <w:spacing w:before="0" w:after="0"/>
        <w:jc w:val="left"/>
        <w:rPr>
          <w:rFonts w:ascii="serif" w:hAnsi="serif"/>
          <w:sz w:val="20"/>
        </w:rPr>
      </w:pPr>
      <w:r>
        <w:rPr>
          <w:rFonts w:ascii="serif" w:hAnsi="serif"/>
          <w:sz w:val="20"/>
        </w:rPr>
        <w:t>As previously announced, on July 6, 2010, Vishay distributed all outstanding shares of VPG to its stockholders in the form of a tax-free dividend. Pursuant to the put and call agreement related to the exchangeable floating-rate unsecured notes due 2102, as a consequence of the spin-off, Vishay was required to take action so that the existing notes would be exchanged for a combination of new notes of Vishay and notes issued by VPG, based on formulae included in the put and call agreement.</w:t>
      </w:r>
    </w:p>
    <w:p>
      <w:pPr>
        <w:pStyle w:val="TextBody"/>
        <w:spacing w:before="0" w:after="0"/>
        <w:rPr/>
      </w:pPr>
      <w:r>
        <w:rPr/>
        <w:t> </w:t>
      </w:r>
    </w:p>
    <w:p>
      <w:pPr>
        <w:pStyle w:val="TextBody"/>
        <w:spacing w:before="0" w:after="0"/>
        <w:jc w:val="left"/>
        <w:rPr>
          <w:rFonts w:ascii="serif" w:hAnsi="serif"/>
          <w:sz w:val="20"/>
        </w:rPr>
      </w:pPr>
      <w:r>
        <w:rPr>
          <w:rFonts w:ascii="serif" w:hAnsi="serif"/>
          <w:sz w:val="20"/>
        </w:rPr>
        <w:t>The terms of the new Vishay notes and the new VPG notes are based on the terms of the original Vishay exchangeable floating-rate unsecured notes, which were issued on December 13, 2002. Certain terms were determined based upon the respective market values of the common stock of Vishay and VPG on the first ten trading days after the spin-off.</w:t>
      </w:r>
    </w:p>
    <w:p>
      <w:pPr>
        <w:pStyle w:val="TextBody"/>
        <w:spacing w:before="0" w:after="0"/>
        <w:rPr/>
      </w:pPr>
      <w:r>
        <w:rPr/>
        <w:t> </w:t>
      </w:r>
    </w:p>
    <w:p>
      <w:pPr>
        <w:pStyle w:val="TextBody"/>
        <w:spacing w:before="0" w:after="0"/>
        <w:jc w:val="left"/>
        <w:rPr>
          <w:rFonts w:ascii="serif" w:hAnsi="serif"/>
          <w:sz w:val="20"/>
        </w:rPr>
      </w:pPr>
      <w:r>
        <w:rPr>
          <w:rFonts w:ascii="serif" w:hAnsi="serif"/>
          <w:sz w:val="20"/>
        </w:rPr>
        <w:t>The terms of the replacement notes are summarized as follows:</w:t>
      </w:r>
    </w:p>
    <w:p>
      <w:pPr>
        <w:pStyle w:val="TextBody"/>
        <w:spacing w:before="0" w:after="0"/>
        <w:rPr/>
      </w:pPr>
      <w:r>
        <w:rPr/>
        <w:t> </w:t>
      </w:r>
    </w:p>
    <w:tbl>
      <w:tblPr>
        <w:tblW w:w="5000" w:type="pct"/>
        <w:jc w:val="left"/>
        <w:tblInd w:w="0" w:type="dxa"/>
        <w:tblCellMar>
          <w:top w:w="28" w:type="dxa"/>
          <w:left w:w="28" w:type="dxa"/>
          <w:bottom w:w="28" w:type="dxa"/>
          <w:right w:w="0" w:type="dxa"/>
        </w:tblCellMar>
      </w:tblPr>
      <w:tblGrid>
        <w:gridCol w:w="2576"/>
        <w:gridCol w:w="2577"/>
        <w:gridCol w:w="2577"/>
        <w:gridCol w:w="2475"/>
      </w:tblGrid>
      <w:tr>
        <w:trPr/>
        <w:tc>
          <w:tcPr>
            <w:tcW w:w="2576" w:type="dxa"/>
            <w:tcBorders>
              <w:top w:val="single" w:sz="8" w:space="0" w:color="000000"/>
              <w:left w:val="single" w:sz="8" w:space="0" w:color="000000"/>
              <w:bottom w:val="single" w:sz="8" w:space="0" w:color="000000"/>
            </w:tcBorders>
            <w:shd w:fill="auto" w:val="clear"/>
          </w:tcPr>
          <w:p>
            <w:pPr>
              <w:pStyle w:val="TableContents"/>
              <w:spacing w:before="0" w:after="283"/>
              <w:rPr>
                <w:sz w:val="4"/>
                <w:szCs w:val="4"/>
              </w:rPr>
            </w:pPr>
            <w:r>
              <w:rPr>
                <w:sz w:val="4"/>
                <w:szCs w:val="4"/>
              </w:rPr>
            </w:r>
          </w:p>
        </w:tc>
        <w:tc>
          <w:tcPr>
            <w:tcW w:w="2577" w:type="dxa"/>
            <w:tcBorders>
              <w:top w:val="single" w:sz="8" w:space="0" w:color="000000"/>
              <w:left w:val="single" w:sz="8" w:space="0" w:color="000000"/>
              <w:bottom w:val="single" w:sz="8" w:space="0" w:color="000000"/>
            </w:tcBorders>
            <w:shd w:fill="auto" w:val="clear"/>
          </w:tcPr>
          <w:p>
            <w:pPr>
              <w:pStyle w:val="TableContents"/>
              <w:spacing w:before="0" w:after="283"/>
              <w:jc w:val="center"/>
              <w:rPr>
                <w:rFonts w:ascii="serif" w:hAnsi="serif"/>
                <w:b/>
                <w:sz w:val="20"/>
              </w:rPr>
            </w:pPr>
            <w:r>
              <w:rPr>
                <w:rFonts w:ascii="serif" w:hAnsi="serif"/>
                <w:b/>
                <w:sz w:val="20"/>
              </w:rPr>
              <w:t>Original Vishay</w:t>
              <w:br/>
              <w:t>Intertechnology Notes</w:t>
            </w:r>
          </w:p>
        </w:tc>
        <w:tc>
          <w:tcPr>
            <w:tcW w:w="2577" w:type="dxa"/>
            <w:tcBorders>
              <w:top w:val="single" w:sz="8" w:space="0" w:color="000000"/>
              <w:left w:val="single" w:sz="8" w:space="0" w:color="000000"/>
              <w:bottom w:val="single" w:sz="8" w:space="0" w:color="000000"/>
            </w:tcBorders>
            <w:shd w:fill="auto" w:val="clear"/>
          </w:tcPr>
          <w:p>
            <w:pPr>
              <w:pStyle w:val="TableContents"/>
              <w:spacing w:before="0" w:after="283"/>
              <w:jc w:val="center"/>
              <w:rPr>
                <w:rFonts w:ascii="serif" w:hAnsi="serif"/>
                <w:b/>
                <w:sz w:val="20"/>
              </w:rPr>
            </w:pPr>
            <w:r>
              <w:rPr>
                <w:rFonts w:ascii="serif" w:hAnsi="serif"/>
                <w:b/>
                <w:sz w:val="20"/>
              </w:rPr>
              <w:t>New Vishay Intertechnology</w:t>
              <w:br/>
              <w:t>Notes</w:t>
            </w:r>
          </w:p>
        </w:tc>
        <w:tc>
          <w:tcPr>
            <w:tcW w:w="2475" w:type="dxa"/>
            <w:tcBorders>
              <w:top w:val="single" w:sz="8" w:space="0" w:color="000000"/>
              <w:left w:val="single" w:sz="8" w:space="0" w:color="000000"/>
              <w:bottom w:val="single" w:sz="8" w:space="0" w:color="000000"/>
              <w:right w:val="single" w:sz="8" w:space="0" w:color="000000"/>
            </w:tcBorders>
            <w:shd w:fill="auto" w:val="clear"/>
            <w:tcMar>
              <w:right w:w="28" w:type="dxa"/>
            </w:tcMar>
          </w:tcPr>
          <w:p>
            <w:pPr>
              <w:pStyle w:val="TableContents"/>
              <w:spacing w:before="0" w:after="283"/>
              <w:jc w:val="center"/>
              <w:rPr>
                <w:b/>
                <w:sz w:val="20"/>
              </w:rPr>
            </w:pPr>
            <w:r>
              <w:rPr>
                <w:b/>
                <w:sz w:val="20"/>
              </w:rPr>
              <w:t>Vishay Precision Group Notes</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Issuer</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Vishay Intertechnology, Inc.</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Vishay Intertechnology, Inc.</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left"/>
              <w:rPr>
                <w:rFonts w:ascii="serif" w:hAnsi="serif"/>
                <w:sz w:val="20"/>
              </w:rPr>
            </w:pPr>
            <w:r>
              <w:rPr>
                <w:rFonts w:ascii="serif" w:hAnsi="serif"/>
                <w:sz w:val="20"/>
              </w:rPr>
              <w:t>Vishay Precision Group, Inc.</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Maturity</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December 13, 2102</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December 13, 2102</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left"/>
              <w:rPr>
                <w:rFonts w:ascii="serif" w:hAnsi="serif"/>
                <w:sz w:val="20"/>
              </w:rPr>
            </w:pPr>
            <w:r>
              <w:rPr>
                <w:rFonts w:ascii="serif" w:hAnsi="serif"/>
                <w:sz w:val="20"/>
              </w:rPr>
              <w:t>December 13, 2102</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Aggregate principal</w:t>
              <w:br/>
              <w:t>amount outstanding</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$105,000,000</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$95,041,540</w:t>
              <w:br/>
              <w:t>(approximately 90.52%)</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rFonts w:ascii="serif" w:hAnsi="serif"/>
                <w:sz w:val="20"/>
              </w:rPr>
            </w:pPr>
            <w:r>
              <w:rPr>
                <w:rFonts w:ascii="serif" w:hAnsi="serif"/>
                <w:sz w:val="20"/>
              </w:rPr>
              <w:t>$9,958,460</w:t>
              <w:br/>
              <w:t>(approximately 9.48%)</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Interest</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Notes bear interest at three-month LIBOR, reset quarterly. Beginning January 1, 2011, the interest rate may be reduced to 50% of LIBOR if Vishay common stock trades above the interest rate hurdle for 30 or more consecutive trading days prior to that point.</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Notes bear interest at three-month LIBOR, reset quarterly. Beginning January 1, 2011, the interest rate may be reduced to 50% of LIBOR if Vishay common stock trades above the interest rate hurdle for 30 or more consecutive trading days prior to that point.</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left"/>
              <w:rPr>
                <w:rFonts w:ascii="serif" w:hAnsi="serif"/>
                <w:sz w:val="20"/>
              </w:rPr>
            </w:pPr>
            <w:r>
              <w:rPr>
                <w:rFonts w:ascii="serif" w:hAnsi="serif"/>
                <w:sz w:val="20"/>
              </w:rPr>
              <w:t>Notes bear interest at three-month LIBOR, reset quarterly. Beginning January 1, 2011, the interest rate may be reduced to 50% of LIBOR if VPG common stock trades above the interest rate hurdle for 30 or more consecutive trading days prior to that point.</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 xml:space="preserve">Interest payment </w:t>
              <w:br/>
              <w:t>dates</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Payable quarterly on March 31, June 30, September 30, December 31</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Payable quarterly on March 31, June 30, September 30, December 31</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left"/>
              <w:rPr>
                <w:sz w:val="20"/>
              </w:rPr>
            </w:pPr>
            <w:r>
              <w:rPr>
                <w:sz w:val="20"/>
              </w:rPr>
              <w:t>Payable quarterly on March 31, June 30, September 30, December 31</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Put / Call rate per</w:t>
              <w:br/>
              <w:t>share</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$17.00</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$15.39</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sz w:val="20"/>
              </w:rPr>
            </w:pPr>
            <w:r>
              <w:rPr>
                <w:sz w:val="20"/>
              </w:rPr>
              <w:t>$22.57</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 xml:space="preserve">Aggregate shares </w:t>
              <w:br/>
              <w:t xml:space="preserve">issuable upon </w:t>
              <w:br/>
              <w:t>exchange of notes</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6,176,471</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6,176,471</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sz w:val="20"/>
              </w:rPr>
            </w:pPr>
            <w:r>
              <w:rPr>
                <w:sz w:val="20"/>
              </w:rPr>
              <w:t>441,176</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 xml:space="preserve">Interest rate hurdle </w:t>
              <w:br/>
              <w:t>per share</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$45.00</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$40.73</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sz w:val="20"/>
              </w:rPr>
            </w:pPr>
            <w:r>
              <w:rPr>
                <w:sz w:val="20"/>
              </w:rPr>
              <w:t>$59.75</w:t>
            </w:r>
          </w:p>
        </w:tc>
      </w:tr>
      <w:tr>
        <w:trPr/>
        <w:tc>
          <w:tcPr>
            <w:tcW w:w="2576" w:type="dxa"/>
            <w:tcBorders>
              <w:left w:val="single" w:sz="8" w:space="0" w:color="000000"/>
              <w:bottom w:val="single" w:sz="8" w:space="0" w:color="000000"/>
            </w:tcBorders>
            <w:shd w:fill="auto" w:val="clear"/>
            <w:tcMar>
              <w:top w:w="0" w:type="dxa"/>
            </w:tcMar>
          </w:tcPr>
          <w:p>
            <w:pPr>
              <w:pStyle w:val="TableContents"/>
              <w:spacing w:before="0" w:after="283"/>
              <w:jc w:val="left"/>
              <w:rPr>
                <w:sz w:val="20"/>
              </w:rPr>
            </w:pPr>
            <w:r>
              <w:rPr>
                <w:sz w:val="20"/>
              </w:rPr>
              <w:t xml:space="preserve">Call target price per </w:t>
              <w:br/>
              <w:t>share</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$35.00</w:t>
            </w:r>
          </w:p>
        </w:tc>
        <w:tc>
          <w:tcPr>
            <w:tcW w:w="2577" w:type="dxa"/>
            <w:tcBorders>
              <w:left w:val="single" w:sz="8" w:space="0" w:color="000000"/>
              <w:bottom w:val="single" w:sz="8" w:space="0" w:color="000000"/>
            </w:tcBorders>
            <w:shd w:fill="auto" w:val="clear"/>
            <w:tcMar>
              <w:top w:w="0" w:type="dxa"/>
            </w:tcMar>
          </w:tcPr>
          <w:p>
            <w:pPr>
              <w:pStyle w:val="TableContents"/>
              <w:spacing w:before="0" w:after="283"/>
              <w:jc w:val="right"/>
              <w:rPr>
                <w:sz w:val="20"/>
              </w:rPr>
            </w:pPr>
            <w:r>
              <w:rPr>
                <w:sz w:val="20"/>
              </w:rPr>
              <w:t>$31.68</w:t>
            </w:r>
          </w:p>
        </w:tc>
        <w:tc>
          <w:tcPr>
            <w:tcW w:w="2475"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sz w:val="20"/>
              </w:rPr>
            </w:pPr>
            <w:r>
              <w:rPr>
                <w:sz w:val="20"/>
              </w:rPr>
              <w:t>$46.47</w:t>
            </w:r>
          </w:p>
        </w:tc>
      </w:tr>
    </w:tbl>
    <w:p>
      <w:pPr>
        <w:pStyle w:val="TextBody"/>
        <w:spacing w:before="0" w:after="0"/>
        <w:rPr/>
      </w:pPr>
      <w:r>
        <w:rPr/>
      </w:r>
    </w:p>
    <w:p>
      <w:pPr>
        <w:pStyle w:val="HorizontalLine"/>
        <w:pBdr>
          <w:bottom w:val="single" w:sz="12" w:space="0" w:color="808080"/>
        </w:pBdr>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 w:name="PN1"/>
      <w:bookmarkStart w:id="11" w:name="PN1"/>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left"/>
        <w:rPr>
          <w:rFonts w:ascii="serif" w:hAnsi="serif"/>
          <w:sz w:val="20"/>
        </w:rPr>
      </w:pPr>
      <w:r>
        <w:rPr>
          <w:rFonts w:ascii="serif" w:hAnsi="serif"/>
          <w:sz w:val="20"/>
        </w:rPr>
        <w:t>Also as a result of the spin-off, holders of Vishay warrants were issued warrants to acquire common stock of VPG, and the existing Vishay warrants were modified. The exercise prices of the modified Vishay warrants and the newly issued VPG warrants were determined based upon the respective market values of the common stock of Vishay and VPG on the first ten trading days after the spin-off.</w:t>
      </w:r>
    </w:p>
    <w:p>
      <w:pPr>
        <w:pStyle w:val="TextBody"/>
        <w:spacing w:before="0" w:after="0"/>
        <w:rPr/>
      </w:pPr>
      <w:r>
        <w:rPr/>
        <w:t> </w:t>
      </w:r>
    </w:p>
    <w:p>
      <w:pPr>
        <w:pStyle w:val="TextBody"/>
        <w:spacing w:before="0" w:after="0"/>
        <w:jc w:val="left"/>
        <w:rPr>
          <w:rFonts w:ascii="serif" w:hAnsi="serif"/>
          <w:sz w:val="20"/>
        </w:rPr>
      </w:pPr>
      <w:r>
        <w:rPr>
          <w:rFonts w:ascii="serif" w:hAnsi="serif"/>
          <w:sz w:val="20"/>
        </w:rPr>
        <w:t>The terms of the warrants are summarized as follows:</w:t>
      </w:r>
    </w:p>
    <w:p>
      <w:pPr>
        <w:pStyle w:val="TextBody"/>
        <w:spacing w:before="0" w:after="0"/>
        <w:rPr/>
      </w:pPr>
      <w:r>
        <w:rPr/>
        <w:t> </w:t>
      </w:r>
    </w:p>
    <w:tbl>
      <w:tblPr>
        <w:tblW w:w="10640" w:type="dxa"/>
        <w:jc w:val="left"/>
        <w:tblInd w:w="0" w:type="dxa"/>
        <w:tblCellMar>
          <w:top w:w="28" w:type="dxa"/>
          <w:left w:w="28" w:type="dxa"/>
          <w:bottom w:w="28" w:type="dxa"/>
          <w:right w:w="0" w:type="dxa"/>
        </w:tblCellMar>
      </w:tblPr>
      <w:tblGrid>
        <w:gridCol w:w="2180"/>
        <w:gridCol w:w="2840"/>
        <w:gridCol w:w="2840"/>
        <w:gridCol w:w="2780"/>
      </w:tblGrid>
      <w:tr>
        <w:trPr/>
        <w:tc>
          <w:tcPr>
            <w:tcW w:w="2180" w:type="dxa"/>
            <w:tcBorders>
              <w:top w:val="single" w:sz="8" w:space="0" w:color="000000"/>
              <w:left w:val="single" w:sz="8" w:space="0" w:color="000000"/>
              <w:bottom w:val="single" w:sz="8" w:space="0" w:color="000000"/>
            </w:tcBorders>
            <w:shd w:fill="auto" w:val="clear"/>
          </w:tcPr>
          <w:p>
            <w:pPr>
              <w:pStyle w:val="TableContents"/>
              <w:spacing w:before="0" w:after="283"/>
              <w:rPr>
                <w:sz w:val="4"/>
                <w:szCs w:val="4"/>
              </w:rPr>
            </w:pPr>
            <w:r>
              <w:rPr>
                <w:sz w:val="4"/>
                <w:szCs w:val="4"/>
              </w:rPr>
            </w:r>
          </w:p>
        </w:tc>
        <w:tc>
          <w:tcPr>
            <w:tcW w:w="2840" w:type="dxa"/>
            <w:tcBorders>
              <w:top w:val="single" w:sz="8" w:space="0" w:color="000000"/>
              <w:left w:val="single" w:sz="8" w:space="0" w:color="000000"/>
              <w:bottom w:val="single" w:sz="8" w:space="0" w:color="000000"/>
            </w:tcBorders>
            <w:shd w:fill="auto" w:val="clear"/>
          </w:tcPr>
          <w:p>
            <w:pPr>
              <w:pStyle w:val="TableContents"/>
              <w:spacing w:before="0" w:after="283"/>
              <w:jc w:val="center"/>
              <w:rPr>
                <w:rFonts w:ascii="serif" w:hAnsi="serif"/>
                <w:b/>
                <w:sz w:val="20"/>
              </w:rPr>
            </w:pPr>
            <w:r>
              <w:rPr>
                <w:rFonts w:ascii="serif" w:hAnsi="serif"/>
                <w:b/>
                <w:sz w:val="20"/>
              </w:rPr>
              <w:t>Original Vishay</w:t>
              <w:br/>
              <w:t>Intertechnology Warrants</w:t>
            </w:r>
          </w:p>
        </w:tc>
        <w:tc>
          <w:tcPr>
            <w:tcW w:w="2840" w:type="dxa"/>
            <w:tcBorders>
              <w:top w:val="single" w:sz="8" w:space="0" w:color="000000"/>
              <w:left w:val="single" w:sz="8" w:space="0" w:color="000000"/>
              <w:bottom w:val="single" w:sz="8" w:space="0" w:color="000000"/>
            </w:tcBorders>
            <w:shd w:fill="auto" w:val="clear"/>
          </w:tcPr>
          <w:p>
            <w:pPr>
              <w:pStyle w:val="TableContents"/>
              <w:spacing w:before="0" w:after="283"/>
              <w:jc w:val="center"/>
              <w:rPr>
                <w:rFonts w:ascii="serif" w:hAnsi="serif"/>
                <w:b/>
                <w:sz w:val="20"/>
              </w:rPr>
            </w:pPr>
            <w:r>
              <w:rPr>
                <w:rFonts w:ascii="serif" w:hAnsi="serif"/>
                <w:b/>
                <w:sz w:val="20"/>
              </w:rPr>
              <w:t>Modified Vishay</w:t>
              <w:br/>
              <w:t>Intertechnology Warrants</w:t>
            </w:r>
          </w:p>
        </w:tc>
        <w:tc>
          <w:tcPr>
            <w:tcW w:w="2780" w:type="dxa"/>
            <w:tcBorders>
              <w:top w:val="single" w:sz="8" w:space="0" w:color="000000"/>
              <w:left w:val="single" w:sz="8" w:space="0" w:color="000000"/>
              <w:bottom w:val="single" w:sz="8" w:space="0" w:color="000000"/>
              <w:right w:val="single" w:sz="8" w:space="0" w:color="000000"/>
            </w:tcBorders>
            <w:shd w:fill="auto" w:val="clear"/>
            <w:tcMar>
              <w:right w:w="28" w:type="dxa"/>
            </w:tcMar>
          </w:tcPr>
          <w:p>
            <w:pPr>
              <w:pStyle w:val="TableContents"/>
              <w:spacing w:before="0" w:after="283"/>
              <w:jc w:val="center"/>
              <w:rPr>
                <w:rFonts w:ascii="serif" w:hAnsi="serif"/>
                <w:b/>
                <w:sz w:val="20"/>
              </w:rPr>
            </w:pPr>
            <w:r>
              <w:rPr>
                <w:rFonts w:ascii="serif" w:hAnsi="serif"/>
                <w:b/>
                <w:sz w:val="20"/>
              </w:rPr>
              <w:t>Vishay Precision Group</w:t>
              <w:br/>
              <w:t>Warrants</w:t>
            </w:r>
          </w:p>
        </w:tc>
      </w:tr>
      <w:tr>
        <w:trPr/>
        <w:tc>
          <w:tcPr>
            <w:tcW w:w="218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Issuer</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Vishay Intertechnology, Inc.</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Vishay Intertechnology, Inc.</w:t>
            </w:r>
          </w:p>
        </w:tc>
        <w:tc>
          <w:tcPr>
            <w:tcW w:w="2780"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left"/>
              <w:rPr>
                <w:rFonts w:ascii="serif" w:hAnsi="serif"/>
                <w:sz w:val="20"/>
              </w:rPr>
            </w:pPr>
            <w:r>
              <w:rPr>
                <w:rFonts w:ascii="serif" w:hAnsi="serif"/>
                <w:sz w:val="20"/>
              </w:rPr>
              <w:t>Vishay Precision Group, Inc.</w:t>
            </w:r>
          </w:p>
        </w:tc>
      </w:tr>
      <w:tr>
        <w:trPr/>
        <w:tc>
          <w:tcPr>
            <w:tcW w:w="218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Underlying shares of</w:t>
              <w:br/>
              <w:t>common stock –</w:t>
              <w:br/>
              <w:t>Class A warrants</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7,000,000</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7,000,000</w:t>
            </w:r>
          </w:p>
        </w:tc>
        <w:tc>
          <w:tcPr>
            <w:tcW w:w="2780"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rFonts w:ascii="serif" w:hAnsi="serif"/>
                <w:sz w:val="20"/>
              </w:rPr>
            </w:pPr>
            <w:r>
              <w:rPr>
                <w:rFonts w:ascii="serif" w:hAnsi="serif"/>
                <w:sz w:val="20"/>
              </w:rPr>
              <w:t>500,000</w:t>
            </w:r>
          </w:p>
        </w:tc>
      </w:tr>
      <w:tr>
        <w:trPr/>
        <w:tc>
          <w:tcPr>
            <w:tcW w:w="218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Exercise price – Class</w:t>
              <w:br/>
              <w:t>A warrants</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$20.00</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$18.10</w:t>
            </w:r>
          </w:p>
        </w:tc>
        <w:tc>
          <w:tcPr>
            <w:tcW w:w="2780"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rFonts w:ascii="serif" w:hAnsi="serif"/>
                <w:sz w:val="20"/>
              </w:rPr>
            </w:pPr>
            <w:r>
              <w:rPr>
                <w:rFonts w:ascii="serif" w:hAnsi="serif"/>
                <w:sz w:val="20"/>
              </w:rPr>
              <w:t>$26.56</w:t>
            </w:r>
          </w:p>
        </w:tc>
      </w:tr>
      <w:tr>
        <w:trPr/>
        <w:tc>
          <w:tcPr>
            <w:tcW w:w="218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Underlying shares of</w:t>
              <w:br/>
              <w:t>common stock –</w:t>
              <w:br/>
              <w:t>Class B warrants</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1,823,529</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1,823,529</w:t>
            </w:r>
          </w:p>
        </w:tc>
        <w:tc>
          <w:tcPr>
            <w:tcW w:w="2780"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rFonts w:ascii="serif" w:hAnsi="serif"/>
                <w:sz w:val="20"/>
              </w:rPr>
            </w:pPr>
            <w:r>
              <w:rPr>
                <w:rFonts w:ascii="serif" w:hAnsi="serif"/>
                <w:sz w:val="20"/>
              </w:rPr>
              <w:t>130,252</w:t>
            </w:r>
          </w:p>
        </w:tc>
      </w:tr>
      <w:tr>
        <w:trPr/>
        <w:tc>
          <w:tcPr>
            <w:tcW w:w="218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Exercise price – Class</w:t>
              <w:br/>
              <w:t>B warrants</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$30.30</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$27.43</w:t>
            </w:r>
          </w:p>
        </w:tc>
        <w:tc>
          <w:tcPr>
            <w:tcW w:w="2780"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rFonts w:ascii="serif" w:hAnsi="serif"/>
                <w:sz w:val="20"/>
              </w:rPr>
            </w:pPr>
            <w:r>
              <w:rPr>
                <w:rFonts w:ascii="serif" w:hAnsi="serif"/>
                <w:sz w:val="20"/>
              </w:rPr>
              <w:t>$40.23</w:t>
            </w:r>
          </w:p>
        </w:tc>
      </w:tr>
      <w:tr>
        <w:trPr/>
        <w:tc>
          <w:tcPr>
            <w:tcW w:w="2180" w:type="dxa"/>
            <w:tcBorders>
              <w:left w:val="single" w:sz="8" w:space="0" w:color="000000"/>
              <w:bottom w:val="single" w:sz="8" w:space="0" w:color="000000"/>
            </w:tcBorders>
            <w:shd w:fill="auto" w:val="clear"/>
            <w:tcMar>
              <w:top w:w="0" w:type="dxa"/>
            </w:tcMar>
          </w:tcPr>
          <w:p>
            <w:pPr>
              <w:pStyle w:val="TableContents"/>
              <w:spacing w:before="0" w:after="283"/>
              <w:jc w:val="left"/>
              <w:rPr>
                <w:rFonts w:ascii="serif" w:hAnsi="serif"/>
                <w:sz w:val="20"/>
              </w:rPr>
            </w:pPr>
            <w:r>
              <w:rPr>
                <w:rFonts w:ascii="serif" w:hAnsi="serif"/>
                <w:sz w:val="20"/>
              </w:rPr>
              <w:t>Expiration date – all</w:t>
              <w:br/>
              <w:t>warrants</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December 13, 2012</w:t>
            </w:r>
          </w:p>
        </w:tc>
        <w:tc>
          <w:tcPr>
            <w:tcW w:w="2840" w:type="dxa"/>
            <w:tcBorders>
              <w:left w:val="single" w:sz="8" w:space="0" w:color="000000"/>
              <w:bottom w:val="single" w:sz="8" w:space="0" w:color="000000"/>
            </w:tcBorders>
            <w:shd w:fill="auto" w:val="clear"/>
            <w:tcMar>
              <w:top w:w="0" w:type="dxa"/>
            </w:tcMar>
          </w:tcPr>
          <w:p>
            <w:pPr>
              <w:pStyle w:val="TableContents"/>
              <w:spacing w:before="0" w:after="283"/>
              <w:jc w:val="right"/>
              <w:rPr>
                <w:rFonts w:ascii="serif" w:hAnsi="serif"/>
                <w:sz w:val="20"/>
              </w:rPr>
            </w:pPr>
            <w:r>
              <w:rPr>
                <w:rFonts w:ascii="serif" w:hAnsi="serif"/>
                <w:sz w:val="20"/>
              </w:rPr>
              <w:t>December 13, 2012</w:t>
            </w:r>
          </w:p>
        </w:tc>
        <w:tc>
          <w:tcPr>
            <w:tcW w:w="2780" w:type="dxa"/>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283"/>
              <w:jc w:val="right"/>
              <w:rPr>
                <w:rFonts w:ascii="serif" w:hAnsi="serif"/>
                <w:sz w:val="20"/>
              </w:rPr>
            </w:pPr>
            <w:r>
              <w:rPr>
                <w:rFonts w:ascii="serif" w:hAnsi="serif"/>
                <w:sz w:val="20"/>
              </w:rPr>
              <w:t>December 13, 2012</w:t>
            </w:r>
          </w:p>
        </w:tc>
      </w:tr>
    </w:tbl>
    <w:p>
      <w:pPr>
        <w:pStyle w:val="TextBody"/>
        <w:spacing w:before="0" w:after="0"/>
        <w:rPr/>
      </w:pPr>
      <w:r>
        <w:rPr/>
      </w:r>
    </w:p>
    <w:p>
      <w:pPr>
        <w:pStyle w:val="TextBody"/>
        <w:spacing w:before="0" w:after="0"/>
        <w:jc w:val="left"/>
        <w:rPr>
          <w:rFonts w:ascii="serif" w:hAnsi="serif"/>
          <w:sz w:val="20"/>
        </w:rPr>
      </w:pPr>
      <w:r>
        <w:rPr>
          <w:rFonts w:ascii="serif" w:hAnsi="serif"/>
          <w:sz w:val="20"/>
        </w:rPr>
        <w:t>The summary and descriptions set forth above are provided for informational purposes only. For specific terms and conditions, please refer to the referenced note instrument, put and call agreement, and warrant agreement (filed as Exhibits 4.5, 4.3, and 4.1, respectively, to Vishay’s current report on Form 8-K filed December 23, 2002); Vishay’s registration statement on Form S-3/A (file number 333-102507) filed on March 1, 2004; and VPG’s registration statement on Form 10 filed June 22, 2010.</w:t>
      </w:r>
    </w:p>
    <w:p>
      <w:pPr>
        <w:pStyle w:val="TextBody"/>
        <w:spacing w:before="0" w:after="0"/>
        <w:rPr/>
      </w:pPr>
      <w:r>
        <w:rPr/>
        <w:t> </w:t>
      </w:r>
    </w:p>
    <w:p>
      <w:pPr>
        <w:pStyle w:val="TextBody"/>
        <w:spacing w:before="0" w:after="0"/>
        <w:jc w:val="left"/>
        <w:rPr>
          <w:rFonts w:ascii="serif" w:hAnsi="serif"/>
          <w:b/>
          <w:sz w:val="20"/>
        </w:rPr>
      </w:pPr>
      <w:r>
        <w:rPr>
          <w:rFonts w:ascii="serif" w:hAnsi="serif"/>
          <w:b/>
          <w:sz w:val="20"/>
        </w:rPr>
        <w:t>About Vishay Intertechnology</w:t>
      </w:r>
    </w:p>
    <w:p>
      <w:pPr>
        <w:pStyle w:val="TextBody"/>
        <w:spacing w:before="0" w:after="0"/>
        <w:rPr/>
      </w:pPr>
      <w:r>
        <w:rPr/>
        <w:t> </w:t>
      </w:r>
    </w:p>
    <w:p>
      <w:pPr>
        <w:pStyle w:val="TextBody"/>
        <w:spacing w:before="0" w:after="0"/>
        <w:jc w:val="left"/>
        <w:rPr>
          <w:rFonts w:ascii="serif" w:hAnsi="serif"/>
          <w:sz w:val="20"/>
        </w:rPr>
      </w:pPr>
      <w:r>
        <w:rPr>
          <w:rFonts w:ascii="serif" w:hAnsi="serif"/>
          <w:sz w:val="20"/>
        </w:rPr>
        <w:t>Vishay Intertechnology, Inc., a Fortune 1,000 Company listed on the NYSE (VSH), is one of the world's largest manufacturers of discrete semiconductors (diodes, MOSFETs, and infrared optoelectronics) and passive electronic components (resistors, inductors, and capacitors). These components are used in virtually all types of electronic devices and equipment, in the industrial, computing, automotive, consumer, telecommunications, military, aerospace, power supplies, and medical markets. Vishay’s product innovations, successful acquisition strategy, and “one-stop shop” service have made it a global industry leader. Vishay can be found on the Internet at www.vishay.com.</w:t>
      </w:r>
    </w:p>
    <w:p>
      <w:pPr>
        <w:pStyle w:val="TextBody"/>
        <w:spacing w:before="0" w:after="0"/>
        <w:rPr/>
      </w:pPr>
      <w:r>
        <w:rPr/>
        <w:t> </w:t>
      </w:r>
    </w:p>
    <w:p>
      <w:pPr>
        <w:pStyle w:val="TextBody"/>
        <w:spacing w:before="0" w:after="0"/>
        <w:jc w:val="left"/>
        <w:rPr>
          <w:rFonts w:ascii="serif" w:hAnsi="serif"/>
          <w:b/>
          <w:sz w:val="20"/>
        </w:rPr>
      </w:pPr>
      <w:r>
        <w:rPr>
          <w:rFonts w:ascii="serif" w:hAnsi="serif"/>
          <w:b/>
          <w:sz w:val="20"/>
        </w:rPr>
        <w:t>About Vishay Precision Group</w:t>
      </w:r>
    </w:p>
    <w:p>
      <w:pPr>
        <w:pStyle w:val="TextBody"/>
        <w:spacing w:before="0" w:after="0"/>
        <w:rPr/>
      </w:pPr>
      <w:r>
        <w:rPr/>
        <w:t> </w:t>
      </w:r>
    </w:p>
    <w:p>
      <w:pPr>
        <w:pStyle w:val="TextBody"/>
        <w:spacing w:before="0" w:after="0"/>
        <w:jc w:val="left"/>
        <w:rPr>
          <w:rFonts w:ascii="serif" w:hAnsi="serif"/>
          <w:sz w:val="20"/>
        </w:rPr>
      </w:pPr>
      <w:r>
        <w:rPr>
          <w:rFonts w:ascii="serif" w:hAnsi="serif"/>
          <w:sz w:val="20"/>
        </w:rPr>
        <w:t>Vishay Precision Group produces sensors based on resistive foil technology, and sensor-based systems. VPG provides vertically integrated products and solutions for multiple growing markets in the areas of stress measurement, industrial weighing, and manufacturing process control. As a spin-off from Vishay Intertechnology, VPG has a decades-long track record of innovation in foil precision resistors, current sensors, and strain gages, which has served as a foundation for our more recent expansion into strain gage instrumentation, load cells and transducers, load cell modules, and complete systems for process control and on-board weighing. Vishay Precision Group may be found on the Internet at www.vishaypg.com.</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 w:name="PN2"/>
      <w:bookmarkStart w:id="13" w:name="PN2"/>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left"/>
        <w:rPr>
          <w:rFonts w:ascii="serif" w:hAnsi="serif"/>
          <w:b/>
          <w:sz w:val="20"/>
        </w:rPr>
      </w:pPr>
      <w:r>
        <w:rPr>
          <w:rFonts w:ascii="serif" w:hAnsi="serif"/>
          <w:b/>
          <w:sz w:val="20"/>
        </w:rPr>
        <w:t xml:space="preserve">CONTACTS: </w:t>
      </w:r>
    </w:p>
    <w:p>
      <w:pPr>
        <w:pStyle w:val="TextBody"/>
        <w:spacing w:before="0" w:after="0"/>
        <w:rPr/>
      </w:pPr>
      <w:r>
        <w:rPr/>
        <w:t> </w:t>
      </w:r>
    </w:p>
    <w:p>
      <w:pPr>
        <w:pStyle w:val="TextBody"/>
        <w:spacing w:before="0" w:after="0"/>
        <w:jc w:val="left"/>
        <w:rPr>
          <w:rFonts w:ascii="serif" w:hAnsi="serif"/>
          <w:sz w:val="20"/>
        </w:rPr>
      </w:pPr>
      <w:r>
        <w:rPr>
          <w:rFonts w:ascii="serif" w:hAnsi="serif"/>
          <w:sz w:val="20"/>
        </w:rPr>
        <w:t xml:space="preserve">Vishay Intertechnology, Inc. </w:t>
      </w:r>
    </w:p>
    <w:p>
      <w:pPr>
        <w:pStyle w:val="TextBody"/>
        <w:spacing w:before="0" w:after="0"/>
        <w:jc w:val="left"/>
        <w:rPr>
          <w:rFonts w:ascii="serif" w:hAnsi="serif"/>
          <w:sz w:val="20"/>
        </w:rPr>
      </w:pPr>
      <w:r>
        <w:rPr>
          <w:rFonts w:ascii="serif" w:hAnsi="serif"/>
          <w:sz w:val="20"/>
        </w:rPr>
        <w:t xml:space="preserve">Peter G. Henrici </w:t>
      </w:r>
    </w:p>
    <w:p>
      <w:pPr>
        <w:pStyle w:val="TextBody"/>
        <w:spacing w:before="0" w:after="0"/>
        <w:jc w:val="left"/>
        <w:rPr>
          <w:rFonts w:ascii="serif" w:hAnsi="serif"/>
          <w:sz w:val="20"/>
        </w:rPr>
      </w:pPr>
      <w:r>
        <w:rPr>
          <w:rFonts w:ascii="serif" w:hAnsi="serif"/>
          <w:sz w:val="20"/>
        </w:rPr>
        <w:t xml:space="preserve">Senior Vice President Corporate Communications </w:t>
      </w:r>
    </w:p>
    <w:p>
      <w:pPr>
        <w:pStyle w:val="TextBody"/>
        <w:spacing w:before="0" w:after="0"/>
        <w:jc w:val="left"/>
        <w:rPr>
          <w:rFonts w:ascii="serif" w:hAnsi="serif"/>
          <w:sz w:val="20"/>
        </w:rPr>
      </w:pPr>
      <w:r>
        <w:rPr>
          <w:rFonts w:ascii="serif" w:hAnsi="serif"/>
          <w:sz w:val="20"/>
        </w:rPr>
        <w:t xml:space="preserve">(610) 644-1300 </w:t>
      </w:r>
    </w:p>
    <w:p>
      <w:pPr>
        <w:pStyle w:val="TextBody"/>
        <w:spacing w:before="0" w:after="0"/>
        <w:rPr/>
      </w:pPr>
      <w:r>
        <w:rPr/>
        <w:t> </w:t>
      </w:r>
    </w:p>
    <w:p>
      <w:pPr>
        <w:pStyle w:val="TextBody"/>
        <w:spacing w:before="0" w:after="0"/>
        <w:jc w:val="left"/>
        <w:rPr>
          <w:rFonts w:ascii="serif" w:hAnsi="serif"/>
          <w:sz w:val="20"/>
        </w:rPr>
      </w:pPr>
      <w:r>
        <w:rPr>
          <w:rFonts w:ascii="serif" w:hAnsi="serif"/>
          <w:sz w:val="20"/>
        </w:rPr>
        <w:t xml:space="preserve">Vishay Precision Group </w:t>
      </w:r>
    </w:p>
    <w:p>
      <w:pPr>
        <w:pStyle w:val="TextBody"/>
        <w:spacing w:before="0" w:after="0"/>
        <w:jc w:val="left"/>
        <w:rPr>
          <w:rFonts w:ascii="serif" w:hAnsi="serif"/>
          <w:sz w:val="20"/>
        </w:rPr>
      </w:pPr>
      <w:r>
        <w:rPr>
          <w:rFonts w:ascii="serif" w:hAnsi="serif"/>
          <w:sz w:val="20"/>
        </w:rPr>
        <w:t xml:space="preserve">William M. Clancy </w:t>
      </w:r>
    </w:p>
    <w:p>
      <w:pPr>
        <w:pStyle w:val="TextBody"/>
        <w:spacing w:before="0" w:after="0"/>
        <w:jc w:val="left"/>
        <w:rPr>
          <w:rFonts w:ascii="serif" w:hAnsi="serif"/>
          <w:sz w:val="20"/>
        </w:rPr>
      </w:pPr>
      <w:r>
        <w:rPr>
          <w:rFonts w:ascii="serif" w:hAnsi="serif"/>
          <w:sz w:val="20"/>
        </w:rPr>
        <w:t xml:space="preserve">Chief Financial Officer </w:t>
      </w:r>
    </w:p>
    <w:p>
      <w:pPr>
        <w:pStyle w:val="TextBody"/>
        <w:spacing w:before="0" w:after="0"/>
        <w:jc w:val="left"/>
        <w:rPr>
          <w:rFonts w:ascii="serif" w:hAnsi="serif"/>
          <w:sz w:val="20"/>
        </w:rPr>
      </w:pPr>
      <w:r>
        <w:rPr>
          <w:rFonts w:ascii="serif" w:hAnsi="serif"/>
          <w:sz w:val="20"/>
        </w:rPr>
        <w:t xml:space="preserve">(484) 321-5300 </w:t>
      </w:r>
    </w:p>
    <w:p>
      <w:pPr>
        <w:pStyle w:val="TextBody"/>
        <w:spacing w:before="0" w:after="0"/>
        <w:rPr/>
      </w:pPr>
      <w:r>
        <w:rPr/>
        <w:t> </w:t>
      </w:r>
    </w:p>
    <w:p>
      <w:pPr>
        <w:pStyle w:val="TextBody"/>
        <w:spacing w:before="0" w:after="0"/>
        <w:jc w:val="left"/>
        <w:rPr>
          <w:rFonts w:ascii="serif" w:hAnsi="serif"/>
          <w:sz w:val="20"/>
        </w:rPr>
      </w:pPr>
      <w:r>
        <w:rPr>
          <w:rFonts w:ascii="serif" w:hAnsi="serif"/>
          <w:sz w:val="20"/>
        </w:rPr>
        <w:t xml:space="preserve">Joele Frank, Wilkinson Brimmer Katcher </w:t>
      </w:r>
    </w:p>
    <w:p>
      <w:pPr>
        <w:pStyle w:val="TextBody"/>
        <w:spacing w:before="0" w:after="0"/>
        <w:jc w:val="left"/>
        <w:rPr>
          <w:rFonts w:ascii="serif" w:hAnsi="serif"/>
          <w:sz w:val="20"/>
        </w:rPr>
      </w:pPr>
      <w:r>
        <w:rPr>
          <w:rFonts w:ascii="serif" w:hAnsi="serif"/>
          <w:sz w:val="20"/>
        </w:rPr>
        <w:t xml:space="preserve">Matthew Sherman / Jennifer Friedman </w:t>
      </w:r>
    </w:p>
    <w:p>
      <w:pPr>
        <w:pStyle w:val="TextBody"/>
        <w:spacing w:before="0" w:after="0"/>
        <w:jc w:val="left"/>
        <w:rPr>
          <w:rFonts w:ascii="serif" w:hAnsi="serif"/>
          <w:sz w:val="20"/>
        </w:rPr>
      </w:pPr>
      <w:r>
        <w:rPr>
          <w:rFonts w:ascii="serif" w:hAnsi="serif"/>
          <w:sz w:val="20"/>
        </w:rPr>
        <w:t xml:space="preserve">(212) 355-4449 </w:t>
      </w:r>
    </w:p>
    <w:p>
      <w:pPr>
        <w:pStyle w:val="TextBody"/>
        <w:spacing w:before="0" w:after="0"/>
        <w:rPr/>
      </w:pPr>
      <w:r>
        <w:rPr/>
        <w:t> </w:t>
      </w:r>
    </w:p>
    <w:p>
      <w:pPr>
        <w:pStyle w:val="HorizontalLine"/>
        <w:pBdr>
          <w:bottom w:val="single" w:sz="1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serif">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1257</Words>
  <CharactersWithSpaces>8393</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