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30" w:lineRule="exact"/>
        <w:rPr>
          <w:sz w:val="24"/>
          <w:szCs w:val="24"/>
          <w:color w:val="auto"/>
        </w:rPr>
      </w:pPr>
    </w:p>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25"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7"/>
          <w:szCs w:val="17"/>
          <w:b w:val="1"/>
          <w:bCs w:val="1"/>
          <w:color w:val="auto"/>
        </w:rPr>
        <w:t>Registration No. 333-297116</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(To Prospectus Dated June 29, 2026)</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15,000,000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160020</wp:posOffset>
            </wp:positionV>
            <wp:extent cx="898525" cy="755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8525" cy="755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27"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30"/>
          <w:szCs w:val="30"/>
          <w:b w:val="1"/>
          <w:bCs w:val="1"/>
          <w:color w:val="auto"/>
        </w:rPr>
        <w:t>Vishay Intertechnology, Inc.</w:t>
      </w:r>
    </w:p>
    <w:p>
      <w:pPr>
        <w:spacing w:after="0" w:line="3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30"/>
          <w:szCs w:val="30"/>
          <w:b w:val="1"/>
          <w:bCs w:val="1"/>
          <w:color w:val="auto"/>
        </w:rPr>
        <w:t> </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90" w:lineRule="exact"/>
        <w:rPr>
          <w:sz w:val="24"/>
          <w:szCs w:val="24"/>
          <w:color w:val="auto"/>
        </w:rPr>
      </w:pPr>
    </w:p>
    <w:p>
      <w:pPr>
        <w:ind w:left="700" w:right="1259" w:firstLine="334"/>
        <w:spacing w:after="0" w:line="272" w:lineRule="auto"/>
        <w:rPr>
          <w:sz w:val="20"/>
          <w:szCs w:val="20"/>
          <w:color w:val="auto"/>
        </w:rPr>
      </w:pPr>
      <w:r>
        <w:rPr>
          <w:rFonts w:ascii="Times New Roman" w:cs="Times New Roman" w:eastAsia="Times New Roman" w:hAnsi="Times New Roman"/>
          <w:sz w:val="17"/>
          <w:szCs w:val="17"/>
          <w:color w:val="auto"/>
        </w:rPr>
        <w:t>We are offering 15,000,000 of shares of our common stock, par value $0.10 per share (our “common stock”).</w:t>
      </w:r>
    </w:p>
    <w:p>
      <w:pPr>
        <w:spacing w:after="0" w:line="58" w:lineRule="exact"/>
        <w:rPr>
          <w:sz w:val="24"/>
          <w:szCs w:val="24"/>
          <w:color w:val="auto"/>
        </w:rPr>
      </w:pPr>
    </w:p>
    <w:p>
      <w:pPr>
        <w:ind w:left="700" w:right="759" w:firstLine="334"/>
        <w:spacing w:after="0" w:line="272" w:lineRule="auto"/>
        <w:rPr>
          <w:sz w:val="20"/>
          <w:szCs w:val="20"/>
          <w:color w:val="auto"/>
        </w:rPr>
      </w:pPr>
      <w:r>
        <w:rPr>
          <w:rFonts w:ascii="Times New Roman" w:cs="Times New Roman" w:eastAsia="Times New Roman" w:hAnsi="Times New Roman"/>
          <w:sz w:val="17"/>
          <w:szCs w:val="17"/>
          <w:color w:val="auto"/>
        </w:rPr>
        <w:t>Our common stock is listed on the New York Stock Exchange (“NYSE”) under the symbol “VSH.” On June 26, 2026, the last reported sale price of our common stock was $56.35 per share.</w:t>
      </w:r>
    </w:p>
    <w:p>
      <w:pPr>
        <w:spacing w:after="0" w:line="58" w:lineRule="exact"/>
        <w:rPr>
          <w:sz w:val="24"/>
          <w:szCs w:val="24"/>
          <w:color w:val="auto"/>
        </w:rPr>
      </w:pPr>
    </w:p>
    <w:p>
      <w:pPr>
        <w:ind w:left="700" w:right="1179" w:firstLine="334"/>
        <w:spacing w:after="0" w:line="272" w:lineRule="auto"/>
        <w:rPr>
          <w:sz w:val="20"/>
          <w:szCs w:val="20"/>
          <w:color w:val="auto"/>
        </w:rPr>
      </w:pPr>
      <w:r>
        <w:rPr>
          <w:rFonts w:ascii="Times New Roman" w:cs="Times New Roman" w:eastAsia="Times New Roman" w:hAnsi="Times New Roman"/>
          <w:sz w:val="17"/>
          <w:szCs w:val="17"/>
          <w:color w:val="auto"/>
        </w:rPr>
        <w:t>We have granted the underwriters an option to purchase up to an additional 2,250,000 of shares of our common stock, for 30 days after the date of this prospectus supplement.</w:t>
      </w:r>
    </w:p>
    <w:p>
      <w:pPr>
        <w:spacing w:after="0" w:line="176" w:lineRule="exact"/>
        <w:rPr>
          <w:sz w:val="24"/>
          <w:szCs w:val="24"/>
          <w:color w:val="auto"/>
        </w:rPr>
      </w:pPr>
    </w:p>
    <w:tbl>
      <w:tblPr>
        <w:tblLayout w:type="fixed"/>
        <w:tblInd w:w="700"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w:t>
            </w:r>
          </w:p>
        </w:tc>
        <w:tc>
          <w:tcPr>
            <w:tcW w:w="160" w:type="dxa"/>
            <w:vAlign w:val="bottom"/>
          </w:tcPr>
          <w:p>
            <w:pPr>
              <w:spacing w:after="0"/>
              <w:rPr>
                <w:sz w:val="12"/>
                <w:szCs w:val="12"/>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200"/>
        </w:trPr>
        <w:tc>
          <w:tcPr>
            <w:tcW w:w="598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6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Price to the public</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$50.00</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8"/>
              </w:rPr>
              <w:t>$750,000,000</w:t>
            </w:r>
          </w:p>
        </w:tc>
        <w:tc>
          <w:tcPr>
            <w:tcW w:w="0" w:type="dxa"/>
            <w:vAlign w:val="bottom"/>
          </w:tcPr>
          <w:p>
            <w:pPr>
              <w:spacing w:after="0"/>
              <w:rPr>
                <w:sz w:val="1"/>
                <w:szCs w:val="1"/>
                <w:color w:val="auto"/>
              </w:rPr>
            </w:pPr>
          </w:p>
        </w:tc>
      </w:tr>
      <w:tr>
        <w:trPr>
          <w:trHeight w:val="225"/>
        </w:trPr>
        <w:tc>
          <w:tcPr>
            <w:tcW w:w="59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Underwriting discount and commissions</w:t>
            </w:r>
            <w:r>
              <w:rPr>
                <w:rFonts w:ascii="Times New Roman" w:cs="Times New Roman" w:eastAsia="Times New Roman" w:hAnsi="Times New Roman"/>
                <w:sz w:val="26"/>
                <w:szCs w:val="26"/>
                <w:color w:val="auto"/>
                <w:vertAlign w:val="superscript"/>
              </w:rPr>
              <w:t>(1)</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$ 1.75</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$ 26,250,000</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$48.25</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8"/>
              </w:rPr>
              <w:t>$723,750,000</w:t>
            </w:r>
          </w:p>
        </w:tc>
        <w:tc>
          <w:tcPr>
            <w:tcW w:w="0" w:type="dxa"/>
            <w:vAlign w:val="bottom"/>
          </w:tcPr>
          <w:p>
            <w:pPr>
              <w:spacing w:after="0"/>
              <w:rPr>
                <w:sz w:val="1"/>
                <w:szCs w:val="1"/>
                <w:color w:val="auto"/>
              </w:rPr>
            </w:pPr>
          </w:p>
        </w:tc>
      </w:tr>
      <w:tr>
        <w:trPr>
          <w:trHeight w:val="50"/>
        </w:trPr>
        <w:tc>
          <w:tcPr>
            <w:tcW w:w="59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441960</wp:posOffset>
            </wp:positionH>
            <wp:positionV relativeFrom="paragraph">
              <wp:posOffset>135255</wp:posOffset>
            </wp:positionV>
            <wp:extent cx="763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33" w:lineRule="exact"/>
        <w:rPr>
          <w:sz w:val="24"/>
          <w:szCs w:val="24"/>
          <w:color w:val="auto"/>
        </w:rPr>
      </w:pPr>
    </w:p>
    <w:p>
      <w:pPr>
        <w:ind w:left="1020" w:right="959" w:hanging="324"/>
        <w:spacing w:after="0" w:line="262" w:lineRule="auto"/>
        <w:tabs>
          <w:tab w:leader="none" w:pos="10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agreed to reimburse the underwriters for certain expenses in connection with this offering. See “</w:t>
      </w:r>
      <w:r>
        <w:rPr>
          <w:rFonts w:ascii="Times New Roman" w:cs="Times New Roman" w:eastAsia="Times New Roman" w:hAnsi="Times New Roman"/>
          <w:sz w:val="13"/>
          <w:szCs w:val="13"/>
          <w:i w:val="1"/>
          <w:iCs w:val="1"/>
          <w:color w:val="auto"/>
        </w:rPr>
        <w:t>Underwriting (Conflicts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Interest)</w:t>
      </w:r>
      <w:r>
        <w:rPr>
          <w:rFonts w:ascii="Times New Roman" w:cs="Times New Roman" w:eastAsia="Times New Roman" w:hAnsi="Times New Roman"/>
          <w:sz w:val="13"/>
          <w:szCs w:val="13"/>
          <w:color w:val="auto"/>
        </w:rPr>
        <w:t>” beginning on page S-</w:t>
      </w:r>
      <w:r>
        <w:rPr>
          <w:rFonts w:ascii="Times New Roman" w:cs="Times New Roman" w:eastAsia="Times New Roman" w:hAnsi="Times New Roman"/>
          <w:sz w:val="13"/>
          <w:szCs w:val="13"/>
          <w:u w:val="single" w:color="auto"/>
          <w:color w:val="0000EE"/>
        </w:rPr>
        <w:t>16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additional information regarding underwriter compensation.</w:t>
      </w:r>
    </w:p>
    <w:p>
      <w:pPr>
        <w:spacing w:after="0" w:line="1" w:lineRule="exact"/>
        <w:rPr>
          <w:rFonts w:ascii="Times New Roman" w:cs="Times New Roman" w:eastAsia="Times New Roman" w:hAnsi="Times New Roman"/>
          <w:sz w:val="13"/>
          <w:szCs w:val="13"/>
          <w:color w:val="auto"/>
        </w:rPr>
      </w:pPr>
    </w:p>
    <w:p>
      <w:pPr>
        <w:ind w:left="1020" w:hanging="324"/>
        <w:spacing w:after="0"/>
        <w:tabs>
          <w:tab w:leader="none" w:pos="10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no exercise of the underwriters’ option to purchase additional shares.</w:t>
      </w:r>
    </w:p>
    <w:p>
      <w:pPr>
        <w:spacing w:after="0" w:line="88" w:lineRule="exact"/>
        <w:rPr>
          <w:sz w:val="24"/>
          <w:szCs w:val="24"/>
          <w:color w:val="auto"/>
        </w:rPr>
      </w:pPr>
    </w:p>
    <w:p>
      <w:pPr>
        <w:ind w:left="700" w:right="1219" w:firstLine="334"/>
        <w:spacing w:after="0" w:line="285"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certain risks. You should review carefully the risks and uncertainties described under the heading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beginning on page S-</w:t>
      </w:r>
      <w:r>
        <w:rPr>
          <w:rFonts w:ascii="Times New Roman" w:cs="Times New Roman" w:eastAsia="Times New Roman" w:hAnsi="Times New Roman"/>
          <w:sz w:val="16"/>
          <w:szCs w:val="16"/>
          <w:b w:val="1"/>
          <w:bCs w:val="1"/>
          <w:u w:val="single" w:color="auto"/>
          <w:color w:val="0000EE"/>
        </w:rPr>
        <w:t>5</w:t>
      </w:r>
      <w:r>
        <w:rPr>
          <w:rFonts w:ascii="Times New Roman" w:cs="Times New Roman" w:eastAsia="Times New Roman" w:hAnsi="Times New Roman"/>
          <w:sz w:val="16"/>
          <w:szCs w:val="16"/>
          <w:b w:val="1"/>
          <w:bCs w:val="1"/>
          <w:color w:val="auto"/>
        </w:rPr>
        <w:t xml:space="preserve"> of this prospectus supplement and in the documents incorporated by reference into this prospectus supplement.</w:t>
      </w:r>
    </w:p>
    <w:p>
      <w:pPr>
        <w:spacing w:after="0" w:line="50" w:lineRule="exact"/>
        <w:rPr>
          <w:sz w:val="24"/>
          <w:szCs w:val="24"/>
          <w:color w:val="auto"/>
        </w:rPr>
      </w:pPr>
    </w:p>
    <w:p>
      <w:pPr>
        <w:ind w:left="700" w:right="1019" w:firstLine="334"/>
        <w:spacing w:after="0" w:line="259" w:lineRule="auto"/>
        <w:rPr>
          <w:sz w:val="20"/>
          <w:szCs w:val="20"/>
          <w:color w:val="auto"/>
        </w:rPr>
      </w:pPr>
      <w:r>
        <w:rPr>
          <w:rFonts w:ascii="Times New Roman" w:cs="Times New Roman" w:eastAsia="Times New Roman" w:hAnsi="Times New Roman"/>
          <w:sz w:val="17"/>
          <w:szCs w:val="17"/>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auto"/>
        </w:rPr>
        <w:t>Delivery of the shares of our common stock will be made on or about July 1, 2026.</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 Book-Running Manager</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J.P. Morgan</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77" w:lineRule="exact"/>
        <w:rPr>
          <w:sz w:val="24"/>
          <w:szCs w:val="24"/>
          <w:color w:val="auto"/>
        </w:rPr>
      </w:pPr>
    </w:p>
    <w:p>
      <w:pPr>
        <w:ind w:left="700"/>
        <w:spacing w:after="0"/>
        <w:tabs>
          <w:tab w:leader="none" w:pos="6540" w:val="left"/>
        </w:tabs>
        <w:rPr>
          <w:sz w:val="20"/>
          <w:szCs w:val="20"/>
          <w:color w:val="auto"/>
        </w:rPr>
      </w:pPr>
      <w:r>
        <w:rPr>
          <w:rFonts w:ascii="Times New Roman" w:cs="Times New Roman" w:eastAsia="Times New Roman" w:hAnsi="Times New Roman"/>
          <w:sz w:val="20"/>
          <w:szCs w:val="20"/>
          <w:b w:val="1"/>
          <w:bCs w:val="1"/>
          <w:color w:val="auto"/>
        </w:rPr>
        <w:t>Needham &amp; Company</w:t>
      </w:r>
      <w:r>
        <w:rPr>
          <w:sz w:val="20"/>
          <w:szCs w:val="20"/>
          <w:color w:val="auto"/>
        </w:rPr>
        <w:tab/>
      </w:r>
      <w:r>
        <w:rPr>
          <w:rFonts w:ascii="Times New Roman" w:cs="Times New Roman" w:eastAsia="Times New Roman" w:hAnsi="Times New Roman"/>
          <w:sz w:val="20"/>
          <w:szCs w:val="20"/>
          <w:b w:val="1"/>
          <w:bCs w:val="1"/>
          <w:color w:val="auto"/>
        </w:rPr>
        <w:t>Oppenheimer &amp; Co.</w:t>
      </w:r>
    </w:p>
    <w:p>
      <w:pPr>
        <w:spacing w:after="0" w:line="296" w:lineRule="exact"/>
        <w:rPr>
          <w:sz w:val="24"/>
          <w:szCs w:val="24"/>
          <w:color w:val="auto"/>
        </w:rPr>
      </w:pPr>
    </w:p>
    <w:p>
      <w:pPr>
        <w:ind w:left="700"/>
        <w:spacing w:after="0"/>
        <w:tabs>
          <w:tab w:leader="none" w:pos="4100" w:val="left"/>
          <w:tab w:leader="none" w:pos="6860" w:val="left"/>
        </w:tabs>
        <w:rPr>
          <w:sz w:val="20"/>
          <w:szCs w:val="20"/>
          <w:color w:val="auto"/>
        </w:rPr>
      </w:pPr>
      <w:r>
        <w:rPr>
          <w:rFonts w:ascii="Times New Roman" w:cs="Times New Roman" w:eastAsia="Times New Roman" w:hAnsi="Times New Roman"/>
          <w:sz w:val="20"/>
          <w:szCs w:val="20"/>
          <w:b w:val="1"/>
          <w:bCs w:val="1"/>
          <w:color w:val="auto"/>
        </w:rPr>
        <w:t>Raymond James</w:t>
      </w:r>
      <w:r>
        <w:rPr>
          <w:sz w:val="20"/>
          <w:szCs w:val="20"/>
          <w:color w:val="auto"/>
        </w:rPr>
        <w:tab/>
      </w:r>
      <w:r>
        <w:rPr>
          <w:rFonts w:ascii="Times New Roman" w:cs="Times New Roman" w:eastAsia="Times New Roman" w:hAnsi="Times New Roman"/>
          <w:sz w:val="20"/>
          <w:szCs w:val="20"/>
          <w:b w:val="1"/>
          <w:bCs w:val="1"/>
          <w:color w:val="auto"/>
        </w:rPr>
        <w:t>TD Cowen</w:t>
      </w:r>
      <w:r>
        <w:rPr>
          <w:sz w:val="20"/>
          <w:szCs w:val="20"/>
          <w:color w:val="auto"/>
        </w:rPr>
        <w:tab/>
      </w:r>
      <w:r>
        <w:rPr>
          <w:rFonts w:ascii="Times New Roman" w:cs="Times New Roman" w:eastAsia="Times New Roman" w:hAnsi="Times New Roman"/>
          <w:sz w:val="19"/>
          <w:szCs w:val="19"/>
          <w:b w:val="1"/>
          <w:bCs w:val="1"/>
          <w:color w:val="auto"/>
        </w:rPr>
        <w:t>Truist Securities</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73" w:lineRule="exact"/>
        <w:rPr>
          <w:sz w:val="24"/>
          <w:szCs w:val="24"/>
          <w:color w:val="auto"/>
        </w:rPr>
      </w:pPr>
    </w:p>
    <w:p>
      <w:pPr>
        <w:ind w:left="700"/>
        <w:spacing w:after="0"/>
        <w:tabs>
          <w:tab w:leader="none" w:pos="3140" w:val="left"/>
          <w:tab w:leader="none" w:pos="5020" w:val="left"/>
          <w:tab w:leader="none" w:pos="7580" w:val="left"/>
        </w:tabs>
        <w:rPr>
          <w:sz w:val="20"/>
          <w:szCs w:val="20"/>
          <w:color w:val="auto"/>
        </w:rPr>
      </w:pPr>
      <w:r>
        <w:rPr>
          <w:rFonts w:ascii="Times New Roman" w:cs="Times New Roman" w:eastAsia="Times New Roman" w:hAnsi="Times New Roman"/>
          <w:sz w:val="17"/>
          <w:szCs w:val="17"/>
          <w:b w:val="1"/>
          <w:bCs w:val="1"/>
          <w:color w:val="auto"/>
        </w:rPr>
        <w:t>Fifth Third Securities</w:t>
      </w:r>
      <w:r>
        <w:rPr>
          <w:sz w:val="20"/>
          <w:szCs w:val="20"/>
          <w:color w:val="auto"/>
        </w:rPr>
        <w:tab/>
      </w:r>
      <w:r>
        <w:rPr>
          <w:rFonts w:ascii="Times New Roman" w:cs="Times New Roman" w:eastAsia="Times New Roman" w:hAnsi="Times New Roman"/>
          <w:sz w:val="17"/>
          <w:szCs w:val="17"/>
          <w:b w:val="1"/>
          <w:bCs w:val="1"/>
          <w:color w:val="auto"/>
        </w:rPr>
        <w:t>MUFG</w:t>
      </w:r>
      <w:r>
        <w:rPr>
          <w:sz w:val="20"/>
          <w:szCs w:val="20"/>
          <w:color w:val="auto"/>
        </w:rPr>
        <w:tab/>
      </w:r>
      <w:r>
        <w:rPr>
          <w:rFonts w:ascii="Times New Roman" w:cs="Times New Roman" w:eastAsia="Times New Roman" w:hAnsi="Times New Roman"/>
          <w:sz w:val="17"/>
          <w:szCs w:val="17"/>
          <w:b w:val="1"/>
          <w:bCs w:val="1"/>
          <w:color w:val="auto"/>
        </w:rPr>
        <w:t>Santander</w:t>
      </w:r>
      <w:r>
        <w:rPr>
          <w:sz w:val="20"/>
          <w:szCs w:val="20"/>
          <w:color w:val="auto"/>
        </w:rPr>
        <w:tab/>
      </w:r>
      <w:r>
        <w:rPr>
          <w:rFonts w:ascii="Times New Roman" w:cs="Times New Roman" w:eastAsia="Times New Roman" w:hAnsi="Times New Roman"/>
          <w:sz w:val="16"/>
          <w:szCs w:val="16"/>
          <w:b w:val="1"/>
          <w:bCs w:val="1"/>
          <w:color w:val="auto"/>
        </w:rPr>
        <w:t>UniCredit</w:t>
      </w:r>
    </w:p>
    <w:p>
      <w:pPr>
        <w:sectPr>
          <w:pgSz w:w="11900" w:h="16838" w:orient="portrait"/>
          <w:cols w:equalWidth="0" w:num="1">
            <w:col w:w="9019"/>
          </w:cols>
          <w:pgMar w:left="1440" w:top="21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-384175</wp:posOffset>
            </wp:positionH>
            <wp:positionV relativeFrom="paragraph">
              <wp:posOffset>132080</wp:posOffset>
            </wp:positionV>
            <wp:extent cx="649033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15" w:right="1440" w:bottom="1440" w:gutter="0" w:footer="0" w:header="0"/>
          <w:type w:val="continuous"/>
        </w:sectPr>
      </w:pPr>
    </w:p>
    <w:bookmarkStart w:id="1" w:name="page2"/>
    <w:bookmarkEnd w:id="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221"/>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gridSpan w:val="12"/>
          </w:tcPr>
          <w:p>
            <w:pPr>
              <w:ind w:left="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26"/>
        </w:trPr>
        <w:tc>
          <w:tcPr>
            <w:tcW w:w="740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auto"/>
              </w:rPr>
              <w:t>Prospectus Supplement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63"/>
        </w:trPr>
        <w:tc>
          <w:tcPr>
            <w:tcW w:w="74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 SUPPLEMENT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0000EE"/>
                <w:w w:val="97"/>
              </w:rPr>
              <w:t>S-ii</w:t>
            </w: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7"/>
                <w:szCs w:val="17"/>
                <w:color w:val="0000EE"/>
              </w:rPr>
              <w:t>S-iii</w:t>
            </w: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17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SUMMARY</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2"/>
              </w:rPr>
              <w:t>S-1</w:t>
            </w: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THE OFFERING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2"/>
              </w:rPr>
              <w:t>S-3</w:t>
            </w: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1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5"/>
              </w:rPr>
              <w:t>RISK FACTORS</w:t>
            </w:r>
          </w:p>
        </w:tc>
        <w:tc>
          <w:tcPr>
            <w:tcW w:w="6240" w:type="dxa"/>
            <w:vAlign w:val="bottom"/>
            <w:gridSpan w:val="20"/>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2"/>
              </w:rPr>
              <w:t>S-5</w:t>
            </w: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USE OF PROCEEDS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2"/>
              </w:rPr>
              <w:t>S-9</w:t>
            </w: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DIVIDENDS</w:t>
            </w:r>
          </w:p>
        </w:tc>
        <w:tc>
          <w:tcPr>
            <w:tcW w:w="100" w:type="dxa"/>
            <w:vAlign w:val="bottom"/>
            <w:shd w:val="clear" w:color="auto" w:fill="CCEEFF"/>
          </w:tcPr>
          <w:p>
            <w:pPr>
              <w:spacing w:after="0"/>
              <w:rPr>
                <w:sz w:val="15"/>
                <w:szCs w:val="15"/>
                <w:color w:val="auto"/>
              </w:rPr>
            </w:pPr>
          </w:p>
        </w:tc>
        <w:tc>
          <w:tcPr>
            <w:tcW w:w="320" w:type="dxa"/>
            <w:vAlign w:val="bottom"/>
            <w:gridSpan w:val="8"/>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9"/>
              </w:rPr>
              <w:t>S-10</w:t>
            </w: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CAPITALIZATION</w:t>
            </w:r>
          </w:p>
        </w:tc>
        <w:tc>
          <w:tcPr>
            <w:tcW w:w="100" w:type="dxa"/>
            <w:vAlign w:val="bottom"/>
          </w:tcPr>
          <w:p>
            <w:pPr>
              <w:spacing w:after="0"/>
              <w:rPr>
                <w:sz w:val="15"/>
                <w:szCs w:val="15"/>
                <w:color w:val="auto"/>
              </w:rPr>
            </w:pPr>
          </w:p>
        </w:tc>
        <w:tc>
          <w:tcPr>
            <w:tcW w:w="320" w:type="dxa"/>
            <w:vAlign w:val="bottom"/>
            <w:gridSpan w:val="8"/>
          </w:tcPr>
          <w:p>
            <w:pPr>
              <w:jc w:val="center"/>
              <w:ind w:right="20"/>
              <w:spacing w:after="0" w:line="176" w:lineRule="exact"/>
              <w:rPr>
                <w:sz w:val="20"/>
                <w:szCs w:val="20"/>
                <w:color w:val="auto"/>
              </w:rPr>
            </w:pPr>
            <w:r>
              <w:rPr>
                <w:rFonts w:ascii="Times New Roman" w:cs="Times New Roman" w:eastAsia="Times New Roman" w:hAnsi="Times New Roman"/>
                <w:sz w:val="17"/>
                <w:szCs w:val="17"/>
                <w:color w:val="0000EE"/>
                <w:w w:val="93"/>
              </w:rPr>
              <w:t>S-11</w:t>
            </w: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54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7"/>
              </w:rPr>
              <w:t>U.S. FEDERAL INCOME TAX CONSIDERATIONS TO NON-U.S. HOLDERS</w:t>
            </w:r>
          </w:p>
        </w:tc>
        <w:tc>
          <w:tcPr>
            <w:tcW w:w="1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gridSpan w:val="8"/>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9"/>
              </w:rPr>
              <w:t>S-12</w:t>
            </w: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UNDERWRITING (CONFLICTS OF INTEREST)</w:t>
            </w:r>
          </w:p>
        </w:tc>
        <w:tc>
          <w:tcPr>
            <w:tcW w:w="100" w:type="dxa"/>
            <w:vAlign w:val="bottom"/>
          </w:tcPr>
          <w:p>
            <w:pPr>
              <w:spacing w:after="0"/>
              <w:rPr>
                <w:sz w:val="15"/>
                <w:szCs w:val="15"/>
                <w:color w:val="auto"/>
              </w:rPr>
            </w:pPr>
          </w:p>
        </w:tc>
        <w:tc>
          <w:tcPr>
            <w:tcW w:w="320" w:type="dxa"/>
            <w:vAlign w:val="bottom"/>
            <w:gridSpan w:val="8"/>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9"/>
              </w:rPr>
              <w:t>S-16</w:t>
            </w: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0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LEGAL MATTERS</w:t>
            </w:r>
          </w:p>
        </w:tc>
        <w:tc>
          <w:tcPr>
            <w:tcW w:w="100" w:type="dxa"/>
            <w:vAlign w:val="bottom"/>
            <w:shd w:val="clear" w:color="auto" w:fill="CCEEFF"/>
          </w:tcPr>
          <w:p>
            <w:pPr>
              <w:spacing w:after="0"/>
              <w:rPr>
                <w:sz w:val="17"/>
                <w:szCs w:val="17"/>
                <w:color w:val="auto"/>
              </w:rPr>
            </w:pPr>
          </w:p>
        </w:tc>
        <w:tc>
          <w:tcPr>
            <w:tcW w:w="320" w:type="dxa"/>
            <w:vAlign w:val="bottom"/>
            <w:gridSpan w:val="8"/>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9"/>
              </w:rPr>
              <w:t>S-24</w:t>
            </w:r>
          </w:p>
        </w:tc>
      </w:tr>
      <w:tr>
        <w:trPr>
          <w:trHeight w:val="175"/>
        </w:trPr>
        <w:tc>
          <w:tcPr>
            <w:tcW w:w="13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7"/>
                <w:szCs w:val="17"/>
                <w:color w:val="0000EE"/>
              </w:rPr>
              <w:t>EXPERTS</w:t>
            </w:r>
          </w:p>
        </w:tc>
        <w:tc>
          <w:tcPr>
            <w:tcW w:w="6060" w:type="dxa"/>
            <w:vAlign w:val="bottom"/>
            <w:tcBorders>
              <w:top w:val="single" w:sz="8" w:color="CCEEFF"/>
            </w:tcBorders>
            <w:gridSpan w:val="17"/>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0000EE"/>
            </w:tcBorders>
            <w:gridSpan w:val="8"/>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9"/>
              </w:rPr>
              <w:t>S-24</w:t>
            </w: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05"/>
        </w:trPr>
        <w:tc>
          <w:tcPr>
            <w:tcW w:w="35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7"/>
              </w:rPr>
              <w:t>WHERE YOU CAN FIND MORE INFORMATION</w:t>
            </w:r>
          </w:p>
        </w:tc>
        <w:tc>
          <w:tcPr>
            <w:tcW w:w="3860" w:type="dxa"/>
            <w:vAlign w:val="bottom"/>
            <w:tcBorders>
              <w:bottom w:val="single" w:sz="8" w:color="CCEEFF"/>
            </w:tcBorders>
            <w:gridSpan w:val="6"/>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gridSpan w:val="8"/>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9"/>
              </w:rPr>
              <w:t>S-25</w:t>
            </w: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100" w:type="dxa"/>
            <w:vAlign w:val="bottom"/>
          </w:tcPr>
          <w:p>
            <w:pPr>
              <w:spacing w:after="0"/>
              <w:rPr>
                <w:sz w:val="15"/>
                <w:szCs w:val="15"/>
                <w:color w:val="auto"/>
              </w:rPr>
            </w:pPr>
          </w:p>
        </w:tc>
        <w:tc>
          <w:tcPr>
            <w:tcW w:w="320" w:type="dxa"/>
            <w:vAlign w:val="bottom"/>
            <w:gridSpan w:val="8"/>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9"/>
              </w:rPr>
              <w:t>S-26</w:t>
            </w:r>
          </w:p>
        </w:tc>
      </w:tr>
      <w:tr>
        <w:trPr>
          <w:trHeight w:val="569"/>
        </w:trPr>
        <w:tc>
          <w:tcPr>
            <w:tcW w:w="48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7"/>
                <w:szCs w:val="17"/>
                <w:b w:val="1"/>
                <w:bCs w:val="1"/>
                <w:color w:val="auto"/>
              </w:rPr>
              <w:t>Prospectus</w:t>
            </w:r>
          </w:p>
        </w:tc>
        <w:tc>
          <w:tcPr>
            <w:tcW w:w="26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526"/>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12"/>
          </w:tcPr>
          <w:p>
            <w:pPr>
              <w:ind w:left="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3"/>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0"/>
        </w:trPr>
        <w:tc>
          <w:tcPr>
            <w:tcW w:w="7400" w:type="dxa"/>
            <w:vAlign w:val="bottom"/>
            <w:gridSpan w:val="2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ABOUT THIS PROSPECTUS</w:t>
            </w:r>
          </w:p>
        </w:tc>
        <w:tc>
          <w:tcPr>
            <w:tcW w:w="360" w:type="dxa"/>
            <w:vAlign w:val="bottom"/>
            <w:tcBorders>
              <w:right w:val="single" w:sz="8" w:color="CCEEFF"/>
            </w:tcBorders>
            <w:gridSpan w:val="7"/>
            <w:shd w:val="clear" w:color="auto" w:fill="CCEEFF"/>
          </w:tcPr>
          <w:p>
            <w:pPr>
              <w:jc w:val="center"/>
              <w:ind w:left="157"/>
              <w:spacing w:after="0" w:line="181" w:lineRule="exact"/>
              <w:rPr>
                <w:sz w:val="20"/>
                <w:szCs w:val="20"/>
                <w:color w:val="auto"/>
              </w:rPr>
            </w:pPr>
            <w:r>
              <w:rPr>
                <w:rFonts w:ascii="Times New Roman" w:cs="Times New Roman" w:eastAsia="Times New Roman" w:hAnsi="Times New Roman"/>
                <w:sz w:val="17"/>
                <w:szCs w:val="17"/>
                <w:color w:val="0000EE"/>
                <w:w w:val="93"/>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360" w:type="dxa"/>
            <w:vAlign w:val="bottom"/>
            <w:gridSpan w:val="7"/>
          </w:tcPr>
          <w:p>
            <w:pPr>
              <w:jc w:val="center"/>
              <w:ind w:left="157"/>
              <w:spacing w:after="0" w:line="176" w:lineRule="exact"/>
              <w:rPr>
                <w:sz w:val="20"/>
                <w:szCs w:val="20"/>
                <w:color w:val="auto"/>
              </w:rPr>
            </w:pPr>
            <w:r>
              <w:rPr>
                <w:rFonts w:ascii="Times New Roman" w:cs="Times New Roman" w:eastAsia="Times New Roman" w:hAnsi="Times New Roman"/>
                <w:sz w:val="17"/>
                <w:szCs w:val="17"/>
                <w:color w:val="0000EE"/>
                <w:w w:val="93"/>
              </w:rPr>
              <w:t>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OUR COMPANY</w:t>
            </w:r>
          </w:p>
        </w:tc>
        <w:tc>
          <w:tcPr>
            <w:tcW w:w="360" w:type="dxa"/>
            <w:vAlign w:val="bottom"/>
            <w:tcBorders>
              <w:right w:val="single" w:sz="8" w:color="CCEEFF"/>
            </w:tcBorders>
            <w:gridSpan w:val="7"/>
            <w:shd w:val="clear" w:color="auto" w:fill="CCEEFF"/>
          </w:tcPr>
          <w:p>
            <w:pPr>
              <w:jc w:val="center"/>
              <w:ind w:left="157"/>
              <w:spacing w:after="0" w:line="176" w:lineRule="exact"/>
              <w:rPr>
                <w:sz w:val="20"/>
                <w:szCs w:val="20"/>
                <w:color w:val="auto"/>
              </w:rPr>
            </w:pPr>
            <w:r>
              <w:rPr>
                <w:rFonts w:ascii="Times New Roman" w:cs="Times New Roman" w:eastAsia="Times New Roman" w:hAnsi="Times New Roman"/>
                <w:sz w:val="17"/>
                <w:szCs w:val="17"/>
                <w:color w:val="0000EE"/>
                <w:w w:val="93"/>
              </w:rPr>
              <w:t>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20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0000EE"/>
                <w:w w:val="98"/>
              </w:rPr>
              <w:t>RISK FACTORS</w:t>
            </w:r>
          </w:p>
        </w:tc>
        <w:tc>
          <w:tcPr>
            <w:tcW w:w="6200" w:type="dxa"/>
            <w:vAlign w:val="bottom"/>
            <w:gridSpan w:val="18"/>
          </w:tcPr>
          <w:p>
            <w:pPr>
              <w:spacing w:after="0"/>
              <w:rPr>
                <w:sz w:val="15"/>
                <w:szCs w:val="15"/>
                <w:color w:val="auto"/>
              </w:rPr>
            </w:pPr>
          </w:p>
        </w:tc>
        <w:tc>
          <w:tcPr>
            <w:tcW w:w="260" w:type="dxa"/>
            <w:vAlign w:val="bottom"/>
            <w:gridSpan w:val="6"/>
          </w:tcPr>
          <w:p>
            <w:pPr>
              <w:spacing w:after="0"/>
              <w:rPr>
                <w:sz w:val="15"/>
                <w:szCs w:val="15"/>
                <w:color w:val="auto"/>
              </w:rPr>
            </w:pPr>
          </w:p>
        </w:tc>
        <w:tc>
          <w:tcPr>
            <w:tcW w:w="1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3"/>
              </w:rPr>
              <w:t>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USE OF PROCEEDS</w:t>
            </w:r>
          </w:p>
        </w:tc>
        <w:tc>
          <w:tcPr>
            <w:tcW w:w="360" w:type="dxa"/>
            <w:vAlign w:val="bottom"/>
            <w:tcBorders>
              <w:right w:val="single" w:sz="8" w:color="CCEEFF"/>
            </w:tcBorders>
            <w:gridSpan w:val="7"/>
            <w:shd w:val="clear" w:color="auto" w:fill="CCEEFF"/>
          </w:tcPr>
          <w:p>
            <w:pPr>
              <w:jc w:val="center"/>
              <w:ind w:left="157"/>
              <w:spacing w:after="0" w:line="176" w:lineRule="exact"/>
              <w:rPr>
                <w:sz w:val="20"/>
                <w:szCs w:val="20"/>
                <w:color w:val="auto"/>
              </w:rPr>
            </w:pPr>
            <w:r>
              <w:rPr>
                <w:rFonts w:ascii="Times New Roman" w:cs="Times New Roman" w:eastAsia="Times New Roman" w:hAnsi="Times New Roman"/>
                <w:sz w:val="17"/>
                <w:szCs w:val="17"/>
                <w:color w:val="0000EE"/>
                <w:w w:val="93"/>
              </w:rPr>
              <w:t>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COMMON STOCK</w:t>
            </w:r>
          </w:p>
        </w:tc>
        <w:tc>
          <w:tcPr>
            <w:tcW w:w="360" w:type="dxa"/>
            <w:vAlign w:val="bottom"/>
            <w:gridSpan w:val="7"/>
          </w:tcPr>
          <w:p>
            <w:pPr>
              <w:jc w:val="center"/>
              <w:ind w:left="157"/>
              <w:spacing w:after="0" w:line="176" w:lineRule="exact"/>
              <w:rPr>
                <w:sz w:val="20"/>
                <w:szCs w:val="20"/>
                <w:color w:val="auto"/>
              </w:rPr>
            </w:pPr>
            <w:r>
              <w:rPr>
                <w:rFonts w:ascii="Times New Roman" w:cs="Times New Roman" w:eastAsia="Times New Roman" w:hAnsi="Times New Roman"/>
                <w:sz w:val="17"/>
                <w:szCs w:val="17"/>
                <w:color w:val="0000EE"/>
                <w:w w:val="93"/>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PREFERRED STOCK</w:t>
            </w:r>
          </w:p>
        </w:tc>
        <w:tc>
          <w:tcPr>
            <w:tcW w:w="360" w:type="dxa"/>
            <w:vAlign w:val="bottom"/>
            <w:tcBorders>
              <w:right w:val="single" w:sz="8" w:color="CCEEFF"/>
            </w:tcBorders>
            <w:gridSpan w:val="7"/>
            <w:shd w:val="clear" w:color="auto" w:fill="CCEEFF"/>
          </w:tcPr>
          <w:p>
            <w:pPr>
              <w:jc w:val="center"/>
              <w:ind w:left="117"/>
              <w:spacing w:after="0" w:line="176" w:lineRule="exact"/>
              <w:rPr>
                <w:sz w:val="20"/>
                <w:szCs w:val="20"/>
                <w:color w:val="auto"/>
              </w:rPr>
            </w:pPr>
            <w:r>
              <w:rPr>
                <w:rFonts w:ascii="Times New Roman" w:cs="Times New Roman" w:eastAsia="Times New Roman" w:hAnsi="Times New Roman"/>
                <w:sz w:val="17"/>
                <w:szCs w:val="17"/>
                <w:color w:val="0000EE"/>
                <w:w w:val="93"/>
              </w:rPr>
              <w:t>10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5"/>
        </w:trPr>
        <w:tc>
          <w:tcPr>
            <w:tcW w:w="33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DEBT SECURITIES</w:t>
            </w:r>
          </w:p>
        </w:tc>
        <w:tc>
          <w:tcPr>
            <w:tcW w:w="4100" w:type="dxa"/>
            <w:vAlign w:val="bottom"/>
            <w:tcBorders>
              <w:top w:val="single" w:sz="8" w:color="CCEEFF"/>
            </w:tcBorders>
            <w:gridSpan w:val="8"/>
          </w:tcPr>
          <w:p>
            <w:pPr>
              <w:spacing w:after="0"/>
              <w:rPr>
                <w:sz w:val="15"/>
                <w:szCs w:val="15"/>
                <w:color w:val="auto"/>
              </w:rPr>
            </w:pPr>
          </w:p>
        </w:tc>
        <w:tc>
          <w:tcPr>
            <w:tcW w:w="18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tcBorders>
            <w:gridSpan w:val="2"/>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3"/>
              </w:rPr>
              <w:t>12</w:t>
            </w: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7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6"/>
              </w:rPr>
              <w:t>DESCRIPTION OF OUR WARRANTS</w:t>
            </w:r>
          </w:p>
        </w:tc>
        <w:tc>
          <w:tcPr>
            <w:tcW w:w="4700" w:type="dxa"/>
            <w:vAlign w:val="bottom"/>
            <w:tcBorders>
              <w:bottom w:val="single" w:sz="8" w:color="CCEEFF"/>
            </w:tcBorders>
            <w:gridSpan w:val="12"/>
            <w:shd w:val="clear" w:color="auto" w:fill="CCEEFF"/>
          </w:tcPr>
          <w:p>
            <w:pPr>
              <w:spacing w:after="0"/>
              <w:rPr>
                <w:sz w:val="17"/>
                <w:szCs w:val="17"/>
                <w:color w:val="auto"/>
              </w:rPr>
            </w:pPr>
          </w:p>
        </w:tc>
        <w:tc>
          <w:tcPr>
            <w:tcW w:w="18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right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3"/>
              </w:rPr>
              <w:t>18</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UNITS</w:t>
            </w:r>
          </w:p>
        </w:tc>
        <w:tc>
          <w:tcPr>
            <w:tcW w:w="360" w:type="dxa"/>
            <w:vAlign w:val="bottom"/>
            <w:gridSpan w:val="7"/>
          </w:tcPr>
          <w:p>
            <w:pPr>
              <w:jc w:val="center"/>
              <w:ind w:left="117"/>
              <w:spacing w:after="0" w:line="176" w:lineRule="exact"/>
              <w:rPr>
                <w:sz w:val="20"/>
                <w:szCs w:val="20"/>
                <w:color w:val="auto"/>
              </w:rPr>
            </w:pPr>
            <w:r>
              <w:rPr>
                <w:rFonts w:ascii="Times New Roman" w:cs="Times New Roman" w:eastAsia="Times New Roman" w:hAnsi="Times New Roman"/>
                <w:sz w:val="17"/>
                <w:szCs w:val="17"/>
                <w:color w:val="0000EE"/>
                <w:w w:val="93"/>
              </w:rPr>
              <w:t>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SUBSCRIPTION RIGHTS</w:t>
            </w:r>
          </w:p>
        </w:tc>
        <w:tc>
          <w:tcPr>
            <w:tcW w:w="360" w:type="dxa"/>
            <w:vAlign w:val="bottom"/>
            <w:tcBorders>
              <w:right w:val="single" w:sz="8" w:color="CCEEFF"/>
            </w:tcBorders>
            <w:gridSpan w:val="7"/>
            <w:shd w:val="clear" w:color="auto" w:fill="CCEEFF"/>
          </w:tcPr>
          <w:p>
            <w:pPr>
              <w:jc w:val="center"/>
              <w:ind w:left="117"/>
              <w:spacing w:after="0" w:line="176" w:lineRule="exact"/>
              <w:rPr>
                <w:sz w:val="20"/>
                <w:szCs w:val="20"/>
                <w:color w:val="auto"/>
              </w:rPr>
            </w:pPr>
            <w:r>
              <w:rPr>
                <w:rFonts w:ascii="Times New Roman" w:cs="Times New Roman" w:eastAsia="Times New Roman" w:hAnsi="Times New Roman"/>
                <w:sz w:val="17"/>
                <w:szCs w:val="17"/>
                <w:color w:val="0000EE"/>
                <w:w w:val="93"/>
              </w:rPr>
              <w:t>20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5"/>
        </w:trPr>
        <w:tc>
          <w:tcPr>
            <w:tcW w:w="36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7"/>
                <w:szCs w:val="17"/>
                <w:color w:val="0000EE"/>
              </w:rPr>
              <w:t>PLAN OF DISTRIBUTION</w:t>
            </w:r>
          </w:p>
        </w:tc>
        <w:tc>
          <w:tcPr>
            <w:tcW w:w="38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tcBorders>
            <w:gridSpan w:val="2"/>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3"/>
              </w:rPr>
              <w:t>21</w:t>
            </w: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7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LEGAL MATTERS</w:t>
            </w:r>
          </w:p>
        </w:tc>
        <w:tc>
          <w:tcPr>
            <w:tcW w:w="360" w:type="dxa"/>
            <w:vAlign w:val="bottom"/>
            <w:tcBorders>
              <w:right w:val="single" w:sz="8" w:color="CCEEFF"/>
            </w:tcBorders>
            <w:gridSpan w:val="7"/>
            <w:shd w:val="clear" w:color="auto" w:fill="CCEEFF"/>
          </w:tcPr>
          <w:p>
            <w:pPr>
              <w:jc w:val="center"/>
              <w:ind w:left="117"/>
              <w:spacing w:after="0" w:line="176" w:lineRule="exact"/>
              <w:rPr>
                <w:sz w:val="20"/>
                <w:szCs w:val="20"/>
                <w:color w:val="auto"/>
              </w:rPr>
            </w:pPr>
            <w:r>
              <w:rPr>
                <w:rFonts w:ascii="Times New Roman" w:cs="Times New Roman" w:eastAsia="Times New Roman" w:hAnsi="Times New Roman"/>
                <w:sz w:val="17"/>
                <w:szCs w:val="17"/>
                <w:color w:val="0000EE"/>
                <w:w w:val="93"/>
              </w:rPr>
              <w:t>23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5"/>
        </w:trPr>
        <w:tc>
          <w:tcPr>
            <w:tcW w:w="13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7"/>
                <w:szCs w:val="17"/>
                <w:color w:val="0000EE"/>
              </w:rPr>
              <w:t>EXPERTS</w:t>
            </w:r>
          </w:p>
        </w:tc>
        <w:tc>
          <w:tcPr>
            <w:tcW w:w="6060" w:type="dxa"/>
            <w:vAlign w:val="bottom"/>
            <w:tcBorders>
              <w:top w:val="single" w:sz="8" w:color="CCEEFF"/>
            </w:tcBorders>
            <w:gridSpan w:val="17"/>
          </w:tcPr>
          <w:p>
            <w:pPr>
              <w:spacing w:after="0"/>
              <w:rPr>
                <w:sz w:val="15"/>
                <w:szCs w:val="15"/>
                <w:color w:val="auto"/>
              </w:rPr>
            </w:pPr>
          </w:p>
        </w:tc>
        <w:tc>
          <w:tcPr>
            <w:tcW w:w="18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tcBorders>
            <w:gridSpan w:val="2"/>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3"/>
              </w:rPr>
              <w:t>23</w:t>
            </w: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35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7"/>
              </w:rPr>
              <w:t>WHERE YOU CAN FIND MORE INFORMATION</w:t>
            </w:r>
          </w:p>
        </w:tc>
        <w:tc>
          <w:tcPr>
            <w:tcW w:w="3860" w:type="dxa"/>
            <w:vAlign w:val="bottom"/>
            <w:tcBorders>
              <w:bottom w:val="single" w:sz="8" w:color="CCEEFF"/>
            </w:tcBorders>
            <w:gridSpan w:val="6"/>
            <w:shd w:val="clear" w:color="auto" w:fill="CCEEFF"/>
          </w:tcPr>
          <w:p>
            <w:pPr>
              <w:spacing w:after="0"/>
              <w:rPr>
                <w:sz w:val="17"/>
                <w:szCs w:val="17"/>
                <w:color w:val="auto"/>
              </w:rPr>
            </w:pPr>
          </w:p>
        </w:tc>
        <w:tc>
          <w:tcPr>
            <w:tcW w:w="18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right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EE"/>
                <w:w w:val="93"/>
              </w:rPr>
              <w:t>23</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740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360" w:type="dxa"/>
            <w:vAlign w:val="bottom"/>
            <w:gridSpan w:val="7"/>
          </w:tcPr>
          <w:p>
            <w:pPr>
              <w:jc w:val="center"/>
              <w:ind w:left="117"/>
              <w:spacing w:after="0" w:line="176" w:lineRule="exact"/>
              <w:rPr>
                <w:sz w:val="20"/>
                <w:szCs w:val="20"/>
                <w:color w:val="auto"/>
              </w:rPr>
            </w:pPr>
            <w:r>
              <w:rPr>
                <w:rFonts w:ascii="Times New Roman" w:cs="Times New Roman" w:eastAsia="Times New Roman" w:hAnsi="Times New Roman"/>
                <w:sz w:val="17"/>
                <w:szCs w:val="17"/>
                <w:color w:val="0000EE"/>
                <w:w w:val="93"/>
              </w:rPr>
              <w:t>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 w:name="page3"/>
    <w:bookmarkEnd w:id="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09" w:lineRule="exact"/>
        <w:rPr>
          <w:sz w:val="20"/>
          <w:szCs w:val="20"/>
          <w:color w:val="auto"/>
        </w:rPr>
      </w:pPr>
    </w:p>
    <w:p>
      <w:pPr>
        <w:ind w:left="600" w:right="719" w:firstLine="334"/>
        <w:spacing w:after="0" w:line="252" w:lineRule="auto"/>
        <w:rPr>
          <w:sz w:val="20"/>
          <w:szCs w:val="20"/>
          <w:color w:val="auto"/>
        </w:rPr>
      </w:pPr>
      <w:r>
        <w:rPr>
          <w:rFonts w:ascii="Times New Roman" w:cs="Times New Roman" w:eastAsia="Times New Roman" w:hAnsi="Times New Roman"/>
          <w:sz w:val="17"/>
          <w:szCs w:val="17"/>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w:t>
      </w:r>
    </w:p>
    <w:p>
      <w:pPr>
        <w:spacing w:after="0" w:line="76" w:lineRule="exact"/>
        <w:rPr>
          <w:sz w:val="20"/>
          <w:szCs w:val="20"/>
          <w:color w:val="auto"/>
        </w:rPr>
      </w:pPr>
    </w:p>
    <w:p>
      <w:pPr>
        <w:jc w:val="both"/>
        <w:ind w:left="600" w:right="839" w:firstLine="334"/>
        <w:spacing w:after="0" w:line="259" w:lineRule="auto"/>
        <w:rPr>
          <w:sz w:val="20"/>
          <w:szCs w:val="20"/>
          <w:color w:val="auto"/>
        </w:rPr>
      </w:pPr>
      <w:r>
        <w:rPr>
          <w:rFonts w:ascii="Times New Roman" w:cs="Times New Roman" w:eastAsia="Times New Roman" w:hAnsi="Times New Roman"/>
          <w:sz w:val="17"/>
          <w:szCs w:val="17"/>
          <w:color w:val="auto"/>
        </w:rPr>
        <w:t>You should read both this prospectus supplement and the accompanying prospectus, together with additional information described under the heading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in this prospectus supplement and the accompanying prospectus.</w:t>
      </w:r>
    </w:p>
    <w:p>
      <w:pPr>
        <w:spacing w:after="0" w:line="69" w:lineRule="exact"/>
        <w:rPr>
          <w:sz w:val="20"/>
          <w:szCs w:val="20"/>
          <w:color w:val="auto"/>
        </w:rPr>
      </w:pPr>
    </w:p>
    <w:p>
      <w:pPr>
        <w:ind w:left="600" w:right="659" w:firstLine="334"/>
        <w:spacing w:after="0" w:line="259" w:lineRule="auto"/>
        <w:rPr>
          <w:sz w:val="20"/>
          <w:szCs w:val="20"/>
          <w:color w:val="auto"/>
        </w:rPr>
      </w:pPr>
      <w:r>
        <w:rPr>
          <w:rFonts w:ascii="Times New Roman" w:cs="Times New Roman" w:eastAsia="Times New Roman" w:hAnsi="Times New Roman"/>
          <w:sz w:val="17"/>
          <w:szCs w:val="17"/>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69" w:lineRule="exact"/>
        <w:rPr>
          <w:sz w:val="20"/>
          <w:szCs w:val="20"/>
          <w:color w:val="auto"/>
        </w:rPr>
      </w:pPr>
    </w:p>
    <w:p>
      <w:pPr>
        <w:ind w:left="600" w:right="639" w:firstLine="334"/>
        <w:spacing w:after="0" w:line="254" w:lineRule="auto"/>
        <w:rPr>
          <w:sz w:val="20"/>
          <w:szCs w:val="20"/>
          <w:color w:val="auto"/>
        </w:rPr>
      </w:pPr>
      <w:r>
        <w:rPr>
          <w:rFonts w:ascii="Times New Roman" w:cs="Times New Roman" w:eastAsia="Times New Roman" w:hAnsi="Times New Roman"/>
          <w:sz w:val="17"/>
          <w:szCs w:val="17"/>
          <w:color w:val="auto"/>
        </w:rPr>
        <w:t>Neither we nor the underwriters have authorized anyone to provide you with information that is in addition to or different from the information included or incorporated by reference into this prospectus supplement or the accompanying prospectus. Neither we nor the underwriters are making an offer of these securities in any jurisdiction where such offer is not permitted.</w:t>
      </w:r>
    </w:p>
    <w:p>
      <w:pPr>
        <w:spacing w:after="0" w:line="74" w:lineRule="exact"/>
        <w:rPr>
          <w:sz w:val="20"/>
          <w:szCs w:val="20"/>
          <w:color w:val="auto"/>
        </w:rPr>
      </w:pPr>
    </w:p>
    <w:p>
      <w:pPr>
        <w:ind w:left="600" w:right="619" w:firstLine="334"/>
        <w:spacing w:after="0" w:line="249" w:lineRule="auto"/>
        <w:rPr>
          <w:sz w:val="20"/>
          <w:szCs w:val="20"/>
          <w:color w:val="auto"/>
        </w:rPr>
      </w:pPr>
      <w:r>
        <w:rPr>
          <w:rFonts w:ascii="Times New Roman" w:cs="Times New Roman" w:eastAsia="Times New Roman" w:hAnsi="Times New Roman"/>
          <w:sz w:val="17"/>
          <w:szCs w:val="17"/>
          <w:color w:val="auto"/>
        </w:rPr>
        <w:t>You should not consider any information in this prospectus supplement or the accompanying prospectus to be investment, legal or tax advice. You should consult your own counsel, accountants and other advisors for legal, tax, business, financial and related advice regarding the purchase of the common stock offered by this prospectus supplement. 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09" w:lineRule="exact"/>
        <w:rPr>
          <w:sz w:val="20"/>
          <w:szCs w:val="20"/>
          <w:color w:val="auto"/>
        </w:rPr>
      </w:pPr>
    </w:p>
    <w:p>
      <w:pPr>
        <w:ind w:left="600" w:right="619" w:firstLine="334"/>
        <w:spacing w:after="0" w:line="248"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and the documents incorporated herein by reference contain forward-looking statements within the meaning of Section 27A of the Securities Act and Section 21E of the Securities Exchange Act of 1934, as amended (the “Exchange Act”) that are based on our management’s beliefs and assumptions and on information available to our management as of the date hereof or as of the date of any such document incorporated herein by reference, as the case may be. Forward-looking statements are inherently subject to risks and uncertainties, some of which cannot be predicted or quantified. All statements other than present and historical facts and conditions contained in this prospectus supplement and the accompanying prospectus and the documents incorporated herein by reference, including statements regarding our future results of operations and financial position, business strategy, plans and our objectives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79" w:lineRule="exact"/>
        <w:rPr>
          <w:sz w:val="20"/>
          <w:szCs w:val="20"/>
          <w:color w:val="auto"/>
        </w:rPr>
      </w:pPr>
    </w:p>
    <w:p>
      <w:pPr>
        <w:ind w:left="600" w:right="619" w:firstLine="334"/>
        <w:spacing w:after="0" w:line="249"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prospectus supplement and the documents incorporated herein by reference primarily on our expectations and projections about future events and trends as of the date hereof or as of the date of the applicable document incorporated herein by reference, as the case may be, that we believe may affect our business, financial condition, results of operations, prospects, business strategy and financial needs.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w:t>
      </w:r>
    </w:p>
    <w:p>
      <w:pPr>
        <w:spacing w:after="0" w:line="79" w:lineRule="exact"/>
        <w:rPr>
          <w:sz w:val="20"/>
          <w:szCs w:val="20"/>
          <w:color w:val="auto"/>
        </w:rPr>
      </w:pPr>
    </w:p>
    <w:p>
      <w:pPr>
        <w:ind w:left="1260" w:right="999" w:hanging="330"/>
        <w:spacing w:after="0" w:line="272" w:lineRule="auto"/>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business and economic conditions; manufacturing or supply chain interruptions or changes in customer demand;</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implementing our cost reduction strategies;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expanding our manufacturing capacities;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attract and retain highly qualified personnel;</w:t>
      </w:r>
    </w:p>
    <w:p>
      <w:pPr>
        <w:spacing w:after="0" w:line="105" w:lineRule="exact"/>
        <w:rPr>
          <w:rFonts w:ascii="Times New Roman" w:cs="Times New Roman" w:eastAsia="Times New Roman" w:hAnsi="Times New Roman"/>
          <w:sz w:val="17"/>
          <w:szCs w:val="17"/>
          <w:color w:val="auto"/>
        </w:rPr>
      </w:pPr>
    </w:p>
    <w:p>
      <w:pPr>
        <w:ind w:left="1260" w:right="1179" w:hanging="330"/>
        <w:spacing w:after="0" w:line="272" w:lineRule="auto"/>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uncertainty related to the effects of changes in foreign currency exchange rates;</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technological changes in our industries;</w:t>
      </w:r>
    </w:p>
    <w:p>
      <w:pPr>
        <w:spacing w:after="0" w:line="105" w:lineRule="exact"/>
        <w:rPr>
          <w:rFonts w:ascii="Times New Roman" w:cs="Times New Roman" w:eastAsia="Times New Roman" w:hAnsi="Times New Roman"/>
          <w:sz w:val="17"/>
          <w:szCs w:val="17"/>
          <w:color w:val="auto"/>
        </w:rPr>
      </w:pPr>
    </w:p>
    <w:p>
      <w:pPr>
        <w:ind w:left="1260" w:right="799" w:hanging="330"/>
        <w:spacing w:after="0" w:line="259" w:lineRule="auto"/>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new product development; difficulties in identifying suitable acquisition candidates, consummating a transaction on terms which we consider acceptable, and integration and performance of acquired businesses;</w:t>
      </w:r>
    </w:p>
    <w:p>
      <w:pPr>
        <w:spacing w:after="0" w:line="68"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and foreign trade regulations and tariffs, and uncertainty regarding the same;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prices for metals and materials;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domestic and foreign tax regulations, and uncertainty regarding the same;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accounting standards;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use of proceeds from this offering; and</w:t>
      </w:r>
    </w:p>
    <w:p>
      <w:pPr>
        <w:spacing w:after="0" w:line="105" w:lineRule="exact"/>
        <w:rPr>
          <w:rFonts w:ascii="Times New Roman" w:cs="Times New Roman" w:eastAsia="Times New Roman" w:hAnsi="Times New Roman"/>
          <w:sz w:val="17"/>
          <w:szCs w:val="17"/>
          <w:color w:val="auto"/>
        </w:rPr>
      </w:pPr>
    </w:p>
    <w:p>
      <w:pPr>
        <w:ind w:left="1260" w:right="799" w:hanging="330"/>
        <w:spacing w:after="0" w:line="272" w:lineRule="auto"/>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described in the section titled “Risk Factors” in this prospectus supplement and our Annual Report on Form 10-K for the year ended December 31, 2025.</w:t>
      </w:r>
    </w:p>
    <w:p>
      <w:pPr>
        <w:spacing w:after="0" w:line="58" w:lineRule="exact"/>
        <w:rPr>
          <w:sz w:val="20"/>
          <w:szCs w:val="20"/>
          <w:color w:val="auto"/>
        </w:rPr>
      </w:pPr>
    </w:p>
    <w:p>
      <w:pPr>
        <w:ind w:left="600" w:right="699" w:firstLine="334"/>
        <w:spacing w:after="0" w:line="272" w:lineRule="auto"/>
        <w:rPr>
          <w:sz w:val="20"/>
          <w:szCs w:val="20"/>
          <w:color w:val="auto"/>
        </w:rPr>
      </w:pPr>
      <w:r>
        <w:rPr>
          <w:rFonts w:ascii="Times New Roman" w:cs="Times New Roman" w:eastAsia="Times New Roman" w:hAnsi="Times New Roman"/>
          <w:sz w:val="16"/>
          <w:szCs w:val="16"/>
          <w:color w:val="auto"/>
        </w:rPr>
        <w:t>Additionally, we 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and the documents incorporated herein by reference. We cannot assure you that the results, events and circumstances reflected in the forward-looking statements will be achieved or occur, and actual results, events or circumstances could differ materially from those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679"/>
        <w:spacing w:after="0" w:line="259" w:lineRule="auto"/>
        <w:rPr>
          <w:sz w:val="20"/>
          <w:szCs w:val="20"/>
          <w:color w:val="auto"/>
        </w:rPr>
      </w:pPr>
      <w:r>
        <w:rPr>
          <w:rFonts w:ascii="Times New Roman" w:cs="Times New Roman" w:eastAsia="Times New Roman" w:hAnsi="Times New Roman"/>
          <w:sz w:val="17"/>
          <w:szCs w:val="17"/>
          <w:color w:val="auto"/>
        </w:rPr>
        <w:t>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69" w:lineRule="exact"/>
        <w:rPr>
          <w:sz w:val="20"/>
          <w:szCs w:val="20"/>
          <w:color w:val="auto"/>
        </w:rPr>
      </w:pPr>
    </w:p>
    <w:p>
      <w:pPr>
        <w:ind w:left="600" w:right="679" w:firstLine="334"/>
        <w:spacing w:after="0" w:line="250"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supplement or the applicable document incorporated herein by reference,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8" w:lineRule="exact"/>
        <w:rPr>
          <w:sz w:val="20"/>
          <w:szCs w:val="20"/>
          <w:color w:val="auto"/>
        </w:rPr>
      </w:pPr>
    </w:p>
    <w:p>
      <w:pPr>
        <w:ind w:left="600" w:right="639" w:firstLine="334"/>
        <w:spacing w:after="0" w:line="252" w:lineRule="auto"/>
        <w:rPr>
          <w:sz w:val="20"/>
          <w:szCs w:val="20"/>
          <w:color w:val="auto"/>
        </w:rPr>
      </w:pPr>
      <w:r>
        <w:rPr>
          <w:rFonts w:ascii="Times New Roman" w:cs="Times New Roman" w:eastAsia="Times New Roman" w:hAnsi="Times New Roman"/>
          <w:sz w:val="17"/>
          <w:szCs w:val="17"/>
          <w:color w:val="auto"/>
        </w:rPr>
        <w:t>The forward-looking statements made in this prospectus supplement and the documents incorporated herein by reference relate only to events as of the date on which such statements are made. We undertake no obligation to update any forward-looking statements after the date of this prospectus supplement or to conform such statements to actual results or revised expectations, except as required by law. All forward-looking statements attributable to us are expressly qualified by these cautionary statements.</w:t>
      </w:r>
    </w:p>
    <w:p>
      <w:pPr>
        <w:spacing w:after="0" w:line="76" w:lineRule="exact"/>
        <w:rPr>
          <w:sz w:val="20"/>
          <w:szCs w:val="20"/>
          <w:color w:val="auto"/>
        </w:rPr>
      </w:pPr>
    </w:p>
    <w:p>
      <w:pPr>
        <w:ind w:left="600" w:right="799" w:firstLine="334"/>
        <w:spacing w:after="0" w:line="254" w:lineRule="auto"/>
        <w:rPr>
          <w:sz w:val="20"/>
          <w:szCs w:val="20"/>
          <w:color w:val="auto"/>
        </w:rPr>
      </w:pPr>
      <w:r>
        <w:rPr>
          <w:rFonts w:ascii="Times New Roman" w:cs="Times New Roman" w:eastAsia="Times New Roman" w:hAnsi="Times New Roman"/>
          <w:sz w:val="17"/>
          <w:szCs w:val="17"/>
          <w:color w:val="auto"/>
        </w:rPr>
        <w:t>This prospectus supplement and the documents incorporated herein by reference contain market data and industry forecasts that were obtained from industry publications. Any such data and forecasts involve a number of assumptions and limitations, and you are cautioned not to give undue weight to such information. We have not independently verified any third-party information.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85090</wp:posOffset>
            </wp:positionV>
            <wp:extent cx="5246370" cy="7544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46370" cy="754443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05" w:lineRule="exact"/>
        <w:rPr>
          <w:sz w:val="20"/>
          <w:szCs w:val="20"/>
          <w:color w:val="auto"/>
        </w:rPr>
      </w:pPr>
    </w:p>
    <w:p>
      <w:pPr>
        <w:ind w:left="620" w:right="639" w:firstLine="334"/>
        <w:spacing w:after="0" w:line="267" w:lineRule="auto"/>
        <w:rPr>
          <w:sz w:val="20"/>
          <w:szCs w:val="20"/>
          <w:color w:val="auto"/>
        </w:rPr>
      </w:pPr>
      <w:r>
        <w:rPr>
          <w:rFonts w:ascii="Times New Roman" w:cs="Times New Roman" w:eastAsia="Times New Roman" w:hAnsi="Times New Roman"/>
          <w:sz w:val="16"/>
          <w:szCs w:val="16"/>
          <w:i w:val="1"/>
          <w:iCs w:val="1"/>
          <w:color w:val="auto"/>
        </w:rPr>
        <w:t>This summary highlights information contained or incorporated by reference elsewhere in this prospectus supplement and the accompanying prospectus and does not contain all of the information that you should consider in making your investment decision. Before investing in our common stock, you should carefully read this entire prospectus supplement and the accompanying prospectus and the information incorporated by reference herein and therein, including our consolidated financial statements and the related notes incorporated by reference into this prospectus supplement and the section titled “Risk Factors” included elsewhere in this prospectus supplement and our Annual Report on Form 10-K for the year ended December 31, 2025, which is incorporated herein by reference. Except as otherwise indicated or unless the context otherwise requires, the terms “Vishay,” the “Company,” “we,” “us,” “our” or similar terms refer to Vishay Intertechnology, Inc. and its consolidated subsidiaries.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09" w:lineRule="exact"/>
        <w:rPr>
          <w:sz w:val="20"/>
          <w:szCs w:val="20"/>
          <w:color w:val="auto"/>
        </w:rPr>
      </w:pPr>
    </w:p>
    <w:p>
      <w:pPr>
        <w:ind w:left="620" w:right="899" w:firstLine="334"/>
        <w:spacing w:after="0" w:line="259" w:lineRule="auto"/>
        <w:rPr>
          <w:sz w:val="20"/>
          <w:szCs w:val="20"/>
          <w:color w:val="auto"/>
        </w:rPr>
      </w:pPr>
      <w:r>
        <w:rPr>
          <w:rFonts w:ascii="Times New Roman" w:cs="Times New Roman" w:eastAsia="Times New Roman" w:hAnsi="Times New Roman"/>
          <w:sz w:val="17"/>
          <w:szCs w:val="17"/>
          <w:color w:val="auto"/>
        </w:rPr>
        <w:t>Vishay manufactures one of the world’s largest portfolios of discrete semiconductors and passive electronic components that are essential to innovative designs in the automotive, industrial, computing, consumer, telecommunications, military, aerospace, and healthcare markets.</w:t>
      </w:r>
    </w:p>
    <w:p>
      <w:pPr>
        <w:spacing w:after="0" w:line="69" w:lineRule="exact"/>
        <w:rPr>
          <w:sz w:val="20"/>
          <w:szCs w:val="20"/>
          <w:color w:val="auto"/>
        </w:rPr>
      </w:pPr>
    </w:p>
    <w:p>
      <w:pPr>
        <w:ind w:left="620" w:right="819" w:firstLine="334"/>
        <w:spacing w:after="0" w:line="272" w:lineRule="auto"/>
        <w:rPr>
          <w:sz w:val="20"/>
          <w:szCs w:val="20"/>
          <w:color w:val="auto"/>
        </w:rPr>
      </w:pPr>
      <w:r>
        <w:rPr>
          <w:rFonts w:ascii="Times New Roman" w:cs="Times New Roman" w:eastAsia="Times New Roman" w:hAnsi="Times New Roman"/>
          <w:sz w:val="17"/>
          <w:szCs w:val="17"/>
          <w:color w:val="auto"/>
        </w:rPr>
        <w:t>We operate in six segments based on product functionality: MOSFETs, Diodes, Optoelectronic Components, Resistors, Inductors, and Capacitors.</w:t>
      </w:r>
    </w:p>
    <w:p>
      <w:pPr>
        <w:spacing w:after="0" w:line="58" w:lineRule="exact"/>
        <w:rPr>
          <w:sz w:val="20"/>
          <w:szCs w:val="20"/>
          <w:color w:val="auto"/>
        </w:rPr>
      </w:pPr>
    </w:p>
    <w:p>
      <w:pPr>
        <w:ind w:left="620" w:right="699" w:firstLine="334"/>
        <w:spacing w:after="0" w:line="268" w:lineRule="auto"/>
        <w:rPr>
          <w:sz w:val="20"/>
          <w:szCs w:val="20"/>
          <w:color w:val="auto"/>
        </w:rPr>
      </w:pPr>
      <w:r>
        <w:rPr>
          <w:rFonts w:ascii="Times New Roman" w:cs="Times New Roman" w:eastAsia="Times New Roman" w:hAnsi="Times New Roman"/>
          <w:sz w:val="16"/>
          <w:szCs w:val="16"/>
          <w:color w:val="auto"/>
        </w:rPr>
        <w:t>Our goal is to enhance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maintaining a prudent capital structure. As we advance our Think Customer First organizational culture in 2026, we are focused on maintaining capacity readiness to fulfill rising demand, growing existing customer relationships, attracting new customer relationships, driving innovation, delivering new products and solutions, and expanding production in low-cost countries to support our regional competitiveness.</w:t>
      </w:r>
    </w:p>
    <w:p>
      <w:pPr>
        <w:spacing w:after="0" w:line="65" w:lineRule="exact"/>
        <w:rPr>
          <w:sz w:val="20"/>
          <w:szCs w:val="20"/>
          <w:color w:val="auto"/>
        </w:rPr>
      </w:pPr>
    </w:p>
    <w:p>
      <w:pPr>
        <w:ind w:left="620" w:right="699" w:firstLine="334"/>
        <w:spacing w:after="0" w:line="266" w:lineRule="auto"/>
        <w:rPr>
          <w:sz w:val="20"/>
          <w:szCs w:val="20"/>
          <w:color w:val="auto"/>
        </w:rPr>
      </w:pPr>
      <w:r>
        <w:rPr>
          <w:rFonts w:ascii="Times New Roman" w:cs="Times New Roman" w:eastAsia="Times New Roman" w:hAnsi="Times New Roman"/>
          <w:sz w:val="16"/>
          <w:szCs w:val="16"/>
          <w:color w:val="auto"/>
        </w:rPr>
        <w:t>We are focused on realizing the full value of our broad product portfolio, becoming a customer-first company, and capitalizing on the mega trends of e-mobility, sustainability, and connectivity to drive top line growth, expand margins, and optimize stockholder returns. Our elevated capital expenditure levels over the past three years has positioned us with increased capacity to assure our customers of reliable supply as they scale production and to supply more part numbers to them. We are committed to completing our capacity expansion projects, but have modulated and will continue to modulate spending in response to order flow, timing of customer demand and qualification, changes in lead times for equipment, and increases in subcontractor capacity. For 2026, we plan to spend between $400 million to $440 million for capital expenditures, approximately half of which is expected to be invested in our 12-inch wafer fab we are building in Itzehoe, Germany.</w:t>
      </w:r>
    </w:p>
    <w:p>
      <w:pPr>
        <w:spacing w:after="0" w:line="69" w:lineRule="exact"/>
        <w:rPr>
          <w:sz w:val="20"/>
          <w:szCs w:val="20"/>
          <w:color w:val="auto"/>
        </w:rPr>
      </w:pPr>
    </w:p>
    <w:p>
      <w:pPr>
        <w:ind w:left="620" w:right="619" w:firstLine="334"/>
        <w:spacing w:after="0" w:line="249" w:lineRule="auto"/>
        <w:rPr>
          <w:sz w:val="20"/>
          <w:szCs w:val="20"/>
          <w:color w:val="auto"/>
        </w:rPr>
      </w:pPr>
      <w:r>
        <w:rPr>
          <w:rFonts w:ascii="Times New Roman" w:cs="Times New Roman" w:eastAsia="Times New Roman" w:hAnsi="Times New Roman"/>
          <w:sz w:val="17"/>
          <w:szCs w:val="17"/>
          <w:color w:val="auto"/>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In this volatile economic environment, we continue to closely monitor our fixed costs, capital expenditure plans, inventory, and capital resources to respond to changing conditions and to ensure we have the management, business processes, and resources to meet our future needs. We believe we can react quickly and professionally to changes in demand to minimize manufacturing inefficiencies and excess inventory build in periods of decline and maximize opportunities in periods of growth. We believe we have sufficient liquidity to withstand temporary disruptions in the economic environment.</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09" w:lineRule="exact"/>
        <w:rPr>
          <w:sz w:val="20"/>
          <w:szCs w:val="20"/>
          <w:color w:val="auto"/>
        </w:rPr>
      </w:pPr>
    </w:p>
    <w:p>
      <w:pPr>
        <w:ind w:left="620" w:right="719" w:firstLine="334"/>
        <w:spacing w:after="0" w:line="254"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documents with the SEC under the Exchange Act. The SEC maintains an Internet website that contains reports, proxy and information statements, and other information regarding issuers, including us, that file electronically with the SEC. The public can obtain any documents that we file with the SEC at http://www.sec.gov.</w:t>
      </w:r>
    </w:p>
    <w:p>
      <w:pPr>
        <w:spacing w:after="0" w:line="74" w:lineRule="exact"/>
        <w:rPr>
          <w:sz w:val="20"/>
          <w:szCs w:val="20"/>
          <w:color w:val="auto"/>
        </w:rPr>
      </w:pPr>
    </w:p>
    <w:p>
      <w:pPr>
        <w:ind w:left="620" w:right="659" w:firstLine="334"/>
        <w:spacing w:after="0" w:line="275" w:lineRule="auto"/>
        <w:rPr>
          <w:sz w:val="20"/>
          <w:szCs w:val="20"/>
          <w:color w:val="auto"/>
        </w:rPr>
      </w:pPr>
      <w:r>
        <w:rPr>
          <w:rFonts w:ascii="Times New Roman" w:cs="Times New Roman" w:eastAsia="Times New Roman" w:hAnsi="Times New Roman"/>
          <w:sz w:val="16"/>
          <w:szCs w:val="16"/>
          <w:color w:val="auto"/>
        </w:rPr>
        <w:t>In addition, our company website can be found on the Internet at www.vishay.com. The website contains information about us and our operations. The information contained on or accessible through our website is not incorporated herein by reference and does not constitute a part of this prospectus supplement. Copies of each of our filings with the SEC on Form 10-K, Form 10-Q, and Form 8-K, and all amendments to those reports, can be viewed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85090</wp:posOffset>
            </wp:positionV>
            <wp:extent cx="5246370" cy="1524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46370" cy="15240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20" w:right="619"/>
        <w:spacing w:after="0" w:line="304" w:lineRule="auto"/>
        <w:rPr>
          <w:sz w:val="20"/>
          <w:szCs w:val="20"/>
          <w:color w:val="auto"/>
        </w:rPr>
      </w:pPr>
      <w:r>
        <w:rPr>
          <w:rFonts w:ascii="Times New Roman" w:cs="Times New Roman" w:eastAsia="Times New Roman" w:hAnsi="Times New Roman"/>
          <w:sz w:val="16"/>
          <w:szCs w:val="16"/>
          <w:color w:val="auto"/>
        </w:rPr>
        <w:t>and downloaded free of charge as soon as reasonably practicable after the reports and amendments are electronically filed with or furnished to the SEC. To view the reports, access ir.vishay.com and click on “SEC Filings.”</w:t>
      </w:r>
    </w:p>
    <w:p>
      <w:pPr>
        <w:spacing w:after="0" w:line="35" w:lineRule="exact"/>
        <w:rPr>
          <w:sz w:val="20"/>
          <w:szCs w:val="20"/>
          <w:color w:val="auto"/>
        </w:rPr>
      </w:pPr>
    </w:p>
    <w:p>
      <w:pPr>
        <w:ind w:left="620" w:right="979" w:firstLine="334"/>
        <w:spacing w:after="0" w:line="272" w:lineRule="auto"/>
        <w:rPr>
          <w:sz w:val="20"/>
          <w:szCs w:val="20"/>
          <w:color w:val="auto"/>
        </w:rPr>
      </w:pPr>
      <w:r>
        <w:rPr>
          <w:rFonts w:ascii="Times New Roman" w:cs="Times New Roman" w:eastAsia="Times New Roman" w:hAnsi="Times New Roman"/>
          <w:sz w:val="17"/>
          <w:szCs w:val="17"/>
          <w:color w:val="auto"/>
        </w:rPr>
        <w:t>Certain documents can also be obtained in print by any stockholder upon request to our Investor Relations Department at the following address:</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Corporate Investor Relations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Vishay Intertechnology, Inc.</w:t>
      </w:r>
    </w:p>
    <w:p>
      <w:pPr>
        <w:spacing w:after="0" w:line="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63 Lancaster Avenue</w:t>
      </w:r>
    </w:p>
    <w:p>
      <w:pPr>
        <w:spacing w:after="0" w:line="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Malvern, PA 19355-2143</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85090</wp:posOffset>
            </wp:positionV>
            <wp:extent cx="5246370" cy="7313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46370" cy="731393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05" w:lineRule="exact"/>
        <w:rPr>
          <w:sz w:val="20"/>
          <w:szCs w:val="20"/>
          <w:color w:val="auto"/>
        </w:rPr>
      </w:pPr>
    </w:p>
    <w:p>
      <w:pPr>
        <w:ind w:left="620" w:right="639" w:firstLine="334"/>
        <w:spacing w:after="0" w:line="261" w:lineRule="auto"/>
        <w:rPr>
          <w:sz w:val="20"/>
          <w:szCs w:val="20"/>
          <w:color w:val="auto"/>
        </w:rPr>
      </w:pPr>
      <w:r>
        <w:rPr>
          <w:rFonts w:ascii="Times New Roman" w:cs="Times New Roman" w:eastAsia="Times New Roman" w:hAnsi="Times New Roman"/>
          <w:sz w:val="17"/>
          <w:szCs w:val="17"/>
          <w:i w:val="1"/>
          <w:iCs w:val="1"/>
          <w:color w:val="auto"/>
        </w:rPr>
        <w:t>The following is a brief summary of certain terms of this offering. For a more complete description of the terms of the common stock offered hereby, see the “Description of Our Common Stock” section of the accompanying prospectus.</w:t>
      </w:r>
    </w:p>
    <w:p>
      <w:pPr>
        <w:sectPr>
          <w:pgSz w:w="11900" w:h="16838" w:orient="portrait"/>
          <w:cols w:equalWidth="0" w:num="1">
            <w:col w:w="9019"/>
          </w:cols>
          <w:pgMar w:left="1440" w:top="253" w:right="1440" w:bottom="1440" w:gutter="0" w:footer="0" w:header="0"/>
        </w:sectPr>
      </w:pPr>
    </w:p>
    <w:p>
      <w:pPr>
        <w:spacing w:after="0" w:line="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143" w:lineRule="exact"/>
        <w:rPr>
          <w:sz w:val="20"/>
          <w:szCs w:val="20"/>
          <w:color w:val="auto"/>
        </w:rPr>
      </w:pPr>
    </w:p>
    <w:p>
      <w:pPr>
        <w:ind w:left="620" w:right="400"/>
        <w:spacing w:after="0" w:line="489" w:lineRule="auto"/>
        <w:rPr>
          <w:sz w:val="20"/>
          <w:szCs w:val="20"/>
          <w:color w:val="auto"/>
        </w:rPr>
      </w:pPr>
      <w:r>
        <w:rPr>
          <w:rFonts w:ascii="Times New Roman" w:cs="Times New Roman" w:eastAsia="Times New Roman" w:hAnsi="Times New Roman"/>
          <w:sz w:val="16"/>
          <w:szCs w:val="16"/>
          <w:b w:val="1"/>
          <w:bCs w:val="1"/>
          <w:color w:val="auto"/>
        </w:rPr>
        <w:t>Common stock offered by us Option to purchase additional shares</w:t>
      </w:r>
    </w:p>
    <w:p>
      <w:pPr>
        <w:spacing w:after="0" w:line="200" w:lineRule="exact"/>
        <w:rPr>
          <w:sz w:val="20"/>
          <w:szCs w:val="20"/>
          <w:color w:val="auto"/>
        </w:rPr>
      </w:pPr>
    </w:p>
    <w:p>
      <w:pPr>
        <w:spacing w:after="0" w:line="290" w:lineRule="exact"/>
        <w:rPr>
          <w:sz w:val="20"/>
          <w:szCs w:val="20"/>
          <w:color w:val="auto"/>
        </w:rPr>
      </w:pPr>
    </w:p>
    <w:p>
      <w:pPr>
        <w:ind w:left="780" w:hanging="166"/>
        <w:spacing w:after="0" w:line="277" w:lineRule="auto"/>
        <w:rPr>
          <w:sz w:val="20"/>
          <w:szCs w:val="20"/>
          <w:color w:val="auto"/>
        </w:rPr>
      </w:pPr>
      <w:r>
        <w:rPr>
          <w:rFonts w:ascii="Times New Roman" w:cs="Times New Roman" w:eastAsia="Times New Roman" w:hAnsi="Times New Roman"/>
          <w:sz w:val="17"/>
          <w:szCs w:val="17"/>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Vishay Intertechnology, Inc., a Delaware corporation.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15,000,000 of shares of our common stock.</w:t>
      </w:r>
    </w:p>
    <w:p>
      <w:pPr>
        <w:spacing w:after="0" w:line="143" w:lineRule="exact"/>
        <w:rPr>
          <w:sz w:val="20"/>
          <w:szCs w:val="20"/>
          <w:color w:val="auto"/>
        </w:rPr>
      </w:pPr>
    </w:p>
    <w:p>
      <w:pPr>
        <w:ind w:right="979"/>
        <w:spacing w:after="0" w:line="275" w:lineRule="auto"/>
        <w:rPr>
          <w:sz w:val="20"/>
          <w:szCs w:val="20"/>
          <w:color w:val="auto"/>
        </w:rPr>
      </w:pPr>
      <w:r>
        <w:rPr>
          <w:rFonts w:ascii="Times New Roman" w:cs="Times New Roman" w:eastAsia="Times New Roman" w:hAnsi="Times New Roman"/>
          <w:sz w:val="16"/>
          <w:szCs w:val="16"/>
          <w:color w:val="auto"/>
        </w:rPr>
        <w:t>The underwriters have an option to purchase up to an additional 2,250,000 of shares of our common stock. The underwriters may exercise their option at any time within 30 days from the date of this prospectus supplement.</w:t>
      </w:r>
    </w:p>
    <w:p>
      <w:pPr>
        <w:spacing w:after="0" w:line="259" w:lineRule="exact"/>
        <w:rPr>
          <w:sz w:val="20"/>
          <w:szCs w:val="20"/>
          <w:color w:val="auto"/>
        </w:rPr>
      </w:pPr>
    </w:p>
    <w:p>
      <w:pPr>
        <w:jc w:val="both"/>
        <w:ind w:right="899"/>
        <w:spacing w:after="0" w:line="259" w:lineRule="auto"/>
        <w:rPr>
          <w:sz w:val="20"/>
          <w:szCs w:val="20"/>
          <w:color w:val="auto"/>
        </w:rPr>
      </w:pPr>
      <w:r>
        <w:rPr>
          <w:rFonts w:ascii="Times New Roman" w:cs="Times New Roman" w:eastAsia="Times New Roman" w:hAnsi="Times New Roman"/>
          <w:sz w:val="17"/>
          <w:szCs w:val="17"/>
          <w:color w:val="auto"/>
        </w:rPr>
        <w:t>139,008,087 shares of our common stock (or 141,258,087 shares if the underwriters exercise their option to purchase additional shares in full).</w:t>
      </w:r>
    </w:p>
    <w:p>
      <w:pPr>
        <w:spacing w:after="0" w:line="90" w:lineRule="exact"/>
        <w:rPr>
          <w:sz w:val="20"/>
          <w:szCs w:val="20"/>
          <w:color w:val="auto"/>
        </w:rPr>
      </w:pPr>
    </w:p>
    <w:p>
      <w:pPr>
        <w:sectPr>
          <w:pgSz w:w="11900" w:h="16838" w:orient="portrait"/>
          <w:cols w:equalWidth="0" w:num="2">
            <w:col w:w="3640" w:space="580"/>
            <w:col w:w="4799"/>
          </w:cols>
          <w:pgMar w:left="1440" w:top="253" w:right="1440" w:bottom="1440" w:gutter="0" w:footer="0" w:header="0"/>
          <w:type w:val="continuous"/>
        </w:sectPr>
      </w:pPr>
    </w:p>
    <w:tbl>
      <w:tblPr>
        <w:tblLayout w:type="fixed"/>
        <w:tblInd w:w="6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Use of proceeds</w:t>
            </w: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We estimate that the net proceeds to us from the offering will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be approximately $721.7 million (or approximately $830.3</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million if the underwriters exercise their option to purchase</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additional shares in full), after deducting underwriting</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discounts and commissions and estimated offering expenses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w w:val="98"/>
              </w:rPr>
              <w:t>payable by us. We intend to use the net proceeds from the sale</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w w:val="99"/>
              </w:rPr>
              <w:t>of our common stock in this offering to accelerate our growth</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initiatives and for general corporate purposes, including to</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reduce current borrowings under our senior secured credit</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5320" w:type="dxa"/>
            <w:vAlign w:val="bottom"/>
            <w:gridSpan w:val="3"/>
          </w:tcPr>
          <w:p>
            <w:pPr>
              <w:ind w:left="1120"/>
              <w:spacing w:after="0" w:line="184" w:lineRule="exact"/>
              <w:rPr>
                <w:sz w:val="20"/>
                <w:szCs w:val="20"/>
                <w:color w:val="auto"/>
              </w:rPr>
            </w:pPr>
            <w:r>
              <w:rPr>
                <w:rFonts w:ascii="Times New Roman" w:cs="Times New Roman" w:eastAsia="Times New Roman" w:hAnsi="Times New Roman"/>
                <w:sz w:val="17"/>
                <w:szCs w:val="17"/>
                <w:color w:val="auto"/>
              </w:rPr>
              <w:t>facility.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on page S-</w:t>
            </w:r>
            <w:r>
              <w:rPr>
                <w:rFonts w:ascii="Times New Roman" w:cs="Times New Roman" w:eastAsia="Times New Roman" w:hAnsi="Times New Roman"/>
                <w:sz w:val="17"/>
                <w:szCs w:val="17"/>
                <w:color w:val="0000EE"/>
              </w:rPr>
              <w:t>9</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Conflict of Interest</w:t>
            </w:r>
          </w:p>
        </w:tc>
        <w:tc>
          <w:tcPr>
            <w:tcW w:w="3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480" w:type="dxa"/>
            <w:vAlign w:val="bottom"/>
            <w:vMerge w:val="continue"/>
          </w:tcPr>
          <w:p>
            <w:pPr>
              <w:spacing w:after="0"/>
              <w:rPr>
                <w:sz w:val="24"/>
                <w:szCs w:val="24"/>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Because affiliates of J.P. Morgan Securities LLC,</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TD Securities (USA) LLC, MUFG Securities Americas Inc.,</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Santander US Capital Markets LLC and UniCredit 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Markets LLC are lenders and/or agents under our senior</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secured credit agreement and may receive 5% or more of the</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net proceeds of this offering if we use a portion of the net</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proceeds to repay all or a portion of the amounts outstanding</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w w:val="99"/>
              </w:rPr>
              <w:t>under this facility, J.P. Morgan Securities LLC, TD Securities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(USA) LLC, MUFG Securities Americas Inc., Santander US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w w:val="99"/>
              </w:rPr>
              <w:t>Capital Markets LLC or UniCredit Capital Markets LLC may</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be deemed to have a “conflict of interest” under Rule 5121</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w w:val="98"/>
              </w:rPr>
              <w:t>(“Rule 5121”) of the Financial Industry Regulatory Authority,</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Inc. (“FINRA”). Accordingly, this offering is being made in</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compliance with the requirements of Rule 5121. The</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appointment of a “qualified independent underwriter” is not</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w w:val="97"/>
              </w:rPr>
              <w:t>required in connection with this offering as a “bona fide public</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market,” as defined in Rule 5121, exists for our common</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w w:val="99"/>
              </w:rPr>
              <w:t>stock. See “</w:t>
            </w:r>
            <w:r>
              <w:rPr>
                <w:rFonts w:ascii="Times New Roman" w:cs="Times New Roman" w:eastAsia="Times New Roman" w:hAnsi="Times New Roman"/>
                <w:sz w:val="17"/>
                <w:szCs w:val="17"/>
                <w:i w:val="1"/>
                <w:iCs w:val="1"/>
                <w:color w:val="auto"/>
                <w:w w:val="99"/>
              </w:rPr>
              <w:t>Use of Proceeds</w:t>
            </w:r>
            <w:r>
              <w:rPr>
                <w:rFonts w:ascii="Times New Roman" w:cs="Times New Roman" w:eastAsia="Times New Roman" w:hAnsi="Times New Roman"/>
                <w:sz w:val="17"/>
                <w:szCs w:val="17"/>
                <w:color w:val="auto"/>
                <w:w w:val="99"/>
              </w:rPr>
              <w:t>” and “</w:t>
            </w:r>
            <w:r>
              <w:rPr>
                <w:rFonts w:ascii="Times New Roman" w:cs="Times New Roman" w:eastAsia="Times New Roman" w:hAnsi="Times New Roman"/>
                <w:sz w:val="17"/>
                <w:szCs w:val="17"/>
                <w:i w:val="1"/>
                <w:iCs w:val="1"/>
                <w:color w:val="auto"/>
                <w:w w:val="99"/>
              </w:rPr>
              <w:t>Underwriting (Conflicts of</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5320" w:type="dxa"/>
            <w:vAlign w:val="bottom"/>
            <w:gridSpan w:val="3"/>
          </w:tcPr>
          <w:p>
            <w:pPr>
              <w:ind w:left="1120"/>
              <w:spacing w:after="0"/>
              <w:rPr>
                <w:sz w:val="20"/>
                <w:szCs w:val="20"/>
                <w:color w:val="auto"/>
              </w:rPr>
            </w:pP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253" w:right="1440" w:bottom="1440" w:gutter="0" w:footer="0" w:header="0"/>
          <w:type w:val="continuous"/>
        </w:sectPr>
      </w:pPr>
    </w:p>
    <w:p>
      <w:pPr>
        <w:ind w:left="620" w:right="440"/>
        <w:spacing w:after="0" w:line="430" w:lineRule="auto"/>
        <w:rPr>
          <w:sz w:val="20"/>
          <w:szCs w:val="20"/>
          <w:color w:val="auto"/>
        </w:rPr>
      </w:pPr>
      <w:r>
        <w:rPr>
          <w:rFonts w:ascii="Times New Roman" w:cs="Times New Roman" w:eastAsia="Times New Roman" w:hAnsi="Times New Roman"/>
          <w:sz w:val="17"/>
          <w:szCs w:val="17"/>
          <w:b w:val="1"/>
          <w:bCs w:val="1"/>
          <w:color w:val="auto"/>
        </w:rPr>
        <w:t>New York Stock Exchange symbol 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“VSH.”</w:t>
      </w:r>
    </w:p>
    <w:p>
      <w:pPr>
        <w:spacing w:after="0" w:line="126" w:lineRule="exact"/>
        <w:rPr>
          <w:sz w:val="20"/>
          <w:szCs w:val="20"/>
          <w:color w:val="auto"/>
        </w:rPr>
      </w:pPr>
    </w:p>
    <w:p>
      <w:pPr>
        <w:ind w:right="679"/>
        <w:spacing w:after="0" w:line="253" w:lineRule="auto"/>
        <w:rPr>
          <w:sz w:val="20"/>
          <w:szCs w:val="20"/>
          <w:color w:val="auto"/>
        </w:rPr>
      </w:pPr>
      <w:r>
        <w:rPr>
          <w:rFonts w:ascii="Times New Roman" w:cs="Times New Roman" w:eastAsia="Times New Roman" w:hAnsi="Times New Roman"/>
          <w:sz w:val="17"/>
          <w:szCs w:val="17"/>
          <w:color w:val="auto"/>
        </w:rPr>
        <w:t>Investing in our common stock involves risk.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in this prospectus supplement, “Risk Factors”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Report on Form 10-K for the year ended December 31, 2025 and the other information included or incorporated by reference into</w:t>
      </w:r>
    </w:p>
    <w:p>
      <w:pPr>
        <w:spacing w:after="0" w:line="200" w:lineRule="exact"/>
        <w:rPr>
          <w:sz w:val="20"/>
          <w:szCs w:val="20"/>
          <w:color w:val="auto"/>
        </w:rPr>
      </w:pPr>
    </w:p>
    <w:p>
      <w:pPr>
        <w:sectPr>
          <w:pgSz w:w="11900" w:h="16838" w:orient="portrait"/>
          <w:cols w:equalWidth="0" w:num="2">
            <w:col w:w="3500" w:space="720"/>
            <w:col w:w="4799"/>
          </w:cols>
          <w:pgMar w:left="1440" w:top="253" w:right="1440" w:bottom="1440" w:gutter="0" w:footer="0" w:header="0"/>
          <w:type w:val="continuous"/>
        </w:sect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type w:val="continuous"/>
        </w:sectPr>
      </w:pPr>
    </w:p>
    <w:bookmarkStart w:id="8" w:name="page9"/>
    <w:bookmarkEnd w:id="8"/>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85090</wp:posOffset>
            </wp:positionV>
            <wp:extent cx="5246370" cy="3750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46370" cy="37509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this prospectus supplement and the accompanying prospectus</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for a discussion of factors you should carefully consider</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before deciding to invest in our common stock.</w:t>
      </w:r>
    </w:p>
    <w:p>
      <w:pPr>
        <w:spacing w:after="0" w:line="110" w:lineRule="exact"/>
        <w:rPr>
          <w:sz w:val="20"/>
          <w:szCs w:val="20"/>
          <w:color w:val="auto"/>
        </w:rPr>
      </w:pPr>
    </w:p>
    <w:p>
      <w:pPr>
        <w:ind w:left="620"/>
        <w:spacing w:after="0"/>
        <w:tabs>
          <w:tab w:leader="none" w:pos="4200" w:val="left"/>
        </w:tabs>
        <w:rPr>
          <w:sz w:val="20"/>
          <w:szCs w:val="20"/>
          <w:color w:val="auto"/>
        </w:rPr>
      </w:pPr>
      <w:r>
        <w:rPr>
          <w:rFonts w:ascii="Times New Roman" w:cs="Times New Roman" w:eastAsia="Times New Roman" w:hAnsi="Times New Roman"/>
          <w:sz w:val="17"/>
          <w:szCs w:val="17"/>
          <w:b w:val="1"/>
          <w:bCs w:val="1"/>
          <w:color w:val="auto"/>
        </w:rPr>
        <w:t>Transfer agent and registrar</w:t>
      </w:r>
      <w:r>
        <w:rPr>
          <w:sz w:val="20"/>
          <w:szCs w:val="20"/>
          <w:color w:val="auto"/>
        </w:rPr>
        <w:tab/>
      </w:r>
      <w:r>
        <w:rPr>
          <w:rFonts w:ascii="Times New Roman" w:cs="Times New Roman" w:eastAsia="Times New Roman" w:hAnsi="Times New Roman"/>
          <w:sz w:val="16"/>
          <w:szCs w:val="16"/>
          <w:color w:val="auto"/>
        </w:rPr>
        <w:t>Computershare Limited.</w:t>
      </w:r>
    </w:p>
    <w:p>
      <w:pPr>
        <w:spacing w:after="0" w:line="109" w:lineRule="exact"/>
        <w:rPr>
          <w:sz w:val="20"/>
          <w:szCs w:val="20"/>
          <w:color w:val="auto"/>
        </w:rPr>
      </w:pPr>
    </w:p>
    <w:p>
      <w:pPr>
        <w:ind w:left="620" w:right="619" w:firstLine="334"/>
        <w:spacing w:after="0" w:line="259" w:lineRule="auto"/>
        <w:rPr>
          <w:sz w:val="20"/>
          <w:szCs w:val="20"/>
          <w:color w:val="auto"/>
        </w:rPr>
      </w:pPr>
      <w:r>
        <w:rPr>
          <w:rFonts w:ascii="Times New Roman" w:cs="Times New Roman" w:eastAsia="Times New Roman" w:hAnsi="Times New Roman"/>
          <w:sz w:val="17"/>
          <w:szCs w:val="17"/>
          <w:color w:val="auto"/>
        </w:rPr>
        <w:t>Unless we specifically state otherwise or the context otherwise requires, the number of shares of common stock to be outstanding after this offering is based on 124,008,087 shares issued and outstanding as of April 4, 2026 and excludes as of that date:</w:t>
      </w:r>
    </w:p>
    <w:p>
      <w:pPr>
        <w:spacing w:after="0" w:line="69" w:lineRule="exact"/>
        <w:rPr>
          <w:sz w:val="20"/>
          <w:szCs w:val="20"/>
          <w:color w:val="auto"/>
        </w:rPr>
      </w:pPr>
    </w:p>
    <w:p>
      <w:pPr>
        <w:ind w:left="1280" w:right="599" w:hanging="333"/>
        <w:spacing w:after="0" w:line="259"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5,071,000 shares of common stock issuable upon the vesting and settlement of our restricted stock units, assuming any performance-based awards are achieved at maximum, under the Vishay Intertechnology, Inc. 2023 Long-Term Incentive Plan (the “2023 Plan”);</w:t>
      </w:r>
    </w:p>
    <w:p>
      <w:pPr>
        <w:spacing w:after="0" w:line="68" w:lineRule="exact"/>
        <w:rPr>
          <w:rFonts w:ascii="Times New Roman" w:cs="Times New Roman" w:eastAsia="Times New Roman" w:hAnsi="Times New Roman"/>
          <w:sz w:val="17"/>
          <w:szCs w:val="17"/>
          <w:color w:val="auto"/>
        </w:rPr>
      </w:pPr>
    </w:p>
    <w:p>
      <w:pPr>
        <w:ind w:left="1280" w:hanging="333"/>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142,000 shares of common stock underlying phantom stock units;</w:t>
      </w:r>
    </w:p>
    <w:p>
      <w:pPr>
        <w:spacing w:after="0" w:line="105" w:lineRule="exact"/>
        <w:rPr>
          <w:rFonts w:ascii="Times New Roman" w:cs="Times New Roman" w:eastAsia="Times New Roman" w:hAnsi="Times New Roman"/>
          <w:sz w:val="17"/>
          <w:szCs w:val="17"/>
          <w:color w:val="auto"/>
        </w:rPr>
      </w:pPr>
    </w:p>
    <w:p>
      <w:pPr>
        <w:ind w:left="1280" w:right="1199" w:hanging="333"/>
        <w:spacing w:after="0" w:line="259"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24,870,675 shares of common stock reserved for future issuance pursuant to the conversion of our outstanding 2.25% convertible senior notes due 2030 (the “2030 Notes”), of which $750,000,000 aggregate principal amount was outstanding;</w:t>
      </w:r>
    </w:p>
    <w:p>
      <w:pPr>
        <w:spacing w:after="0" w:line="68" w:lineRule="exact"/>
        <w:rPr>
          <w:rFonts w:ascii="Times New Roman" w:cs="Times New Roman" w:eastAsia="Times New Roman" w:hAnsi="Times New Roman"/>
          <w:sz w:val="17"/>
          <w:szCs w:val="17"/>
          <w:color w:val="auto"/>
        </w:rPr>
      </w:pPr>
    </w:p>
    <w:p>
      <w:pPr>
        <w:ind w:left="1280" w:hanging="333"/>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549,000 shares of common stock reserved for issuance under the 2023 Plan; and</w:t>
      </w:r>
    </w:p>
    <w:p>
      <w:pPr>
        <w:spacing w:after="0" w:line="105" w:lineRule="exact"/>
        <w:rPr>
          <w:rFonts w:ascii="Times New Roman" w:cs="Times New Roman" w:eastAsia="Times New Roman" w:hAnsi="Times New Roman"/>
          <w:sz w:val="17"/>
          <w:szCs w:val="17"/>
          <w:color w:val="auto"/>
        </w:rPr>
      </w:pPr>
    </w:p>
    <w:p>
      <w:pPr>
        <w:ind w:left="1280" w:right="1139" w:hanging="333"/>
        <w:spacing w:after="0" w:line="272"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12,097,148 shares of common stock issuable upon conversion of our outstanding shares of Class B common stock, par value $0.10 per share (“Class B common stock”).</w:t>
      </w:r>
    </w:p>
    <w:p>
      <w:pPr>
        <w:spacing w:after="0" w:line="58" w:lineRule="exact"/>
        <w:rPr>
          <w:sz w:val="20"/>
          <w:szCs w:val="20"/>
          <w:color w:val="auto"/>
        </w:rPr>
      </w:pPr>
    </w:p>
    <w:p>
      <w:pPr>
        <w:jc w:val="both"/>
        <w:ind w:left="620" w:right="779" w:firstLine="334"/>
        <w:spacing w:after="0" w:line="282" w:lineRule="auto"/>
        <w:rPr>
          <w:sz w:val="20"/>
          <w:szCs w:val="20"/>
          <w:color w:val="auto"/>
        </w:rPr>
      </w:pPr>
      <w:r>
        <w:rPr>
          <w:rFonts w:ascii="Times New Roman" w:cs="Times New Roman" w:eastAsia="Times New Roman" w:hAnsi="Times New Roman"/>
          <w:sz w:val="16"/>
          <w:szCs w:val="16"/>
          <w:color w:val="auto"/>
        </w:rPr>
        <w:t>On May 18, 2026, following approval by our board of directors, our stockholders approved an amendment to the 2023 Plan that, among other things, (i) increases the number of shares of common stock available for issuance under the 2023 Plan by 6,000,000 shares, and (ii) extends the term of the 2023 Plan by approximately three years.</w:t>
      </w:r>
    </w:p>
    <w:p>
      <w:pPr>
        <w:spacing w:after="0" w:line="53" w:lineRule="exact"/>
        <w:rPr>
          <w:sz w:val="20"/>
          <w:szCs w:val="20"/>
          <w:color w:val="auto"/>
        </w:rPr>
      </w:pPr>
    </w:p>
    <w:p>
      <w:pPr>
        <w:ind w:left="620" w:right="1139" w:firstLine="334"/>
        <w:spacing w:after="0" w:line="272" w:lineRule="auto"/>
        <w:rPr>
          <w:sz w:val="20"/>
          <w:szCs w:val="20"/>
          <w:color w:val="auto"/>
        </w:rPr>
      </w:pPr>
      <w:r>
        <w:rPr>
          <w:rFonts w:ascii="Times New Roman" w:cs="Times New Roman" w:eastAsia="Times New Roman" w:hAnsi="Times New Roman"/>
          <w:sz w:val="17"/>
          <w:szCs w:val="17"/>
          <w:color w:val="auto"/>
        </w:rPr>
        <w:t>Except as otherwise indicated, all information in this prospectus supplement assumes no exercise by the underwriters of their option to purchase additional shares.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9" w:name="page10"/>
    <w:bookmarkEnd w:id="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5" w:lineRule="exact"/>
        <w:rPr>
          <w:sz w:val="20"/>
          <w:szCs w:val="20"/>
          <w:color w:val="auto"/>
        </w:rPr>
      </w:pPr>
    </w:p>
    <w:p>
      <w:pPr>
        <w:ind w:left="600" w:right="659" w:firstLine="334"/>
        <w:spacing w:after="0" w:line="250"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In addition to the other information included and incorporated by reference in this prospectus supplement and the accompanying prospectus, including the information provided under the caption “Risk Factors” in our Annual Report on Form 10-K for the year ended December 31, 2025, you should carefully consider the risks described or referred to below before deciding to purchase our common stock. The occurrence of any of these risks may materially harm our business, results of operations and financial condition. As a result, the trading price of our common stock may decline, and you might lose part or all of your investment. As used in this section, “we,” “our” and “us” refer to Vishay Intertechnology, Inc. and not to its subsidiaries.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Our Common Stock</w:t>
      </w:r>
    </w:p>
    <w:p>
      <w:pPr>
        <w:spacing w:after="0" w:line="105" w:lineRule="exact"/>
        <w:rPr>
          <w:sz w:val="20"/>
          <w:szCs w:val="20"/>
          <w:color w:val="auto"/>
        </w:rPr>
      </w:pPr>
    </w:p>
    <w:p>
      <w:pPr>
        <w:ind w:left="600" w:right="77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54" w:lineRule="exact"/>
        <w:rPr>
          <w:sz w:val="20"/>
          <w:szCs w:val="20"/>
          <w:color w:val="auto"/>
        </w:rPr>
      </w:pPr>
    </w:p>
    <w:p>
      <w:pPr>
        <w:ind w:left="600" w:right="699" w:firstLine="334"/>
        <w:spacing w:after="0" w:line="251"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w:t>
      </w:r>
    </w:p>
    <w:p>
      <w:pPr>
        <w:spacing w:after="0" w:line="172" w:lineRule="exact"/>
        <w:rPr>
          <w:sz w:val="20"/>
          <w:szCs w:val="20"/>
          <w:color w:val="auto"/>
        </w:rPr>
      </w:pPr>
    </w:p>
    <w:p>
      <w:pPr>
        <w:ind w:left="600" w:right="69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The issuance or sale of additional shares of our common stock, or rights to acquire shares of our common stock, could depress the trading price of our common stock.</w:t>
      </w:r>
    </w:p>
    <w:p>
      <w:pPr>
        <w:spacing w:after="0" w:line="54" w:lineRule="exact"/>
        <w:rPr>
          <w:sz w:val="20"/>
          <w:szCs w:val="20"/>
          <w:color w:val="auto"/>
        </w:rPr>
      </w:pPr>
    </w:p>
    <w:p>
      <w:pPr>
        <w:ind w:left="600" w:right="759" w:firstLine="334"/>
        <w:spacing w:after="0" w:line="264" w:lineRule="auto"/>
        <w:rPr>
          <w:sz w:val="20"/>
          <w:szCs w:val="20"/>
          <w:color w:val="auto"/>
        </w:rPr>
      </w:pPr>
      <w:r>
        <w:rPr>
          <w:rFonts w:ascii="Times New Roman" w:cs="Times New Roman" w:eastAsia="Times New Roman" w:hAnsi="Times New Roman"/>
          <w:sz w:val="16"/>
          <w:szCs w:val="16"/>
          <w:color w:val="auto"/>
        </w:rPr>
        <w:t>We may conduct future offerings of our common stock, preferred stock or other securities that are convertible into, or exercisable or exchangeable for, our common stock to finance our operations or fund acquisitions, or for other purposes. In addition, as of April 4, 2026, we had 5,071,000 shares of common stock that were issuable upon the vesting and settlement of outstanding restricted stock units, assuming any performance-based awards are achieved at maximum; 142,000 shares of common stock underlying phantom stock units; 24,870,675 shares of common stock reserved for future issuance pursuant to the conversion of 2030 Notes, of which</w:t>
      </w:r>
    </w:p>
    <w:p>
      <w:pPr>
        <w:spacing w:after="0" w:line="4" w:lineRule="exact"/>
        <w:rPr>
          <w:sz w:val="20"/>
          <w:szCs w:val="20"/>
          <w:color w:val="auto"/>
        </w:rPr>
      </w:pPr>
    </w:p>
    <w:p>
      <w:pPr>
        <w:ind w:left="600" w:right="639"/>
        <w:spacing w:after="0" w:line="246" w:lineRule="auto"/>
        <w:rPr>
          <w:sz w:val="20"/>
          <w:szCs w:val="20"/>
          <w:color w:val="auto"/>
        </w:rPr>
      </w:pPr>
      <w:r>
        <w:rPr>
          <w:rFonts w:ascii="Times New Roman" w:cs="Times New Roman" w:eastAsia="Times New Roman" w:hAnsi="Times New Roman"/>
          <w:sz w:val="17"/>
          <w:szCs w:val="17"/>
          <w:color w:val="auto"/>
        </w:rPr>
        <w:t>$750,000,000 aggregate principal amount was outstanding; 549,000 shares of common stock reserved for issuance under the 2023 Plan; and 12,097,148 shares of common stock issuable upon conversion of our outstanding Class B common stock. Additionally, on May 18, 2026, following approval by our board of directors, our stockholders approved an amendment to the 2023 Plan that, among other things, increased the number of shares of common stock available for issuance under the 2023 Plan by 6,000,000 shares.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decline. In addition, our issuance of additional shares of common stock, including upon conversion of our outstanding 2030 Notes, will dilute the ownership interests of our existing common stockholders.</w:t>
      </w:r>
    </w:p>
    <w:p>
      <w:pPr>
        <w:spacing w:after="0" w:line="180" w:lineRule="exact"/>
        <w:rPr>
          <w:sz w:val="20"/>
          <w:szCs w:val="20"/>
          <w:color w:val="auto"/>
        </w:rPr>
      </w:pPr>
    </w:p>
    <w:p>
      <w:pPr>
        <w:ind w:left="600" w:right="67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you purchase our common stock in this offering, you will incur immediate and substantial dilution in the book value of your shares.</w:t>
      </w:r>
    </w:p>
    <w:p>
      <w:pPr>
        <w:spacing w:after="0" w:line="54" w:lineRule="exact"/>
        <w:rPr>
          <w:sz w:val="20"/>
          <w:szCs w:val="20"/>
          <w:color w:val="auto"/>
        </w:rPr>
      </w:pPr>
    </w:p>
    <w:p>
      <w:pPr>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Investors purchasing shares of common stock in this offering will pay a price per share that substantially exceeds the book value per share of common stock, after giving effect to this offering. As a result of the dilution to investors purchasing shares in this offering, investors may receive significantly less than the purchase price paid in this offering, if anything, in the event of our liquidation. Further, we may in the future sell substantial amounts of common stock or securities convertible into or exchangeable for common stock. These future issuances of common stock or common stock-related securities, together with the exercise of outstanding options and any additional shares issued in connection with acquisitions, if any, may result in further dilution.</w:t>
      </w:r>
    </w:p>
    <w:p>
      <w:pPr>
        <w:spacing w:after="0" w:line="174" w:lineRule="exact"/>
        <w:rPr>
          <w:sz w:val="20"/>
          <w:szCs w:val="20"/>
          <w:color w:val="auto"/>
        </w:rPr>
      </w:pPr>
    </w:p>
    <w:p>
      <w:pPr>
        <w:ind w:left="600" w:right="69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in the public market could cause our stock price to fall.</w:t>
      </w:r>
    </w:p>
    <w:p>
      <w:pPr>
        <w:spacing w:after="0" w:line="54" w:lineRule="exact"/>
        <w:rPr>
          <w:sz w:val="20"/>
          <w:szCs w:val="20"/>
          <w:color w:val="auto"/>
        </w:rPr>
      </w:pPr>
    </w:p>
    <w:p>
      <w:pPr>
        <w:ind w:left="600" w:right="779" w:firstLine="334"/>
        <w:spacing w:after="0" w:line="25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0" w:name="page11"/>
    <w:bookmarkEnd w:id="1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600" w:right="117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adversely affected by market conditions affecting the stock markets in general and the stock prices of companies in our industry in particular.</w:t>
      </w:r>
    </w:p>
    <w:p>
      <w:pPr>
        <w:spacing w:after="0" w:line="54" w:lineRule="exact"/>
        <w:rPr>
          <w:sz w:val="20"/>
          <w:szCs w:val="20"/>
          <w:color w:val="auto"/>
        </w:rPr>
      </w:pPr>
    </w:p>
    <w:p>
      <w:pPr>
        <w:ind w:left="600" w:right="639" w:firstLine="334"/>
        <w:spacing w:after="0" w:line="250" w:lineRule="auto"/>
        <w:rPr>
          <w:sz w:val="20"/>
          <w:szCs w:val="20"/>
          <w:color w:val="auto"/>
        </w:rPr>
      </w:pPr>
      <w:r>
        <w:rPr>
          <w:rFonts w:ascii="Times New Roman" w:cs="Times New Roman" w:eastAsia="Times New Roman" w:hAnsi="Times New Roman"/>
          <w:sz w:val="17"/>
          <w:szCs w:val="17"/>
          <w:color w:val="auto"/>
        </w:rPr>
        <w:t>Market conditions may result in volatility in the level of, and fluctuations in, market prices of stocks generally and, in turn, our common stock, which may be unrelated or disproportionate to changes in our operating performance. Any actual or perceived weakness in the economy in general could increase the volatility of the stock market, which may adversely affect the market price of our common stock. In addition, the stock prices of many companies in the semiconductor industry have recently increased substantially, and there can be no guarantee that these market conditions will persist. A downturn in the market for semiconductor companies could adversely impact the market price of our common stock.</w:t>
      </w:r>
    </w:p>
    <w:p>
      <w:pPr>
        <w:spacing w:after="0" w:line="174" w:lineRule="exact"/>
        <w:rPr>
          <w:sz w:val="20"/>
          <w:szCs w:val="20"/>
          <w:color w:val="auto"/>
        </w:rPr>
      </w:pPr>
    </w:p>
    <w:p>
      <w:pPr>
        <w:ind w:left="600" w:right="75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54" w:lineRule="exact"/>
        <w:rPr>
          <w:sz w:val="20"/>
          <w:szCs w:val="20"/>
          <w:color w:val="auto"/>
        </w:rPr>
      </w:pPr>
    </w:p>
    <w:p>
      <w:pPr>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The trading market for our common stock relies in part on the research and reports that industry or financial analysts publish about us or our business. We do not control these analysts. If we fail to meet the estimates provided by securities or industry analysts, our stock price would likely decline.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74" w:lineRule="exact"/>
        <w:rPr>
          <w:sz w:val="20"/>
          <w:szCs w:val="20"/>
          <w:color w:val="auto"/>
        </w:rPr>
      </w:pPr>
    </w:p>
    <w:p>
      <w:pPr>
        <w:ind w:left="600" w:right="679"/>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The holders of our Class B common stock have effective voting control of our company, giving them the effective ability to prevent a change in control transaction.</w:t>
      </w:r>
    </w:p>
    <w:p>
      <w:pPr>
        <w:spacing w:after="0" w:line="54" w:lineRule="exact"/>
        <w:rPr>
          <w:sz w:val="20"/>
          <w:szCs w:val="20"/>
          <w:color w:val="auto"/>
        </w:rPr>
      </w:pPr>
    </w:p>
    <w:p>
      <w:pPr>
        <w:ind w:left="600" w:right="639" w:firstLine="334"/>
        <w:spacing w:after="0" w:line="265" w:lineRule="auto"/>
        <w:rPr>
          <w:sz w:val="20"/>
          <w:szCs w:val="20"/>
          <w:color w:val="auto"/>
        </w:rPr>
      </w:pPr>
      <w:r>
        <w:rPr>
          <w:rFonts w:ascii="Times New Roman" w:cs="Times New Roman" w:eastAsia="Times New Roman" w:hAnsi="Times New Roman"/>
          <w:sz w:val="16"/>
          <w:szCs w:val="16"/>
          <w:color w:val="auto"/>
        </w:rPr>
        <w:t>We have two classes of common stock: common stock and Class B common stock. The holders of common stock are entitled to one vote for each share held, while the holders of Class B common stock are entitled to 10 votes for each share held. At April 4, 2026, the holders of Class B common stock held approximately 49.4% of the voting power of the Company. The ownership of Class B common stock is highly concentrated, and holders of Class B common stock effectively can cause the election of directors and approve other actions as stockholders.</w:t>
      </w:r>
    </w:p>
    <w:p>
      <w:pPr>
        <w:spacing w:after="0" w:line="3" w:lineRule="exact"/>
        <w:rPr>
          <w:sz w:val="20"/>
          <w:szCs w:val="20"/>
          <w:color w:val="auto"/>
        </w:rPr>
      </w:pPr>
    </w:p>
    <w:p>
      <w:pPr>
        <w:ind w:left="600" w:right="659"/>
        <w:spacing w:after="0" w:line="246" w:lineRule="auto"/>
        <w:rPr>
          <w:sz w:val="20"/>
          <w:szCs w:val="20"/>
          <w:color w:val="auto"/>
        </w:rPr>
      </w:pPr>
      <w:r>
        <w:rPr>
          <w:rFonts w:ascii="Times New Roman" w:cs="Times New Roman" w:eastAsia="Times New Roman" w:hAnsi="Times New Roman"/>
          <w:sz w:val="17"/>
          <w:szCs w:val="17"/>
          <w:color w:val="auto"/>
        </w:rPr>
        <w:t>Mrs. Ruta Zandman (a member of our board of directors) controls the voting of, solely or on a shared basis with Marc Zandman (our Executive Chairman) and Ziv Shoshani (a former member of our board of directors), approximately 89.7% of our Class B common stock and 44.3% of the total voting power of our capital stock as of April 4, 2026. Holders of our Class B common stock may act in ways that are contrary to, or not in the best interests of, holders of our common stock. The voting rights of the holders of our Class B common stock effectively give such holders the ability to prevent transactions that would result in a change in control of us, including transactions in which holders of our common stock might otherwise receive a premium for their shares over the then-current market price.</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the value of our common stock may decline.</w:t>
      </w:r>
    </w:p>
    <w:p>
      <w:pPr>
        <w:spacing w:after="0" w:line="109" w:lineRule="exact"/>
        <w:rPr>
          <w:sz w:val="20"/>
          <w:szCs w:val="20"/>
          <w:color w:val="auto"/>
        </w:rPr>
      </w:pPr>
    </w:p>
    <w:p>
      <w:pPr>
        <w:ind w:left="600" w:right="819" w:firstLine="334"/>
        <w:spacing w:after="0" w:line="272" w:lineRule="auto"/>
        <w:rPr>
          <w:sz w:val="20"/>
          <w:szCs w:val="20"/>
          <w:color w:val="auto"/>
        </w:rPr>
      </w:pPr>
      <w:r>
        <w:rPr>
          <w:rFonts w:ascii="Times New Roman" w:cs="Times New Roman" w:eastAsia="Times New Roman" w:hAnsi="Times New Roman"/>
          <w:sz w:val="17"/>
          <w:szCs w:val="17"/>
          <w:color w:val="auto"/>
        </w:rPr>
        <w:t>The market price of our common stock may be highly volatile and may fluctuate or decline substantially as a result of a variety of factors, some of which are beyond our control, including:</w:t>
      </w:r>
    </w:p>
    <w:p>
      <w:pPr>
        <w:spacing w:after="0" w:line="58" w:lineRule="exact"/>
        <w:rPr>
          <w:sz w:val="20"/>
          <w:szCs w:val="20"/>
          <w:color w:val="auto"/>
        </w:rPr>
      </w:pPr>
    </w:p>
    <w:p>
      <w:pPr>
        <w:ind w:left="1260" w:hanging="330"/>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condition or results of operations;</w:t>
      </w:r>
    </w:p>
    <w:p>
      <w:pPr>
        <w:spacing w:after="0" w:line="105" w:lineRule="exact"/>
        <w:rPr>
          <w:rFonts w:ascii="Times New Roman" w:cs="Times New Roman" w:eastAsia="Times New Roman" w:hAnsi="Times New Roman"/>
          <w:sz w:val="17"/>
          <w:szCs w:val="17"/>
          <w:color w:val="auto"/>
        </w:rPr>
      </w:pPr>
    </w:p>
    <w:p>
      <w:pPr>
        <w:ind w:left="1260" w:right="639" w:hanging="330"/>
        <w:spacing w:after="0" w:line="272"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variance in our financial performance from expectations of securities analysts or the financial guidance we provide to the public;</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pricing of our products and platform;</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projected operating and financial results;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our platform and products;</w:t>
      </w:r>
    </w:p>
    <w:p>
      <w:pPr>
        <w:spacing w:after="0" w:line="105" w:lineRule="exact"/>
        <w:rPr>
          <w:rFonts w:ascii="Times New Roman" w:cs="Times New Roman" w:eastAsia="Times New Roman" w:hAnsi="Times New Roman"/>
          <w:sz w:val="17"/>
          <w:szCs w:val="17"/>
          <w:color w:val="auto"/>
        </w:rPr>
      </w:pPr>
    </w:p>
    <w:p>
      <w:pPr>
        <w:ind w:left="1260" w:right="1119" w:hanging="330"/>
        <w:spacing w:after="0" w:line="272"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business developments, acquisitions, or new offerings;</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data breaches, disruptions to or other incidents involving our software;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involvement in litigation;</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common stock by us or our stockholders;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1" w:name="page12"/>
    <w:bookmarkEnd w:id="1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1260" w:hanging="330"/>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 or key personnel;</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volume of our common stock;</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anticipated future size and growth rate of our market; and</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105" w:lineRule="exact"/>
        <w:rPr>
          <w:sz w:val="20"/>
          <w:szCs w:val="20"/>
          <w:color w:val="auto"/>
        </w:rPr>
      </w:pPr>
    </w:p>
    <w:p>
      <w:pPr>
        <w:ind w:left="600" w:right="679" w:firstLine="334"/>
        <w:spacing w:after="0" w:line="251" w:lineRule="auto"/>
        <w:rPr>
          <w:sz w:val="20"/>
          <w:szCs w:val="20"/>
          <w:color w:val="auto"/>
        </w:rPr>
      </w:pPr>
      <w:r>
        <w:rPr>
          <w:rFonts w:ascii="Times New Roman" w:cs="Times New Roman" w:eastAsia="Times New Roman" w:hAnsi="Times New Roman"/>
          <w:sz w:val="17"/>
          <w:szCs w:val="17"/>
          <w:color w:val="auto"/>
        </w:rPr>
        <w:t>Broad market and industry fluctuations, as well as general economic, geopolitical, regulatory, and market conditions, may also negatively impact the market price of our common stock. In addition, technology stocks have historically experienced high levels of volatility. In the past, companies that have experienced volatility in the market price of their securities have been subject to securities class action litigation. We have in the past and may in the future be the target of this type of litigation in the future, which could result in substantial expenses and divert our management’s attention.</w:t>
      </w:r>
    </w:p>
    <w:p>
      <w:pPr>
        <w:spacing w:after="0" w:line="172" w:lineRule="exact"/>
        <w:rPr>
          <w:sz w:val="20"/>
          <w:szCs w:val="20"/>
          <w:color w:val="auto"/>
        </w:rPr>
      </w:pPr>
    </w:p>
    <w:p>
      <w:pPr>
        <w:ind w:left="600" w:right="97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Anti-takeover defenses in our corrected amended and restated certificate of incorporation, our amended and restated bylaws and under Delaware law may impede or discourage a merger, a takeover attempt or other business combinations, which could also reduce the market price of our common stock.</w:t>
      </w:r>
    </w:p>
    <w:p>
      <w:pPr>
        <w:spacing w:after="0" w:line="68" w:lineRule="exact"/>
        <w:rPr>
          <w:sz w:val="20"/>
          <w:szCs w:val="20"/>
          <w:color w:val="auto"/>
        </w:rPr>
      </w:pPr>
    </w:p>
    <w:p>
      <w:pPr>
        <w:jc w:val="both"/>
        <w:ind w:left="600" w:right="619" w:firstLine="334"/>
        <w:spacing w:after="0" w:line="269" w:lineRule="auto"/>
        <w:rPr>
          <w:sz w:val="20"/>
          <w:szCs w:val="20"/>
          <w:color w:val="auto"/>
        </w:rPr>
      </w:pPr>
      <w:r>
        <w:rPr>
          <w:rFonts w:ascii="Times New Roman" w:cs="Times New Roman" w:eastAsia="Times New Roman" w:hAnsi="Times New Roman"/>
          <w:sz w:val="16"/>
          <w:szCs w:val="16"/>
          <w:color w:val="auto"/>
        </w:rPr>
        <w:t>We are a Delaware corporation, and the anti-takeover provisions of Delaware law impose various impediments to the ability of a third party to acquire control of us, even if a change in control would be beneficial to our existing stockholders. Our corrected amended and restated certificate of incorporation and amended and restated bylaws also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65" w:lineRule="exact"/>
        <w:rPr>
          <w:sz w:val="20"/>
          <w:szCs w:val="20"/>
          <w:color w:val="auto"/>
        </w:rPr>
      </w:pPr>
    </w:p>
    <w:p>
      <w:pPr>
        <w:ind w:left="1260" w:right="1019" w:hanging="330"/>
        <w:spacing w:after="0" w:line="254"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that our Class B common stock is generally entitled to ten votes per share, while our common stock is entitled to one vote per share, enabling the holders of our Class B common stock to effectively control the outcome of substantially all matters submitted to a vote of our stockholders, including the election of directors and change of control transactions;</w:t>
      </w:r>
    </w:p>
    <w:p>
      <w:pPr>
        <w:spacing w:after="0" w:line="74" w:lineRule="exact"/>
        <w:rPr>
          <w:rFonts w:ascii="Times New Roman" w:cs="Times New Roman" w:eastAsia="Times New Roman" w:hAnsi="Times New Roman"/>
          <w:sz w:val="17"/>
          <w:szCs w:val="17"/>
          <w:color w:val="auto"/>
        </w:rPr>
      </w:pPr>
    </w:p>
    <w:p>
      <w:pPr>
        <w:ind w:left="1260" w:right="679" w:hanging="330"/>
        <w:spacing w:after="0" w:line="259"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establishing a classified board of directors with three-year staggered terms and the provision that a director may be removed only for cause, each of which could delay the ability of stockholders to change the membership of a majority of our board of directors;</w:t>
      </w:r>
    </w:p>
    <w:p>
      <w:pPr>
        <w:spacing w:after="0" w:line="68" w:lineRule="exact"/>
        <w:rPr>
          <w:rFonts w:ascii="Times New Roman" w:cs="Times New Roman" w:eastAsia="Times New Roman" w:hAnsi="Times New Roman"/>
          <w:sz w:val="17"/>
          <w:szCs w:val="17"/>
          <w:color w:val="auto"/>
        </w:rPr>
      </w:pPr>
    </w:p>
    <w:p>
      <w:pPr>
        <w:jc w:val="both"/>
        <w:ind w:left="1260" w:right="719" w:hanging="330"/>
        <w:spacing w:after="0" w:line="259"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68" w:lineRule="exact"/>
        <w:rPr>
          <w:rFonts w:ascii="Times New Roman" w:cs="Times New Roman" w:eastAsia="Times New Roman" w:hAnsi="Times New Roman"/>
          <w:sz w:val="17"/>
          <w:szCs w:val="17"/>
          <w:color w:val="auto"/>
        </w:rPr>
      </w:pPr>
    </w:p>
    <w:p>
      <w:pPr>
        <w:jc w:val="both"/>
        <w:ind w:left="1260" w:right="639" w:hanging="330"/>
        <w:spacing w:after="0" w:line="259"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8" w:lineRule="exact"/>
        <w:rPr>
          <w:rFonts w:ascii="Times New Roman" w:cs="Times New Roman" w:eastAsia="Times New Roman" w:hAnsi="Times New Roman"/>
          <w:sz w:val="17"/>
          <w:szCs w:val="17"/>
          <w:color w:val="auto"/>
        </w:rPr>
      </w:pPr>
    </w:p>
    <w:p>
      <w:pPr>
        <w:ind w:left="1260" w:right="739" w:hanging="330"/>
        <w:spacing w:after="0" w:line="259"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a special meeting of stockholders may be called only by the directors or by any officer instructed by the directors to call the meeting, which could delay the ability of our stockholders to force consideration of a proposal or to take action, including the removal of directors; and</w:t>
      </w:r>
    </w:p>
    <w:p>
      <w:pPr>
        <w:spacing w:after="0" w:line="68" w:lineRule="exact"/>
        <w:rPr>
          <w:rFonts w:ascii="Times New Roman" w:cs="Times New Roman" w:eastAsia="Times New Roman" w:hAnsi="Times New Roman"/>
          <w:sz w:val="17"/>
          <w:szCs w:val="17"/>
          <w:color w:val="auto"/>
        </w:rPr>
      </w:pPr>
    </w:p>
    <w:p>
      <w:pPr>
        <w:jc w:val="both"/>
        <w:ind w:left="1260" w:right="679" w:hanging="330"/>
        <w:spacing w:after="0" w:line="259"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by majority vote, to amend the bylaws, which may allow our board of directors to take additional actions to prevent an unsolicited takeover and inhibit the ability of an acquirer to amend the bylaws to facilitate an unsolicited takeover attempt.</w:t>
      </w:r>
    </w:p>
    <w:p>
      <w:pPr>
        <w:spacing w:after="0" w:line="69" w:lineRule="exact"/>
        <w:rPr>
          <w:sz w:val="20"/>
          <w:szCs w:val="20"/>
          <w:color w:val="auto"/>
        </w:rPr>
      </w:pPr>
    </w:p>
    <w:p>
      <w:pPr>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This statute prohibits a Delaware corporation listed on a national securities exchange from engaging in a business combination with an interested stockholder (generally a person who, together with its affiliates, owns or within the last three years has owned 15% or more of our voting stock subject to certain exceptions) for a period of three years after the date of the transaction in which the person became an interested stockholder, unless the business combination is approved in a prescribed manner. The application of Section 203 also could have the effect of delaying or preventing a change in control of us. Any of these provisions could, under certain circumstances, depress the market price of our common stock.</w:t>
      </w:r>
    </w:p>
    <w:p>
      <w:pPr>
        <w:spacing w:after="0" w:line="81" w:lineRule="exact"/>
        <w:rPr>
          <w:sz w:val="20"/>
          <w:szCs w:val="20"/>
          <w:color w:val="auto"/>
        </w:rPr>
      </w:pPr>
    </w:p>
    <w:p>
      <w:pPr>
        <w:ind w:left="600" w:right="779" w:firstLine="334"/>
        <w:spacing w:after="0" w:line="282" w:lineRule="auto"/>
        <w:rPr>
          <w:sz w:val="20"/>
          <w:szCs w:val="20"/>
          <w:color w:val="auto"/>
        </w:rPr>
      </w:pPr>
      <w:r>
        <w:rPr>
          <w:rFonts w:ascii="Times New Roman" w:cs="Times New Roman" w:eastAsia="Times New Roman" w:hAnsi="Times New Roman"/>
          <w:sz w:val="16"/>
          <w:szCs w:val="16"/>
          <w:color w:val="auto"/>
        </w:rPr>
        <w:t>The ability of our board of directors or a committee thereof to create and issue a new series of preferred stock and certain provisions of Delaware law and our corrected amended and restated certificate of incorporation and amended and restated bylaws could impede a merger, takeover attempt or other business combination involving us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2" w:name="page13"/>
    <w:bookmarkEnd w:id="1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1379"/>
        <w:spacing w:after="0" w:line="272" w:lineRule="auto"/>
        <w:rPr>
          <w:sz w:val="20"/>
          <w:szCs w:val="20"/>
          <w:color w:val="auto"/>
        </w:rPr>
      </w:pPr>
      <w:r>
        <w:rPr>
          <w:rFonts w:ascii="Times New Roman" w:cs="Times New Roman" w:eastAsia="Times New Roman" w:hAnsi="Times New Roman"/>
          <w:sz w:val="17"/>
          <w:szCs w:val="17"/>
          <w:color w:val="auto"/>
        </w:rPr>
        <w:t>or discourage a potential acquirer from making a tender offer for our common stock, which, under certain circumstances, could reduce the market price of our common stock.</w:t>
      </w:r>
    </w:p>
    <w:p>
      <w:pPr>
        <w:spacing w:after="0" w:line="58" w:lineRule="exact"/>
        <w:rPr>
          <w:sz w:val="20"/>
          <w:szCs w:val="20"/>
          <w:color w:val="auto"/>
        </w:rPr>
      </w:pPr>
    </w:p>
    <w:p>
      <w:pPr>
        <w:ind w:left="600" w:right="699" w:firstLine="334"/>
        <w:spacing w:after="0" w:line="249" w:lineRule="auto"/>
        <w:rPr>
          <w:sz w:val="20"/>
          <w:szCs w:val="20"/>
          <w:color w:val="auto"/>
        </w:rPr>
      </w:pPr>
      <w:r>
        <w:rPr>
          <w:rFonts w:ascii="Times New Roman" w:cs="Times New Roman" w:eastAsia="Times New Roman" w:hAnsi="Times New Roman"/>
          <w:sz w:val="17"/>
          <w:szCs w:val="17"/>
          <w:color w:val="auto"/>
        </w:rPr>
        <w:t>Finally, certain provisions in the 2030 Notes and the applicable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applicable indenture could increase the cost of acquiring us or otherwise discourage a third party from acquiring us or removing incumbent management, including in a transaction that holders of the notes or holders of our common stock may view as favorable.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9" w:lineRule="exact"/>
        <w:rPr>
          <w:sz w:val="20"/>
          <w:szCs w:val="20"/>
          <w:color w:val="auto"/>
        </w:rPr>
      </w:pPr>
    </w:p>
    <w:p>
      <w:pPr>
        <w:ind w:left="600" w:right="699" w:firstLine="334"/>
        <w:spacing w:after="0" w:line="248" w:lineRule="auto"/>
        <w:rPr>
          <w:sz w:val="20"/>
          <w:szCs w:val="20"/>
          <w:color w:val="auto"/>
        </w:rPr>
      </w:pPr>
      <w:r>
        <w:rPr>
          <w:rFonts w:ascii="Times New Roman" w:cs="Times New Roman" w:eastAsia="Times New Roman" w:hAnsi="Times New Roman"/>
          <w:sz w:val="17"/>
          <w:szCs w:val="17"/>
          <w:color w:val="auto"/>
        </w:rPr>
        <w:t>We estimate that the net proceeds from the sale of our common stock in this offering will be approximately $721.7 million (or approximately $830.3 million if the underwriters exercise their option to purchase additional shares in full), after deducting the underwriting discounts and commissions and estimated expenses of this offering. We intend to use the net proceeds from the sale of our common stock in this offering to accelerate our growth initiatives and for general corporate purposes, including to reduce current borrowings under our Credit Facility (as defined below). These growth initiatives may include investments in capacity expansion, manufacturing optimization, technology innovation research and development, and other strategic priorities intended to support long-term growth. We may also use a portion of the net proceeds to acquire or invest in businesses, products and/or technologies that are complementary to our own, although we have no current plans, commitments or agreements with respect to any acquisitions as of the date of this prospectus supplement. Pending these uses, we may invest the net proceeds in short-term, investment-grade instruments.</w:t>
      </w:r>
    </w:p>
    <w:p>
      <w:pPr>
        <w:spacing w:after="0" w:line="83" w:lineRule="exact"/>
        <w:rPr>
          <w:sz w:val="20"/>
          <w:szCs w:val="20"/>
          <w:color w:val="auto"/>
        </w:rPr>
      </w:pPr>
    </w:p>
    <w:p>
      <w:pPr>
        <w:ind w:left="600" w:right="819" w:firstLine="334"/>
        <w:spacing w:after="0" w:line="259" w:lineRule="auto"/>
        <w:rPr>
          <w:sz w:val="20"/>
          <w:szCs w:val="20"/>
          <w:color w:val="auto"/>
        </w:rPr>
      </w:pPr>
      <w:r>
        <w:rPr>
          <w:rFonts w:ascii="Times New Roman" w:cs="Times New Roman" w:eastAsia="Times New Roman" w:hAnsi="Times New Roman"/>
          <w:sz w:val="17"/>
          <w:szCs w:val="17"/>
          <w:color w:val="auto"/>
        </w:rPr>
        <w:t>Our senior secured credit facility is with a consortium of banks led by J.P. Morgan Chase Bank, N.A. and matures on May 8, 2028 (the “Credit Facility”). Borrowings under the Credit Facility currently bear interest at the Secured Overnight Financing Rate plus 2.10%.</w:t>
      </w:r>
    </w:p>
    <w:p>
      <w:pPr>
        <w:spacing w:after="0" w:line="69" w:lineRule="exact"/>
        <w:rPr>
          <w:sz w:val="20"/>
          <w:szCs w:val="20"/>
          <w:color w:val="auto"/>
        </w:rPr>
      </w:pPr>
    </w:p>
    <w:p>
      <w:pPr>
        <w:ind w:left="600" w:right="719" w:firstLine="334"/>
        <w:spacing w:after="0" w:line="259" w:lineRule="auto"/>
        <w:rPr>
          <w:sz w:val="20"/>
          <w:szCs w:val="20"/>
          <w:color w:val="auto"/>
        </w:rPr>
      </w:pPr>
      <w:r>
        <w:rPr>
          <w:rFonts w:ascii="Times New Roman" w:cs="Times New Roman" w:eastAsia="Times New Roman" w:hAnsi="Times New Roman"/>
          <w:sz w:val="17"/>
          <w:szCs w:val="17"/>
          <w:color w:val="auto"/>
        </w:rPr>
        <w:t>Certain of the underwriters or their affiliates are lenders and/or agents under the Credit Facility. Accordingly, such underwriters and/or their respective affiliates may receive a portion of the net proceeds from this offering. See “</w:t>
      </w:r>
      <w:r>
        <w:rPr>
          <w:rFonts w:ascii="Times New Roman" w:cs="Times New Roman" w:eastAsia="Times New Roman" w:hAnsi="Times New Roman"/>
          <w:sz w:val="17"/>
          <w:szCs w:val="17"/>
          <w:i w:val="1"/>
          <w:iCs w:val="1"/>
          <w:color w:val="auto"/>
        </w:rPr>
        <w:t>Underwriting (Conflicts of Interest)—Conflicts of Interest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4" w:name="page15"/>
    <w:bookmarkEnd w:id="1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09" w:lineRule="exact"/>
        <w:rPr>
          <w:sz w:val="20"/>
          <w:szCs w:val="20"/>
          <w:color w:val="auto"/>
        </w:rPr>
      </w:pPr>
    </w:p>
    <w:p>
      <w:pPr>
        <w:ind w:left="600" w:right="639" w:firstLine="334"/>
        <w:spacing w:after="0" w:line="250" w:lineRule="auto"/>
        <w:rPr>
          <w:sz w:val="20"/>
          <w:szCs w:val="20"/>
          <w:color w:val="auto"/>
        </w:rPr>
      </w:pPr>
      <w:r>
        <w:rPr>
          <w:rFonts w:ascii="Times New Roman" w:cs="Times New Roman" w:eastAsia="Times New Roman" w:hAnsi="Times New Roman"/>
          <w:sz w:val="17"/>
          <w:szCs w:val="17"/>
          <w:color w:val="auto"/>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 The policy sets forth our intention, but does not obligate us to acquire any shares of common stock or declare any dividends, and the policy may be terminated or suspended at any time at our discretion, in accordance with applicable laws and regulations. For 2026, we expect to maintain our dividend and opportunistically repurchase shares based on available liquidity in line with this policy.</w:t>
      </w:r>
    </w:p>
    <w:p>
      <w:pPr>
        <w:spacing w:after="0" w:line="78" w:lineRule="exact"/>
        <w:rPr>
          <w:sz w:val="20"/>
          <w:szCs w:val="20"/>
          <w:color w:val="auto"/>
        </w:rPr>
      </w:pPr>
    </w:p>
    <w:p>
      <w:pPr>
        <w:ind w:left="600" w:right="779" w:firstLine="334"/>
        <w:spacing w:after="0" w:line="259" w:lineRule="auto"/>
        <w:rPr>
          <w:sz w:val="20"/>
          <w:szCs w:val="20"/>
          <w:color w:val="auto"/>
        </w:rPr>
      </w:pPr>
      <w:r>
        <w:rPr>
          <w:rFonts w:ascii="Times New Roman" w:cs="Times New Roman" w:eastAsia="Times New Roman" w:hAnsi="Times New Roman"/>
          <w:sz w:val="17"/>
          <w:szCs w:val="17"/>
          <w:color w:val="auto"/>
        </w:rPr>
        <w:t>The structure of our Stockholder Return Policy enables us to allocate capital responsibly among our business, our lenders, and our stockholders. We will continue to invest in growth initiatives including key product line expansions, targeted R&amp;D, and synergistic acquisitions.</w:t>
      </w:r>
    </w:p>
    <w:p>
      <w:pPr>
        <w:spacing w:after="0" w:line="69" w:lineRule="exact"/>
        <w:rPr>
          <w:sz w:val="20"/>
          <w:szCs w:val="20"/>
          <w:color w:val="auto"/>
        </w:rPr>
      </w:pPr>
    </w:p>
    <w:p>
      <w:pPr>
        <w:ind w:left="600" w:right="699" w:firstLine="334"/>
        <w:spacing w:after="0" w:line="251" w:lineRule="auto"/>
        <w:rPr>
          <w:sz w:val="20"/>
          <w:szCs w:val="20"/>
          <w:color w:val="auto"/>
        </w:rPr>
      </w:pPr>
      <w:r>
        <w:rPr>
          <w:rFonts w:ascii="Times New Roman" w:cs="Times New Roman" w:eastAsia="Times New Roman" w:hAnsi="Times New Roman"/>
          <w:sz w:val="17"/>
          <w:szCs w:val="17"/>
          <w:color w:val="auto"/>
        </w:rPr>
        <w:t>We have paid dividends each quarter since the first quarter of 2014, and the Stockholder Return Policy will remain in effect until such time as our board of directors votes to amend or rescind the policy. Our most recent quarterly dividend declared by our board of directors was $0.10 per share of common stock and Class B common stock, paid on June 29, 2026 to stockholders of record as of the close of business on June 18, 2026. Implementation of the Stockholder Return Policy is subject to future declarations of dividends by our board of directors, market and business conditions, legal requirements, and other factors.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5" w:name="page16"/>
    <w:bookmarkEnd w:id="1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1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following table sets forth our cash, cash equivalents and short-term investments and capitalization as of</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April 4, 2026:</w:t>
      </w:r>
    </w:p>
    <w:p>
      <w:pPr>
        <w:spacing w:after="0" w:line="89" w:lineRule="exact"/>
        <w:rPr>
          <w:sz w:val="20"/>
          <w:szCs w:val="20"/>
          <w:color w:val="auto"/>
        </w:rPr>
      </w:pPr>
    </w:p>
    <w:p>
      <w:pPr>
        <w:ind w:left="1260" w:hanging="330"/>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pacing w:after="0" w:line="105" w:lineRule="exact"/>
        <w:rPr>
          <w:rFonts w:ascii="Times New Roman" w:cs="Times New Roman" w:eastAsia="Times New Roman" w:hAnsi="Times New Roman"/>
          <w:sz w:val="17"/>
          <w:szCs w:val="17"/>
          <w:color w:val="auto"/>
        </w:rPr>
      </w:pPr>
    </w:p>
    <w:p>
      <w:pPr>
        <w:ind w:left="1260" w:right="859" w:hanging="330"/>
        <w:spacing w:after="0" w:line="259" w:lineRule="auto"/>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as adjusted basis to give effect to this offering, after deducting the underwriting discounts and commissions and estimated offering expenses payable by us but without giving effect to the anticipated use of the net proceeds from this offering.</w:t>
      </w:r>
    </w:p>
    <w:p>
      <w:pPr>
        <w:spacing w:after="0" w:line="65" w:lineRule="exact"/>
        <w:rPr>
          <w:sz w:val="20"/>
          <w:szCs w:val="20"/>
          <w:color w:val="auto"/>
        </w:rPr>
      </w:pPr>
    </w:p>
    <w:p>
      <w:pPr>
        <w:ind w:left="600" w:right="659" w:firstLine="334"/>
        <w:spacing w:after="0" w:line="277" w:lineRule="auto"/>
        <w:rPr>
          <w:sz w:val="20"/>
          <w:szCs w:val="20"/>
          <w:color w:val="auto"/>
        </w:rPr>
      </w:pPr>
      <w:r>
        <w:rPr>
          <w:rFonts w:ascii="Times New Roman" w:cs="Times New Roman" w:eastAsia="Times New Roman" w:hAnsi="Times New Roman"/>
          <w:sz w:val="16"/>
          <w:szCs w:val="16"/>
          <w:color w:val="auto"/>
        </w:rPr>
        <w:t>This table should be read in conjunction with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in this prospectus supplement and our consolidated financial statements, related notes and “Management’s Discussion and Analysis of Financial Condition and Results of Operations” contained in our Quarterly Report on Form 10-Q for the quarter ended April 4, 2026, which is incorporated by reference into this prospectus supplement and the accompanying prospectus.</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5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As of April 4, 2026</w:t>
            </w:r>
          </w:p>
        </w:tc>
      </w:tr>
      <w:tr>
        <w:trPr>
          <w:trHeight w:val="23"/>
        </w:trPr>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70"/>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As Adjusted</w:t>
            </w:r>
          </w:p>
        </w:tc>
      </w:tr>
      <w:tr>
        <w:trPr>
          <w:trHeight w:val="23"/>
        </w:trPr>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31"/>
        </w:trPr>
        <w:tc>
          <w:tcPr>
            <w:tcW w:w="5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6"/>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(in thousands, except par value</w:t>
            </w:r>
          </w:p>
        </w:tc>
      </w:tr>
      <w:tr>
        <w:trPr>
          <w:trHeight w:val="177"/>
        </w:trPr>
        <w:tc>
          <w:tcPr>
            <w:tcW w:w="5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and share amounts)</w:t>
            </w:r>
          </w:p>
        </w:tc>
      </w:tr>
      <w:tr>
        <w:trPr>
          <w:trHeight w:val="23"/>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479,357</w:t>
            </w:r>
          </w:p>
        </w:tc>
        <w:tc>
          <w:tcPr>
            <w:tcW w:w="6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$1,201,057</w:t>
            </w:r>
          </w:p>
        </w:tc>
      </w:tr>
      <w:tr>
        <w:trPr>
          <w:trHeight w:val="231"/>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191</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191</w:t>
            </w:r>
          </w:p>
        </w:tc>
      </w:tr>
      <w:tr>
        <w:trPr>
          <w:trHeight w:val="278"/>
        </w:trPr>
        <w:tc>
          <w:tcPr>
            <w:tcW w:w="5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cash, cash equivalents, and short-term investments</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479,548</w:t>
            </w: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1,201,248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7"/>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Short-term debt (including current portion of long-term debt)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 term debt (less current portion)</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5"/>
        </w:trPr>
        <w:tc>
          <w:tcPr>
            <w:tcW w:w="5660" w:type="dxa"/>
            <w:vAlign w:val="bottom"/>
          </w:tcPr>
          <w:p>
            <w:pPr>
              <w:ind w:left="160"/>
              <w:spacing w:after="0" w:line="225" w:lineRule="exact"/>
              <w:rPr>
                <w:sz w:val="20"/>
                <w:szCs w:val="20"/>
                <w:color w:val="auto"/>
              </w:rPr>
            </w:pPr>
            <w:r>
              <w:rPr>
                <w:rFonts w:ascii="Times New Roman" w:cs="Times New Roman" w:eastAsia="Times New Roman" w:hAnsi="Times New Roman"/>
                <w:sz w:val="16"/>
                <w:szCs w:val="16"/>
                <w:color w:val="auto"/>
              </w:rPr>
              <w:t>Senior secured credit facility</w:t>
            </w:r>
            <w:r>
              <w:rPr>
                <w:rFonts w:ascii="Times New Roman" w:cs="Times New Roman" w:eastAsia="Times New Roman" w:hAnsi="Times New Roman"/>
                <w:sz w:val="26"/>
                <w:szCs w:val="26"/>
                <w:color w:val="auto"/>
                <w:vertAlign w:val="superscript"/>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tcPr>
          <w:p>
            <w:pPr>
              <w:spacing w:after="0"/>
              <w:rPr>
                <w:sz w:val="19"/>
                <w:szCs w:val="19"/>
                <w:color w:val="auto"/>
              </w:rPr>
            </w:pPr>
          </w:p>
        </w:tc>
      </w:tr>
      <w:tr>
        <w:trPr>
          <w:trHeight w:val="225"/>
        </w:trPr>
        <w:tc>
          <w:tcPr>
            <w:tcW w:w="5660" w:type="dxa"/>
            <w:vAlign w:val="bottom"/>
            <w:shd w:val="clear" w:color="auto" w:fill="CCEEFF"/>
          </w:tcPr>
          <w:p>
            <w:pPr>
              <w:ind w:left="160"/>
              <w:spacing w:after="0" w:line="225" w:lineRule="exact"/>
              <w:rPr>
                <w:sz w:val="20"/>
                <w:szCs w:val="20"/>
                <w:color w:val="auto"/>
              </w:rPr>
            </w:pPr>
            <w:r>
              <w:rPr>
                <w:rFonts w:ascii="Times New Roman" w:cs="Times New Roman" w:eastAsia="Times New Roman" w:hAnsi="Times New Roman"/>
                <w:sz w:val="16"/>
                <w:szCs w:val="16"/>
                <w:color w:val="auto"/>
              </w:rPr>
              <w:t>2.25% Convertible senior notes, due 2030</w:t>
            </w:r>
            <w:r>
              <w:rPr>
                <w:rFonts w:ascii="Times New Roman" w:cs="Times New Roman" w:eastAsia="Times New Roman" w:hAnsi="Times New Roman"/>
                <w:sz w:val="26"/>
                <w:szCs w:val="26"/>
                <w:color w:val="auto"/>
                <w:vertAlign w:val="superscript"/>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80" w:type="dxa"/>
            <w:vAlign w:val="bottom"/>
            <w:shd w:val="clear" w:color="auto" w:fill="CCEEFF"/>
          </w:tcPr>
          <w:p>
            <w:pPr>
              <w:spacing w:after="0"/>
              <w:rPr>
                <w:sz w:val="19"/>
                <w:szCs w:val="19"/>
                <w:color w:val="auto"/>
              </w:rPr>
            </w:pPr>
          </w:p>
        </w:tc>
      </w:tr>
      <w:tr>
        <w:trPr>
          <w:trHeight w:val="231"/>
        </w:trPr>
        <w:tc>
          <w:tcPr>
            <w:tcW w:w="5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financing costs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(16,910)</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(16,910)</w:t>
            </w:r>
          </w:p>
        </w:tc>
      </w:tr>
      <w:tr>
        <w:trPr>
          <w:trHeight w:val="25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long-term debt</w:t>
            </w:r>
          </w:p>
        </w:tc>
        <w:tc>
          <w:tcPr>
            <w:tcW w:w="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983,090</w:t>
            </w: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983,090</w:t>
            </w:r>
          </w:p>
        </w:tc>
        <w:tc>
          <w:tcPr>
            <w:tcW w:w="80" w:type="dxa"/>
            <w:vAlign w:val="bottom"/>
            <w:shd w:val="clear" w:color="auto" w:fill="CCEEFF"/>
          </w:tcPr>
          <w:p>
            <w:pPr>
              <w:spacing w:after="0"/>
              <w:rPr>
                <w:sz w:val="21"/>
                <w:szCs w:val="21"/>
                <w:color w:val="auto"/>
              </w:rPr>
            </w:pPr>
          </w:p>
        </w:tc>
      </w:tr>
      <w:tr>
        <w:trPr>
          <w:trHeight w:val="225"/>
        </w:trPr>
        <w:tc>
          <w:tcPr>
            <w:tcW w:w="566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Stockholders’ equity</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par value $1.00 per share: 1,000,000 shares authorized;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none issued, actual and as adjusted</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5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par value $0.10 per share: 300,000,000 shares authorized;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124,008,087 shares outstanding, actual and 139,008,087 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5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adjusted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12,402</w:t>
            </w:r>
          </w:p>
        </w:tc>
        <w:tc>
          <w:tcPr>
            <w:tcW w:w="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13,902</w:t>
            </w:r>
          </w:p>
        </w:tc>
        <w:tc>
          <w:tcPr>
            <w:tcW w:w="80" w:type="dxa"/>
            <w:vAlign w:val="bottom"/>
          </w:tcPr>
          <w:p>
            <w:pPr>
              <w:spacing w:after="0"/>
              <w:rPr>
                <w:sz w:val="19"/>
                <w:szCs w:val="19"/>
                <w:color w:val="auto"/>
              </w:rPr>
            </w:pPr>
          </w:p>
        </w:tc>
      </w:tr>
      <w:tr>
        <w:trPr>
          <w:trHeight w:val="20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Class B common stock: 40,000,000 shares authorized; 12,097,148 shares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outstanding, actual and as adjusted</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1,210</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1,210</w:t>
            </w:r>
          </w:p>
        </w:tc>
      </w:tr>
      <w:tr>
        <w:trPr>
          <w:trHeight w:val="221"/>
        </w:trPr>
        <w:tc>
          <w:tcPr>
            <w:tcW w:w="5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1,109,461</w:t>
            </w:r>
          </w:p>
        </w:tc>
        <w:tc>
          <w:tcPr>
            <w:tcW w:w="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1,829,661</w:t>
            </w:r>
          </w:p>
        </w:tc>
        <w:tc>
          <w:tcPr>
            <w:tcW w:w="80" w:type="dxa"/>
            <w:vAlign w:val="bottom"/>
          </w:tcPr>
          <w:p>
            <w:pPr>
              <w:spacing w:after="0"/>
              <w:rPr>
                <w:sz w:val="19"/>
                <w:szCs w:val="19"/>
                <w:color w:val="auto"/>
              </w:rPr>
            </w:pPr>
          </w:p>
        </w:tc>
      </w:tr>
      <w:tr>
        <w:trPr>
          <w:trHeight w:val="230"/>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Retained earnings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885,771</w:t>
            </w: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885,771</w:t>
            </w:r>
          </w:p>
        </w:tc>
        <w:tc>
          <w:tcPr>
            <w:tcW w:w="80" w:type="dxa"/>
            <w:vAlign w:val="bottom"/>
            <w:shd w:val="clear" w:color="auto" w:fill="CCEEFF"/>
          </w:tcPr>
          <w:p>
            <w:pPr>
              <w:spacing w:after="0"/>
              <w:rPr>
                <w:sz w:val="19"/>
                <w:szCs w:val="19"/>
                <w:color w:val="auto"/>
              </w:rPr>
            </w:pPr>
          </w:p>
        </w:tc>
      </w:tr>
      <w:tr>
        <w:trPr>
          <w:trHeight w:val="221"/>
        </w:trPr>
        <w:tc>
          <w:tcPr>
            <w:tcW w:w="5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67,021</w:t>
            </w:r>
          </w:p>
        </w:tc>
        <w:tc>
          <w:tcPr>
            <w:tcW w:w="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67,021</w:t>
            </w:r>
          </w:p>
        </w:tc>
        <w:tc>
          <w:tcPr>
            <w:tcW w:w="80" w:type="dxa"/>
            <w:vAlign w:val="bottom"/>
          </w:tcPr>
          <w:p>
            <w:pPr>
              <w:spacing w:after="0"/>
              <w:rPr>
                <w:sz w:val="19"/>
                <w:szCs w:val="19"/>
                <w:color w:val="auto"/>
              </w:rPr>
            </w:pPr>
          </w:p>
        </w:tc>
      </w:tr>
      <w:tr>
        <w:trPr>
          <w:trHeight w:val="235"/>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equity</w:t>
            </w: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2,075,865</w:t>
            </w: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2,797,565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Total capitalization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3,058,955</w:t>
            </w:r>
          </w:p>
        </w:tc>
        <w:tc>
          <w:tcPr>
            <w:tcW w:w="60" w:type="dxa"/>
            <w:vAlign w:val="bottom"/>
          </w:tcPr>
          <w:p>
            <w:pPr>
              <w:spacing w:after="0"/>
              <w:rPr>
                <w:sz w:val="20"/>
                <w:szCs w:val="20"/>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3,780,655</w:t>
            </w:r>
          </w:p>
        </w:tc>
      </w:tr>
      <w:tr>
        <w:trPr>
          <w:trHeight w:val="20"/>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142875</wp:posOffset>
            </wp:positionV>
            <wp:extent cx="763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48" w:lineRule="exact"/>
        <w:rPr>
          <w:sz w:val="20"/>
          <w:szCs w:val="20"/>
          <w:color w:val="auto"/>
        </w:rPr>
      </w:pPr>
    </w:p>
    <w:p>
      <w:pPr>
        <w:ind w:left="920" w:right="779" w:hanging="324"/>
        <w:spacing w:after="0" w:line="258" w:lineRule="auto"/>
        <w:tabs>
          <w:tab w:leader="none" w:pos="9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April 4, 2026, we had $250 million outstanding under our Credit Facility. After giving effect to subsequent borrowings, as of June 26, 2026, we had $303 million outstanding under our Credit Facility.</w:t>
      </w:r>
    </w:p>
    <w:p>
      <w:pPr>
        <w:spacing w:after="0" w:line="4" w:lineRule="exact"/>
        <w:rPr>
          <w:rFonts w:ascii="Times New Roman" w:cs="Times New Roman" w:eastAsia="Times New Roman" w:hAnsi="Times New Roman"/>
          <w:sz w:val="13"/>
          <w:szCs w:val="13"/>
          <w:color w:val="auto"/>
        </w:rPr>
      </w:pPr>
    </w:p>
    <w:p>
      <w:pPr>
        <w:ind w:left="920" w:hanging="324"/>
        <w:spacing w:after="0"/>
        <w:tabs>
          <w:tab w:leader="none" w:pos="9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April 4, 2026, the aggregate principal amount of our outstanding 2030 Notes was $750 million.</w:t>
      </w:r>
    </w:p>
    <w:p>
      <w:pPr>
        <w:spacing w:after="0" w:line="38" w:lineRule="exact"/>
        <w:rPr>
          <w:rFonts w:ascii="Times New Roman" w:cs="Times New Roman" w:eastAsia="Times New Roman" w:hAnsi="Times New Roman"/>
          <w:sz w:val="13"/>
          <w:szCs w:val="13"/>
          <w:color w:val="auto"/>
        </w:rPr>
      </w:pPr>
    </w:p>
    <w:p>
      <w:pPr>
        <w:ind w:left="920" w:hanging="324"/>
        <w:spacing w:after="0"/>
        <w:tabs>
          <w:tab w:leader="none" w:pos="9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outstanding share information set forth above is as of April 4, 2026, and excludes as of that date:</w:t>
      </w:r>
    </w:p>
    <w:p>
      <w:pPr>
        <w:spacing w:after="0" w:line="88" w:lineRule="exact"/>
        <w:rPr>
          <w:rFonts w:ascii="Times New Roman" w:cs="Times New Roman" w:eastAsia="Times New Roman" w:hAnsi="Times New Roman"/>
          <w:sz w:val="13"/>
          <w:szCs w:val="13"/>
          <w:color w:val="auto"/>
        </w:rPr>
      </w:pPr>
    </w:p>
    <w:p>
      <w:pPr>
        <w:ind w:left="1260" w:right="679" w:hanging="330"/>
        <w:spacing w:after="0" w:line="258" w:lineRule="auto"/>
        <w:tabs>
          <w:tab w:leader="none" w:pos="126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5,071,000 shares of common stock issuable upon the vesting and settlement of our restricted stock units, assuming any performance-based awards are achieved at maximum, under the 2023 Plan;</w:t>
      </w:r>
    </w:p>
    <w:p>
      <w:pPr>
        <w:spacing w:after="0" w:line="54" w:lineRule="exact"/>
        <w:rPr>
          <w:rFonts w:ascii="Times New Roman" w:cs="Times New Roman" w:eastAsia="Times New Roman" w:hAnsi="Times New Roman"/>
          <w:sz w:val="13"/>
          <w:szCs w:val="13"/>
          <w:color w:val="auto"/>
        </w:rPr>
      </w:pPr>
    </w:p>
    <w:p>
      <w:pPr>
        <w:ind w:left="1260" w:hanging="330"/>
        <w:spacing w:after="0"/>
        <w:tabs>
          <w:tab w:leader="none" w:pos="126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142,000 shares of common stock underlying phantom stock units;</w:t>
      </w:r>
    </w:p>
    <w:p>
      <w:pPr>
        <w:spacing w:after="0" w:line="88" w:lineRule="exact"/>
        <w:rPr>
          <w:rFonts w:ascii="Times New Roman" w:cs="Times New Roman" w:eastAsia="Times New Roman" w:hAnsi="Times New Roman"/>
          <w:sz w:val="13"/>
          <w:szCs w:val="13"/>
          <w:color w:val="auto"/>
        </w:rPr>
      </w:pPr>
    </w:p>
    <w:p>
      <w:pPr>
        <w:ind w:left="1260" w:right="919" w:hanging="330"/>
        <w:spacing w:after="0" w:line="258" w:lineRule="auto"/>
        <w:tabs>
          <w:tab w:leader="none" w:pos="126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24,870,675 shares of common stock reserved for future issuance upon the conversion of the 2030 Notes, of which $750,000,000 aggregate principal amount was outstanding; and</w:t>
      </w:r>
    </w:p>
    <w:p>
      <w:pPr>
        <w:spacing w:after="0" w:line="54" w:lineRule="exact"/>
        <w:rPr>
          <w:rFonts w:ascii="Times New Roman" w:cs="Times New Roman" w:eastAsia="Times New Roman" w:hAnsi="Times New Roman"/>
          <w:sz w:val="13"/>
          <w:szCs w:val="13"/>
          <w:color w:val="auto"/>
        </w:rPr>
      </w:pPr>
    </w:p>
    <w:p>
      <w:pPr>
        <w:ind w:left="1260" w:hanging="330"/>
        <w:spacing w:after="0"/>
        <w:tabs>
          <w:tab w:leader="none" w:pos="126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549,000 shares of common stock reserved for issuance under the 2023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6" w:name="page17"/>
    <w:bookmarkEnd w:id="1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 TO NON-U.S. HOLDERS</w:t>
      </w:r>
    </w:p>
    <w:p>
      <w:pPr>
        <w:spacing w:after="0" w:line="109" w:lineRule="exact"/>
        <w:rPr>
          <w:sz w:val="20"/>
          <w:szCs w:val="20"/>
          <w:color w:val="auto"/>
        </w:rPr>
      </w:pPr>
    </w:p>
    <w:p>
      <w:pPr>
        <w:ind w:left="600" w:right="619" w:firstLine="334"/>
        <w:spacing w:after="0" w:line="248" w:lineRule="auto"/>
        <w:rPr>
          <w:sz w:val="20"/>
          <w:szCs w:val="20"/>
          <w:color w:val="auto"/>
        </w:rPr>
      </w:pPr>
      <w:r>
        <w:rPr>
          <w:rFonts w:ascii="Times New Roman" w:cs="Times New Roman" w:eastAsia="Times New Roman" w:hAnsi="Times New Roman"/>
          <w:sz w:val="17"/>
          <w:szCs w:val="17"/>
          <w:color w:val="auto"/>
        </w:rPr>
        <w:t>The following is a summary of U.S. federal income tax considerations generally applicable to the ownership and disposition of our common stock by a Non-U.S. Holder (as defined below) that acquires such stock in this offering and that holds such stock as a capital asset (generally, property held for investment). This summary does not address all aspects of U.S. federal income taxation that may be relevant to a particular Non-U.S. Holder in light of its individual circumstances or the U.S. federal income tax consequences applicable to Non-U.S. Holders that are subject to special rules, such as controlled foreign corporations, passive foreign investment companies, corporations that accumulate earnings to avoid U.S. federal income tax, banks or other financial institutions, tax-exempt organizations (including private foundations), U.S. expatriates and certain former citizens or long-term residents of the United States, broker-dealers and traders in securities or currencies, or Non-U.S. Holders that hold common stock as part of a “straddle,” “hedge,” “conversion transaction,” or other integrated investment.</w:t>
      </w:r>
    </w:p>
    <w:p>
      <w:pPr>
        <w:spacing w:after="0" w:line="84" w:lineRule="exact"/>
        <w:rPr>
          <w:sz w:val="20"/>
          <w:szCs w:val="20"/>
          <w:color w:val="auto"/>
        </w:rPr>
      </w:pPr>
    </w:p>
    <w:p>
      <w:pPr>
        <w:ind w:left="600" w:right="679" w:firstLine="334"/>
        <w:spacing w:after="0" w:line="249" w:lineRule="auto"/>
        <w:rPr>
          <w:sz w:val="20"/>
          <w:szCs w:val="20"/>
          <w:color w:val="auto"/>
        </w:rPr>
      </w:pPr>
      <w:r>
        <w:rPr>
          <w:rFonts w:ascii="Times New Roman" w:cs="Times New Roman" w:eastAsia="Times New Roman" w:hAnsi="Times New Roman"/>
          <w:sz w:val="17"/>
          <w:szCs w:val="17"/>
          <w:color w:val="auto"/>
        </w:rPr>
        <w:t>This summary is based on provisions of the Internal Revenue Code of 1986, as amended (the “Code”), U.S. Treasury Regulations promulgated thereunder, and administrative and judicial interpretations thereof, all as in effect on the date hereof, and all of which are subject to change or differing interpretation, possibly with retroactive effect. We have not sought and will not seek any rulings from the Internal Revenue Service (“IRS”) regarding the statements made and the conclusions reached in the discussion below. There can be no assurance the IRS or a court will not take a contrary position to that discussed below regarding the tax consequences of the ownership and disposition of our common stock. This summary does not describe any U.S. state, local, or Non-U.S. income or other tax consequences (including estate, gift, and Medicare contribution tax on net investment income consequences) of owning and disposing of our common stock.</w:t>
      </w:r>
    </w:p>
    <w:p>
      <w:pPr>
        <w:spacing w:after="0" w:line="79" w:lineRule="exact"/>
        <w:rPr>
          <w:sz w:val="20"/>
          <w:szCs w:val="20"/>
          <w:color w:val="auto"/>
        </w:rPr>
      </w:pPr>
    </w:p>
    <w:p>
      <w:pPr>
        <w:ind w:left="600" w:right="639" w:firstLine="334"/>
        <w:spacing w:after="0" w:line="272" w:lineRule="auto"/>
        <w:rPr>
          <w:sz w:val="20"/>
          <w:szCs w:val="20"/>
          <w:color w:val="auto"/>
        </w:rPr>
      </w:pPr>
      <w:r>
        <w:rPr>
          <w:rFonts w:ascii="Times New Roman" w:cs="Times New Roman" w:eastAsia="Times New Roman" w:hAnsi="Times New Roman"/>
          <w:sz w:val="17"/>
          <w:szCs w:val="17"/>
          <w:color w:val="auto"/>
        </w:rPr>
        <w:t>For purposes of this summary, the term “Non-U.S. Holder” means a beneficial owner of our common stock that is not for U.S. federal income tax purposes:</w:t>
      </w:r>
    </w:p>
    <w:p>
      <w:pPr>
        <w:spacing w:after="0" w:line="58" w:lineRule="exact"/>
        <w:rPr>
          <w:sz w:val="20"/>
          <w:szCs w:val="20"/>
          <w:color w:val="auto"/>
        </w:rPr>
      </w:pPr>
    </w:p>
    <w:p>
      <w:pPr>
        <w:ind w:left="1260" w:hanging="330"/>
        <w:spacing w:after="0"/>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(as determined under the Code) of the United States;</w:t>
      </w:r>
    </w:p>
    <w:p>
      <w:pPr>
        <w:spacing w:after="0" w:line="105" w:lineRule="exact"/>
        <w:rPr>
          <w:rFonts w:ascii="Times New Roman" w:cs="Times New Roman" w:eastAsia="Times New Roman" w:hAnsi="Times New Roman"/>
          <w:sz w:val="17"/>
          <w:szCs w:val="17"/>
          <w:color w:val="auto"/>
        </w:rPr>
      </w:pPr>
    </w:p>
    <w:p>
      <w:pPr>
        <w:ind w:left="1260" w:right="979" w:hanging="330"/>
        <w:spacing w:after="0" w:line="272"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created or organized in or under the laws of the United States or any political subdivision thereof or the District of Columbia;</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05" w:lineRule="exact"/>
        <w:rPr>
          <w:rFonts w:ascii="Times New Roman" w:cs="Times New Roman" w:eastAsia="Times New Roman" w:hAnsi="Times New Roman"/>
          <w:sz w:val="17"/>
          <w:szCs w:val="17"/>
          <w:color w:val="auto"/>
        </w:rPr>
      </w:pPr>
    </w:p>
    <w:p>
      <w:pPr>
        <w:ind w:left="1260" w:right="639" w:hanging="330"/>
        <w:spacing w:after="0" w:line="254"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(a) a United States court is able to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74" w:lineRule="exact"/>
        <w:rPr>
          <w:sz w:val="20"/>
          <w:szCs w:val="20"/>
          <w:color w:val="auto"/>
        </w:rPr>
      </w:pPr>
    </w:p>
    <w:p>
      <w:pPr>
        <w:ind w:left="600" w:right="859" w:firstLine="334"/>
        <w:spacing w:after="0" w:line="269" w:lineRule="auto"/>
        <w:rPr>
          <w:sz w:val="20"/>
          <w:szCs w:val="20"/>
          <w:color w:val="auto"/>
        </w:rPr>
      </w:pPr>
      <w:r>
        <w:rPr>
          <w:rFonts w:ascii="Times New Roman" w:cs="Times New Roman" w:eastAsia="Times New Roman" w:hAnsi="Times New Roman"/>
          <w:sz w:val="16"/>
          <w:szCs w:val="16"/>
          <w:color w:val="auto"/>
        </w:rPr>
        <w:t>If a partnership (including any entity or arrangement treated as a partnership or other pass-through entity for U.S. federal income tax purposes) holds our common stock, the tax treatment of a partner or beneficial owner in such entity will generally depend upon the status of the owner and the activities of the entity. Partners in a partnership (or beneficial owners of another entity or arrangement treated as a partnership or other pass-through entity for U.S. federal income tax purposes) should consult their tax advisors as to the U.S. federal income tax consequences to them of an investment in our common stock in their particular circumstances.</w:t>
      </w:r>
    </w:p>
    <w:p>
      <w:pPr>
        <w:spacing w:after="0" w:line="61" w:lineRule="exact"/>
        <w:rPr>
          <w:sz w:val="20"/>
          <w:szCs w:val="20"/>
          <w:color w:val="auto"/>
        </w:rPr>
      </w:pPr>
    </w:p>
    <w:p>
      <w:pPr>
        <w:ind w:left="600" w:right="699" w:firstLine="334"/>
        <w:spacing w:after="0" w:line="253" w:lineRule="auto"/>
        <w:rPr>
          <w:sz w:val="20"/>
          <w:szCs w:val="20"/>
          <w:color w:val="auto"/>
        </w:rPr>
      </w:pPr>
      <w:r>
        <w:rPr>
          <w:rFonts w:ascii="Times New Roman" w:cs="Times New Roman" w:eastAsia="Times New Roman" w:hAnsi="Times New Roman"/>
          <w:sz w:val="17"/>
          <w:szCs w:val="17"/>
          <w:b w:val="1"/>
          <w:bCs w:val="1"/>
          <w:color w:val="auto"/>
        </w:rPr>
        <w:t>THIS DISCUSSION OF U.S. FEDERAL INCOME TAX CONSIDERATIONS IS NOT INTENDED TO BE, AND SHOULD NOT BE CONSTRUED AS, TAX ADVICE. EACH PROSPECTIVE INVESTOR SHOULD CONSULT ITS TAX ADVISOR REGARDING THE U.S. FEDERAL, STATE, LOCAL, AND NON-U.S. INCOME AND OTHER TAX CONSEQUENCES OF THE PURCHASE, OWNERSHIP AND DISPOSITION OF OUR COMMON STOCK.</w:t>
      </w:r>
    </w:p>
    <w:p>
      <w:pPr>
        <w:spacing w:after="0" w:line="3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05" w:lineRule="exact"/>
        <w:rPr>
          <w:sz w:val="20"/>
          <w:szCs w:val="20"/>
          <w:color w:val="auto"/>
        </w:rPr>
      </w:pPr>
    </w:p>
    <w:p>
      <w:pPr>
        <w:ind w:left="600" w:right="739" w:firstLine="334"/>
        <w:spacing w:after="0" w:line="251" w:lineRule="auto"/>
        <w:rPr>
          <w:sz w:val="20"/>
          <w:szCs w:val="20"/>
          <w:color w:val="auto"/>
        </w:rPr>
      </w:pPr>
      <w:r>
        <w:rPr>
          <w:rFonts w:ascii="Times New Roman" w:cs="Times New Roman" w:eastAsia="Times New Roman" w:hAnsi="Times New Roman"/>
          <w:sz w:val="17"/>
          <w:szCs w:val="17"/>
          <w:color w:val="auto"/>
        </w:rPr>
        <w:t>See the section of this prospectus supplement entitled “</w:t>
      </w: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relating to our Stockholder Return Policy. Distributions of cash or property on our common stock, if any, will generally be treated as dividends to the extent such distributions are paid from our current or accumulated earnings and profits as determined for U.S. federal income tax purposes. Any such distributions in excess of our current and accumulated earnings and profits will be treated first as a return of capital to the extent of the holder’s adjusted tax basis in our common stock and thereafter as capital gain from the sale or exchange of such common stock, which is subject to the tax treatment described below in the section titled “</w:t>
      </w:r>
      <w:r>
        <w:rPr>
          <w:rFonts w:ascii="Times New Roman" w:cs="Times New Roman" w:eastAsia="Times New Roman" w:hAnsi="Times New Roman"/>
          <w:sz w:val="17"/>
          <w:szCs w:val="17"/>
          <w:i w:val="1"/>
          <w:iCs w:val="1"/>
          <w:color w:val="auto"/>
        </w:rPr>
        <w:t>—Sale, Exchange or Other Taxable Disposition</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7" w:name="page18"/>
    <w:bookmarkEnd w:id="1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599" w:firstLine="334"/>
        <w:spacing w:after="0" w:line="247" w:lineRule="auto"/>
        <w:rPr>
          <w:sz w:val="20"/>
          <w:szCs w:val="20"/>
          <w:color w:val="auto"/>
        </w:rPr>
      </w:pPr>
      <w:r>
        <w:rPr>
          <w:rFonts w:ascii="Times New Roman" w:cs="Times New Roman" w:eastAsia="Times New Roman" w:hAnsi="Times New Roman"/>
          <w:sz w:val="17"/>
          <w:szCs w:val="17"/>
          <w:color w:val="auto"/>
        </w:rPr>
        <w:t>The gross amount of dividends paid to a Non-U.S. Holder with respect to our common stock will generally be subject to U.S. federal withholding tax at a rate of 30% (or such lower rate as may be provided by an applicable income tax treaty), unless the dividends are effectively connected with the Non-U.S. Holder’s conduct of a trade or business within the United States (and, if required by an applicable income tax treaty, are attributable to a permanent establishment maintained by such Non-U.S. Holder in the United States). Subject to the discussion below in the sections titled “</w:t>
      </w:r>
      <w:r>
        <w:rPr>
          <w:rFonts w:ascii="Times New Roman" w:cs="Times New Roman" w:eastAsia="Times New Roman" w:hAnsi="Times New Roman"/>
          <w:sz w:val="17"/>
          <w:szCs w:val="17"/>
          <w:i w:val="1"/>
          <w:iCs w:val="1"/>
          <w:color w:val="auto"/>
        </w:rPr>
        <w:t>—Information Reporting and Backup Withholding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—Foreign Account Tax Compliance 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(“FATCA”)</w:t>
      </w:r>
      <w:r>
        <w:rPr>
          <w:rFonts w:ascii="Times New Roman" w:cs="Times New Roman" w:eastAsia="Times New Roman" w:hAnsi="Times New Roman"/>
          <w:sz w:val="17"/>
          <w:szCs w:val="17"/>
          <w:color w:val="auto"/>
        </w:rPr>
        <w:t>,” dividends effectively connected with a Non-U.S. Holder’s conduct of a U.S. trade or business (and,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by an applicable income tax treaty, attributable to a permanent establishment maintained by such Non-U.S. Holder in the United States) will generally not be subject to U.S. withholding tax if the Non-U.S. Holder complies with applicable certification and disclosure requirements (generally, by providing an IRS Form W-8ECI (or any appropriate successor or replacement form)). Instead, such dividends will generally be subject to U.S. federal income tax on a net income basis in the same manner in which citizens and residents of the United States are subject to U.S. federal income tax. Corporate Non-U.S. Holders may be subject to an additional “branch profits tax” at a rate of 30% (or such lower rate as may be specified by an applicable income tax treaty) on their “effectively connected earnings and profits,” subject to certain adjustments.</w:t>
      </w:r>
    </w:p>
    <w:p>
      <w:pPr>
        <w:spacing w:after="0" w:line="88" w:lineRule="exact"/>
        <w:rPr>
          <w:sz w:val="20"/>
          <w:szCs w:val="20"/>
          <w:color w:val="auto"/>
        </w:rPr>
      </w:pPr>
    </w:p>
    <w:p>
      <w:pPr>
        <w:ind w:left="600" w:right="819" w:firstLine="334"/>
        <w:spacing w:after="0" w:line="251" w:lineRule="auto"/>
        <w:rPr>
          <w:sz w:val="20"/>
          <w:szCs w:val="20"/>
          <w:color w:val="auto"/>
        </w:rPr>
      </w:pPr>
      <w:r>
        <w:rPr>
          <w:rFonts w:ascii="Times New Roman" w:cs="Times New Roman" w:eastAsia="Times New Roman" w:hAnsi="Times New Roman"/>
          <w:sz w:val="17"/>
          <w:szCs w:val="17"/>
          <w:color w:val="auto"/>
        </w:rPr>
        <w:t>An eligible Non-U.S. Holder may obtain a reduced rate of withholding under an applicable income tax treaty by providing a properly executed IRS Form W-8BEN or IRS Form W-8BEN-E (or any appropriate successor or replacement forms), as applicable, certifying that it is not a U.S. person as defined under the Code and that it is entitled to benefits under the treaty or, if such Non-U.S. Holder’s common stock is held through certain foreign intermediaries or foreign partnerships, by satisfying the relevant certification and documentation requirements of applicable Treasury Regulations.</w:t>
      </w:r>
    </w:p>
    <w:p>
      <w:pPr>
        <w:spacing w:after="0" w:line="76" w:lineRule="exact"/>
        <w:rPr>
          <w:sz w:val="20"/>
          <w:szCs w:val="20"/>
          <w:color w:val="auto"/>
        </w:rPr>
      </w:pPr>
    </w:p>
    <w:p>
      <w:pPr>
        <w:ind w:left="600" w:right="699" w:firstLine="334"/>
        <w:spacing w:after="0" w:line="254" w:lineRule="auto"/>
        <w:rPr>
          <w:sz w:val="20"/>
          <w:szCs w:val="20"/>
          <w:color w:val="auto"/>
        </w:rPr>
      </w:pPr>
      <w:r>
        <w:rPr>
          <w:rFonts w:ascii="Times New Roman" w:cs="Times New Roman" w:eastAsia="Times New Roman" w:hAnsi="Times New Roman"/>
          <w:sz w:val="17"/>
          <w:szCs w:val="17"/>
          <w:color w:val="auto"/>
        </w:rPr>
        <w:t>A Non-U.S. Holder eligible for a reduced rate of or exemption from U.S. federal withholding tax may obtain a refund of any excess amounts withheld by timely filing an appropriate claim for refund with the IRS. Non-U.S. Holders should consult their tax advisors regarding their entitlement to benefits under an applicable income tax treaty and the specific manner of claiming the benefits of the treaty.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Sale, Exchange, or Other Taxable Disposition</w:t>
      </w:r>
    </w:p>
    <w:p>
      <w:pPr>
        <w:spacing w:after="0" w:line="109" w:lineRule="exact"/>
        <w:rPr>
          <w:sz w:val="20"/>
          <w:szCs w:val="20"/>
          <w:color w:val="auto"/>
        </w:rPr>
      </w:pPr>
    </w:p>
    <w:p>
      <w:pPr>
        <w:ind w:left="600" w:right="679" w:firstLine="334"/>
        <w:spacing w:after="0" w:line="272" w:lineRule="auto"/>
        <w:rPr>
          <w:sz w:val="20"/>
          <w:szCs w:val="20"/>
          <w:color w:val="auto"/>
        </w:rPr>
      </w:pPr>
      <w:r>
        <w:rPr>
          <w:rFonts w:ascii="Times New Roman" w:cs="Times New Roman" w:eastAsia="Times New Roman" w:hAnsi="Times New Roman"/>
          <w:sz w:val="17"/>
          <w:szCs w:val="17"/>
          <w:color w:val="auto"/>
        </w:rPr>
        <w:t>A Non-U.S. Holder will generally not be subject to U.S. federal income or withholding tax with respect to gain recognized on the sale, exchange, or other taxable disposition of our common stock unless:</w:t>
      </w:r>
    </w:p>
    <w:p>
      <w:pPr>
        <w:spacing w:after="0" w:line="58" w:lineRule="exact"/>
        <w:rPr>
          <w:sz w:val="20"/>
          <w:szCs w:val="20"/>
          <w:color w:val="auto"/>
        </w:rPr>
      </w:pPr>
    </w:p>
    <w:p>
      <w:pPr>
        <w:ind w:left="1260" w:right="779" w:hanging="330"/>
        <w:spacing w:after="0" w:line="250"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such Non-U.S. Holder’s conduct of a trade or business within the United States (and, if required by an applicable income tax treaty, is attributable to a permanent establishment maintained by such Non-U.S. Holder in the United States), in which case, the Non-U.S. Holder will be subject to U.S. federal income tax on such gain on a net income basis in the same manner in which U.S. persons are subject to U.S. federal income tax and, in the case of corporate Non-U.S. Holders, may also be subject to an additional “branch profits tax” at a rate of 30% (or such lower rate as may be specified by an applicable income tax treaty);</w:t>
      </w:r>
    </w:p>
    <w:p>
      <w:pPr>
        <w:spacing w:after="0" w:line="77" w:lineRule="exact"/>
        <w:rPr>
          <w:rFonts w:ascii="Times New Roman" w:cs="Times New Roman" w:eastAsia="Times New Roman" w:hAnsi="Times New Roman"/>
          <w:sz w:val="17"/>
          <w:szCs w:val="17"/>
          <w:color w:val="auto"/>
        </w:rPr>
      </w:pPr>
    </w:p>
    <w:p>
      <w:pPr>
        <w:ind w:left="1260" w:right="619" w:hanging="330"/>
        <w:spacing w:after="0" w:line="250"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Non-U.S. Holder that is a non-resident alien individual, such Non-U.S. Holder is present in the United States for 183 or more days in the taxable year of disposition and certain other conditions are met, in which case the Non-U.S. Holder will generally be subject to a flat income tax at a rate of 30% (or lower applicable treaty rate) on any capital gain recognized on the disposition of our common stock, which may be offset by certain U.S. source capital losses of the Non-U.S. Holder (even though the individual is not considered a resident of the United States), provided such Non-U.S. Holder has timely filed U.S. federal income tax returns with respect to such losses; or</w:t>
      </w:r>
    </w:p>
    <w:p>
      <w:pPr>
        <w:spacing w:after="0" w:line="77" w:lineRule="exact"/>
        <w:rPr>
          <w:rFonts w:ascii="Times New Roman" w:cs="Times New Roman" w:eastAsia="Times New Roman" w:hAnsi="Times New Roman"/>
          <w:sz w:val="17"/>
          <w:szCs w:val="17"/>
          <w:color w:val="auto"/>
        </w:rPr>
      </w:pPr>
    </w:p>
    <w:p>
      <w:pPr>
        <w:ind w:left="1260" w:right="659" w:hanging="330"/>
        <w:spacing w:after="0" w:line="249"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(“USRPHC”) for U.S. federal income tax purposes at any time within the shorter of the five-year period ending on the date of such sale, exchange, or other taxable disposition or the period that such Non-U.S. Holder held our common stock and either (a) our common stock was not treated as regularly traded on an established securities market at any time during the calendar year in which the sale, exchange, or other taxable disposition occurs, or (b) such Non-U.S. Holder owns or owned (actually or constructively) more than 5% of our common stock at any time during the shorter of the two periods mentioned above. We believe we are not, have not been and do not anticipate becoming a USRPHC for U.S. federal income tax purposes.</w:t>
      </w:r>
    </w:p>
    <w:p>
      <w:pPr>
        <w:spacing w:after="0" w:line="81" w:lineRule="exact"/>
        <w:rPr>
          <w:sz w:val="20"/>
          <w:szCs w:val="20"/>
          <w:color w:val="auto"/>
        </w:rPr>
      </w:pPr>
    </w:p>
    <w:p>
      <w:pPr>
        <w:ind w:left="600" w:right="799" w:firstLine="334"/>
        <w:spacing w:after="0" w:line="272" w:lineRule="auto"/>
        <w:rPr>
          <w:sz w:val="20"/>
          <w:szCs w:val="20"/>
          <w:color w:val="auto"/>
        </w:rPr>
      </w:pPr>
      <w:r>
        <w:rPr>
          <w:rFonts w:ascii="Times New Roman" w:cs="Times New Roman" w:eastAsia="Times New Roman" w:hAnsi="Times New Roman"/>
          <w:sz w:val="17"/>
          <w:szCs w:val="17"/>
          <w:color w:val="auto"/>
        </w:rPr>
        <w:t>Non-U.S. Holders should consult their tax advisors regarding any applicable tax treaties that may provide for different rules.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109" w:lineRule="exact"/>
        <w:rPr>
          <w:sz w:val="20"/>
          <w:szCs w:val="20"/>
          <w:color w:val="auto"/>
        </w:rPr>
      </w:pPr>
    </w:p>
    <w:p>
      <w:pPr>
        <w:ind w:left="600" w:right="659" w:firstLine="334"/>
        <w:spacing w:after="0" w:line="249" w:lineRule="auto"/>
        <w:rPr>
          <w:sz w:val="20"/>
          <w:szCs w:val="20"/>
          <w:color w:val="auto"/>
        </w:rPr>
      </w:pPr>
      <w:r>
        <w:rPr>
          <w:rFonts w:ascii="Times New Roman" w:cs="Times New Roman" w:eastAsia="Times New Roman" w:hAnsi="Times New Roman"/>
          <w:sz w:val="17"/>
          <w:szCs w:val="17"/>
          <w:color w:val="auto"/>
        </w:rPr>
        <w:t>Payments of dividends on our common stock and the payment of the proceeds from the sale of our common stock effected at a U.S. office of a broker generally will not be subject to backup withholding and the payment of proceeds from the sale of our common stock effected at a U.S. office of a broker will generally not be subject to information reporting, provided the applicable withholding agent does not have actual knowledge or reason to know the Non-U.S. Holder is a United States person and the Non-U.S. Holder either certifies its non-U.S. status, such as by furnishing a valid IRS Form W-8BEN or W-8BEN-E or other documentation upon which it may rely to treat the payments as made to a non-U.S. person in accordance with Treasury Regulations or otherwise establishes an exemption.</w:t>
      </w:r>
    </w:p>
    <w:p>
      <w:pPr>
        <w:spacing w:after="0" w:line="81" w:lineRule="exact"/>
        <w:rPr>
          <w:sz w:val="20"/>
          <w:szCs w:val="20"/>
          <w:color w:val="auto"/>
        </w:rPr>
      </w:pPr>
    </w:p>
    <w:p>
      <w:pPr>
        <w:ind w:left="600" w:right="859" w:firstLine="334"/>
        <w:spacing w:after="0" w:line="275" w:lineRule="auto"/>
        <w:rPr>
          <w:sz w:val="20"/>
          <w:szCs w:val="20"/>
          <w:color w:val="auto"/>
        </w:rPr>
      </w:pPr>
      <w:r>
        <w:rPr>
          <w:rFonts w:ascii="Times New Roman" w:cs="Times New Roman" w:eastAsia="Times New Roman" w:hAnsi="Times New Roman"/>
          <w:sz w:val="16"/>
          <w:szCs w:val="16"/>
          <w:color w:val="auto"/>
        </w:rPr>
        <w:t>However, we are required to file information returns with the IRS in connection with any distribution on our common stock paid to the Non-U.S. Holder, regardless of whether any tax was actually withheld. Copies of information returns that are filed with the IRS may also be made available under the provisions of an applicable treaty or agreement to the tax authorities of the country in which the Non-U.S. Holder resides or is established.</w:t>
      </w:r>
    </w:p>
    <w:p>
      <w:pPr>
        <w:spacing w:after="0" w:line="59" w:lineRule="exact"/>
        <w:rPr>
          <w:sz w:val="20"/>
          <w:szCs w:val="20"/>
          <w:color w:val="auto"/>
        </w:rPr>
      </w:pPr>
    </w:p>
    <w:p>
      <w:pPr>
        <w:ind w:left="600" w:right="639" w:firstLine="334"/>
        <w:spacing w:after="0" w:line="266" w:lineRule="auto"/>
        <w:rPr>
          <w:sz w:val="20"/>
          <w:szCs w:val="20"/>
          <w:color w:val="auto"/>
        </w:rPr>
      </w:pPr>
      <w:r>
        <w:rPr>
          <w:rFonts w:ascii="Times New Roman" w:cs="Times New Roman" w:eastAsia="Times New Roman" w:hAnsi="Times New Roman"/>
          <w:sz w:val="16"/>
          <w:szCs w:val="16"/>
          <w:color w:val="auto"/>
        </w:rPr>
        <w:t>Payment of the proceeds from the sale of our common stock effected at a foreign office of a broker generally will not be subject to information reporting or backup withholding. However, a sale of our common stock by a Non-U.S. Holder that is effected at a foreign office of a broker will be subject to information reporting and backup withholding if (i) the proceeds are transferred to an account maintained by the Non-U.S. Holder in the United States,</w:t>
      </w:r>
    </w:p>
    <w:p>
      <w:pPr>
        <w:spacing w:after="0" w:line="2" w:lineRule="exact"/>
        <w:rPr>
          <w:sz w:val="20"/>
          <w:szCs w:val="20"/>
          <w:color w:val="auto"/>
        </w:rPr>
      </w:pPr>
    </w:p>
    <w:p>
      <w:pPr>
        <w:ind w:left="840" w:hanging="244"/>
        <w:spacing w:after="0"/>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proceeds or the confirmation of the sale is mailed to the Non-U.S. Holder at a U.S. address or</w:t>
      </w:r>
    </w:p>
    <w:p>
      <w:pPr>
        <w:spacing w:after="0" w:line="4" w:lineRule="exact"/>
        <w:rPr>
          <w:rFonts w:ascii="Times New Roman" w:cs="Times New Roman" w:eastAsia="Times New Roman" w:hAnsi="Times New Roman"/>
          <w:sz w:val="17"/>
          <w:szCs w:val="17"/>
          <w:color w:val="auto"/>
        </w:rPr>
      </w:pPr>
    </w:p>
    <w:p>
      <w:pPr>
        <w:ind w:left="600" w:right="719" w:hanging="4"/>
        <w:spacing w:after="0" w:line="248" w:lineRule="auto"/>
        <w:tabs>
          <w:tab w:leader="none" w:pos="89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has some other specified connection with the United States as provided in the Treasury Regulations, unless, in each case, the broker does not have actual knowledge or reason to know that the holder is a United States person and the documentation requirements described above are met or the Non-U.S. Holder otherwise establishes an exemption.</w:t>
      </w:r>
    </w:p>
    <w:p>
      <w:pPr>
        <w:spacing w:after="0" w:line="77" w:lineRule="exact"/>
        <w:rPr>
          <w:sz w:val="20"/>
          <w:szCs w:val="20"/>
          <w:color w:val="auto"/>
        </w:rPr>
      </w:pPr>
    </w:p>
    <w:p>
      <w:pPr>
        <w:ind w:left="600" w:right="619" w:firstLine="334"/>
        <w:spacing w:after="0" w:line="266" w:lineRule="auto"/>
        <w:rPr>
          <w:sz w:val="20"/>
          <w:szCs w:val="20"/>
          <w:color w:val="auto"/>
        </w:rPr>
      </w:pPr>
      <w:r>
        <w:rPr>
          <w:rFonts w:ascii="Times New Roman" w:cs="Times New Roman" w:eastAsia="Times New Roman" w:hAnsi="Times New Roman"/>
          <w:sz w:val="16"/>
          <w:szCs w:val="16"/>
          <w:color w:val="auto"/>
        </w:rPr>
        <w:t>In addition, a sale of our common stock will be subject to information reporting if it is effected at a foreign office of a broker that is (i) a United States person, (ii) a “controlled foreign corporation” for U.S. federal income tax purposes, (iii) a foreign person 50% or more of whose gross income is effectively connected with the conduct of a U.S. trade or business for a specified three-year period or (iv) a foreign partnership, if at any time during its tax year</w:t>
      </w:r>
    </w:p>
    <w:p>
      <w:pPr>
        <w:spacing w:after="0" w:line="2" w:lineRule="exact"/>
        <w:rPr>
          <w:sz w:val="20"/>
          <w:szCs w:val="20"/>
          <w:color w:val="auto"/>
        </w:rPr>
      </w:pPr>
    </w:p>
    <w:p>
      <w:pPr>
        <w:ind w:left="600" w:right="659" w:hanging="4"/>
        <w:spacing w:after="0" w:line="247" w:lineRule="auto"/>
        <w:tabs>
          <w:tab w:leader="none" w:pos="82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of its partners are “U.S. persons,” as defined in the Treasury Regulations, who in the aggregate hold more than 50% of the income or capital interest in the partnership or (b) such foreign partnership is engaged in the conduct of a trade or business in the United States, in each case unless the broker does not have actual knowledge or reason to know that the holder is a United States person and the documentation requirements described above are met or an exemption is otherwise established. Backup withholding will apply if the sale is subject to information reporting and the broker has actual knowledge that the holder is a United States person.</w:t>
      </w:r>
    </w:p>
    <w:p>
      <w:pPr>
        <w:spacing w:after="0" w:line="79" w:lineRule="exact"/>
        <w:rPr>
          <w:sz w:val="20"/>
          <w:szCs w:val="20"/>
          <w:color w:val="auto"/>
        </w:rPr>
      </w:pPr>
    </w:p>
    <w:p>
      <w:pPr>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 under current Treasury Regulations.</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Foreign Account Tax Compliance Act (“FATCA”)</w:t>
      </w:r>
    </w:p>
    <w:p>
      <w:pPr>
        <w:spacing w:after="0" w:line="109" w:lineRule="exact"/>
        <w:rPr>
          <w:sz w:val="20"/>
          <w:szCs w:val="20"/>
          <w:color w:val="auto"/>
        </w:rPr>
      </w:pPr>
    </w:p>
    <w:p>
      <w:pPr>
        <w:ind w:left="600" w:right="619" w:firstLine="334"/>
        <w:spacing w:after="0" w:line="265" w:lineRule="auto"/>
        <w:rPr>
          <w:sz w:val="20"/>
          <w:szCs w:val="20"/>
          <w:color w:val="auto"/>
        </w:rPr>
      </w:pPr>
      <w:r>
        <w:rPr>
          <w:rFonts w:ascii="Times New Roman" w:cs="Times New Roman" w:eastAsia="Times New Roman" w:hAnsi="Times New Roman"/>
          <w:sz w:val="16"/>
          <w:szCs w:val="16"/>
          <w:color w:val="auto"/>
        </w:rPr>
        <w:t>Certain rules may require withholding at a rate of 30% on dividends in respect of our common stock (but not on payments of gross proceeds from the sale, exchange, or other disposition of our common stock) held by or through certain foreign financial institutions (including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699"/>
        <w:spacing w:after="0" w:line="259" w:lineRule="auto"/>
        <w:rPr>
          <w:sz w:val="20"/>
          <w:szCs w:val="20"/>
          <w:color w:val="auto"/>
        </w:rPr>
      </w:pPr>
      <w:r>
        <w:rPr>
          <w:rFonts w:ascii="Times New Roman" w:cs="Times New Roman" w:eastAsia="Times New Roman" w:hAnsi="Times New Roman"/>
          <w:sz w:val="17"/>
          <w:szCs w:val="17"/>
          <w:color w:val="auto"/>
        </w:rPr>
        <w:t>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w:t>
      </w:r>
    </w:p>
    <w:p>
      <w:pPr>
        <w:spacing w:after="0" w:line="69" w:lineRule="exact"/>
        <w:rPr>
          <w:sz w:val="20"/>
          <w:szCs w:val="20"/>
          <w:color w:val="auto"/>
        </w:rPr>
      </w:pPr>
    </w:p>
    <w:p>
      <w:pPr>
        <w:ind w:left="600" w:right="719" w:firstLine="334"/>
        <w:spacing w:after="0" w:line="252" w:lineRule="auto"/>
        <w:rPr>
          <w:sz w:val="20"/>
          <w:szCs w:val="20"/>
          <w:color w:val="auto"/>
        </w:rPr>
      </w:pPr>
      <w:r>
        <w:rPr>
          <w:rFonts w:ascii="Times New Roman" w:cs="Times New Roman" w:eastAsia="Times New Roman" w:hAnsi="Times New Roman"/>
          <w:sz w:val="17"/>
          <w:szCs w:val="17"/>
          <w:color w:val="auto"/>
        </w:rPr>
        <w:t>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the Bank, will determine whether or not to implement gross proceeds FATCA withholding.</w:t>
      </w:r>
    </w:p>
    <w:p>
      <w:pPr>
        <w:spacing w:after="0" w:line="76" w:lineRule="exact"/>
        <w:rPr>
          <w:sz w:val="20"/>
          <w:szCs w:val="20"/>
          <w:color w:val="auto"/>
        </w:rPr>
      </w:pPr>
    </w:p>
    <w:p>
      <w:pPr>
        <w:ind w:left="600" w:right="779" w:firstLine="334"/>
        <w:spacing w:after="0" w:line="254" w:lineRule="auto"/>
        <w:rPr>
          <w:sz w:val="20"/>
          <w:szCs w:val="20"/>
          <w:color w:val="auto"/>
        </w:rPr>
      </w:pPr>
      <w:r>
        <w:rPr>
          <w:rFonts w:ascii="Times New Roman" w:cs="Times New Roman" w:eastAsia="Times New Roman" w:hAnsi="Times New Roman"/>
          <w:sz w:val="17"/>
          <w:szCs w:val="17"/>
          <w:color w:val="auto"/>
        </w:rPr>
        <w:t>If a dividend payment is subject to withholding both under FATCA and the withholding tax rules discussed above in the section entitled “Distributions”, the withholding under FATCA may be credited against, and therefore reduce, such other withholding tax. Holders of shares should consult their own tax advisors regarding these requirements and whether they may be relevant to their ownership and disposition of the shares.</w:t>
      </w:r>
    </w:p>
    <w:p>
      <w:pPr>
        <w:spacing w:after="0" w:line="74" w:lineRule="exact"/>
        <w:rPr>
          <w:sz w:val="20"/>
          <w:szCs w:val="20"/>
          <w:color w:val="auto"/>
        </w:rPr>
      </w:pPr>
    </w:p>
    <w:p>
      <w:pPr>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w:t>
      </w:r>
    </w:p>
    <w:p>
      <w:pPr>
        <w:spacing w:after="0" w:line="69" w:lineRule="exact"/>
        <w:rPr>
          <w:sz w:val="20"/>
          <w:szCs w:val="20"/>
          <w:color w:val="auto"/>
        </w:rPr>
      </w:pPr>
    </w:p>
    <w:p>
      <w:pPr>
        <w:ind w:left="600" w:right="679" w:firstLine="334"/>
        <w:spacing w:after="0" w:line="272" w:lineRule="auto"/>
        <w:rPr>
          <w:sz w:val="20"/>
          <w:szCs w:val="20"/>
          <w:color w:val="auto"/>
        </w:rPr>
      </w:pPr>
      <w:r>
        <w:rPr>
          <w:rFonts w:ascii="Times New Roman" w:cs="Times New Roman" w:eastAsia="Times New Roman" w:hAnsi="Times New Roman"/>
          <w:sz w:val="17"/>
          <w:szCs w:val="17"/>
          <w:color w:val="auto"/>
        </w:rPr>
        <w:t>Prospective investors should consult their tax advisors regarding the possible implications of FATCA tax on an investment in our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0" w:name="page21"/>
    <w:bookmarkEnd w:id="20"/>
    <w:p>
      <w:pPr>
        <w:ind w:left="12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UNDERWRITING (CONFLICTS OF INTEREST)</w:t>
      </w:r>
    </w:p>
    <w:p>
      <w:pPr>
        <w:spacing w:after="0" w:line="109" w:lineRule="exact"/>
        <w:rPr>
          <w:sz w:val="20"/>
          <w:szCs w:val="20"/>
          <w:color w:val="auto"/>
        </w:rPr>
      </w:pPr>
    </w:p>
    <w:p>
      <w:pPr>
        <w:ind w:left="1200" w:right="1220" w:firstLine="334"/>
        <w:spacing w:after="0" w:line="250" w:lineRule="auto"/>
        <w:rPr>
          <w:sz w:val="20"/>
          <w:szCs w:val="20"/>
          <w:color w:val="auto"/>
        </w:rPr>
      </w:pPr>
      <w:r>
        <w:rPr>
          <w:rFonts w:ascii="Times New Roman" w:cs="Times New Roman" w:eastAsia="Times New Roman" w:hAnsi="Times New Roman"/>
          <w:sz w:val="17"/>
          <w:szCs w:val="17"/>
          <w:color w:val="auto"/>
        </w:rPr>
        <w:t>We are offering the shares of common stock described in this prospectus supplement through a number of underwriters. J.P. Morgan Securities LLC is acting as book running manager of the offering and as representative of the underwriters (the “representative”).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w:t>
      </w:r>
    </w:p>
    <w:p>
      <w:pPr>
        <w:spacing w:after="0" w:line="196"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6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77"/>
        </w:trPr>
        <w:tc>
          <w:tcPr>
            <w:tcW w:w="6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23"/>
        </w:trPr>
        <w:tc>
          <w:tcPr>
            <w:tcW w:w="6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J.P. Morgan Securities LLC</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7,757,142</w:t>
            </w:r>
          </w:p>
        </w:tc>
        <w:tc>
          <w:tcPr>
            <w:tcW w:w="0" w:type="dxa"/>
            <w:vAlign w:val="bottom"/>
          </w:tcPr>
          <w:p>
            <w:pPr>
              <w:spacing w:after="0"/>
              <w:rPr>
                <w:sz w:val="1"/>
                <w:szCs w:val="1"/>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Needham &amp; Company, LLC</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1,114,286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Oppenheimer &amp; Co. Inc.</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1,114,286</w:t>
            </w:r>
          </w:p>
        </w:tc>
        <w:tc>
          <w:tcPr>
            <w:tcW w:w="0" w:type="dxa"/>
            <w:vAlign w:val="bottom"/>
          </w:tcPr>
          <w:p>
            <w:pPr>
              <w:spacing w:after="0"/>
              <w:rPr>
                <w:sz w:val="1"/>
                <w:szCs w:val="1"/>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Raymond James &amp; Associates, Inc.</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1,114,286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TD Securities (USA) LLC</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1,114,286</w:t>
            </w:r>
          </w:p>
        </w:tc>
        <w:tc>
          <w:tcPr>
            <w:tcW w:w="0" w:type="dxa"/>
            <w:vAlign w:val="bottom"/>
          </w:tcPr>
          <w:p>
            <w:pPr>
              <w:spacing w:after="0"/>
              <w:rPr>
                <w:sz w:val="1"/>
                <w:szCs w:val="1"/>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Truist Securities, Inc</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1,114,286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Fifth Third Securities, Inc.</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417,857</w:t>
            </w:r>
          </w:p>
        </w:tc>
        <w:tc>
          <w:tcPr>
            <w:tcW w:w="0" w:type="dxa"/>
            <w:vAlign w:val="bottom"/>
          </w:tcPr>
          <w:p>
            <w:pPr>
              <w:spacing w:after="0"/>
              <w:rPr>
                <w:sz w:val="1"/>
                <w:szCs w:val="1"/>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MUFG Securities Americas Inc.</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417,857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Santander US Capital Markets LLC</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417,857</w:t>
            </w:r>
          </w:p>
        </w:tc>
        <w:tc>
          <w:tcPr>
            <w:tcW w:w="0" w:type="dxa"/>
            <w:vAlign w:val="bottom"/>
          </w:tcPr>
          <w:p>
            <w:pPr>
              <w:spacing w:after="0"/>
              <w:rPr>
                <w:sz w:val="1"/>
                <w:szCs w:val="1"/>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UniCredit Capital Markets LLC</w:t>
            </w:r>
          </w:p>
        </w:tc>
        <w:tc>
          <w:tcPr>
            <w:tcW w:w="2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417,857</w:t>
            </w: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15,000,000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00" w:right="1380" w:firstLine="334"/>
        <w:spacing w:after="0" w:line="259" w:lineRule="auto"/>
        <w:rPr>
          <w:sz w:val="20"/>
          <w:szCs w:val="20"/>
          <w:color w:val="auto"/>
        </w:rPr>
      </w:pPr>
      <w:r>
        <w:rPr>
          <w:rFonts w:ascii="Times New Roman" w:cs="Times New Roman" w:eastAsia="Times New Roman" w:hAnsi="Times New Roman"/>
          <w:sz w:val="17"/>
          <w:szCs w:val="17"/>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69" w:lineRule="exact"/>
        <w:rPr>
          <w:sz w:val="20"/>
          <w:szCs w:val="20"/>
          <w:color w:val="auto"/>
        </w:rPr>
      </w:pPr>
    </w:p>
    <w:p>
      <w:pPr>
        <w:ind w:left="1200" w:right="1320" w:firstLine="334"/>
        <w:spacing w:after="0" w:line="250" w:lineRule="auto"/>
        <w:rPr>
          <w:sz w:val="20"/>
          <w:szCs w:val="20"/>
          <w:color w:val="auto"/>
        </w:rPr>
      </w:pPr>
      <w:r>
        <w:rPr>
          <w:rFonts w:ascii="Times New Roman" w:cs="Times New Roman" w:eastAsia="Times New Roman" w:hAnsi="Times New Roman"/>
          <w:sz w:val="17"/>
          <w:szCs w:val="17"/>
          <w:color w:val="auto"/>
        </w:rPr>
        <w:t>The underwriters propose to offer the common shares directly to the public at the initial public offering price set forth on the cover page of this prospectus supplement and to certain dealers at that price less a concession not in excess of $1.05 per share. Any such dealers may resell shares to certain other brokers or dealers at a discount of up to $1.05 per share from the initial public offering price. After the initial offering of the shares to the public, if all of the shares are not sold at the initial public offering price, the underwriters may change the offering price and the other selling terms. Sales of any shares made outside of the United States may be made by affiliates of the underwriters.</w:t>
      </w:r>
    </w:p>
    <w:p>
      <w:pPr>
        <w:spacing w:after="0" w:line="78" w:lineRule="exact"/>
        <w:rPr>
          <w:sz w:val="20"/>
          <w:szCs w:val="20"/>
          <w:color w:val="auto"/>
        </w:rPr>
      </w:pPr>
    </w:p>
    <w:p>
      <w:pPr>
        <w:ind w:left="1200" w:right="1280" w:firstLine="334"/>
        <w:spacing w:after="0" w:line="250" w:lineRule="auto"/>
        <w:rPr>
          <w:sz w:val="20"/>
          <w:szCs w:val="20"/>
          <w:color w:val="auto"/>
        </w:rPr>
      </w:pPr>
      <w:r>
        <w:rPr>
          <w:rFonts w:ascii="Times New Roman" w:cs="Times New Roman" w:eastAsia="Times New Roman" w:hAnsi="Times New Roman"/>
          <w:sz w:val="17"/>
          <w:szCs w:val="17"/>
          <w:color w:val="auto"/>
        </w:rPr>
        <w:t>The underwriters have an option to purchase up to 2,250,000 additional shares of common stock from us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78" w:lineRule="exact"/>
        <w:rPr>
          <w:sz w:val="20"/>
          <w:szCs w:val="20"/>
          <w:color w:val="auto"/>
        </w:rPr>
      </w:pPr>
    </w:p>
    <w:p>
      <w:pPr>
        <w:ind w:left="1200" w:right="1300" w:firstLine="334"/>
        <w:spacing w:after="0" w:line="254" w:lineRule="auto"/>
        <w:rPr>
          <w:sz w:val="20"/>
          <w:szCs w:val="20"/>
          <w:color w:val="auto"/>
        </w:rPr>
      </w:pPr>
      <w:r>
        <w:rPr>
          <w:rFonts w:ascii="Times New Roman" w:cs="Times New Roman" w:eastAsia="Times New Roman" w:hAnsi="Times New Roman"/>
          <w:sz w:val="17"/>
          <w:szCs w:val="17"/>
          <w:color w:val="auto"/>
        </w:rPr>
        <w:t>The underwriting fee is equal to the public offering price per share of common stock less the amount paid by the underwriters to us per share. The underwriting fee is $1.75 per share of common stock. The following table shows the per share and total underwriting discounts and commissions to be paid to the underwriters assuming both no exercise and full exercise of the underwriters’ option to purchase additional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9"/>
              </w:rPr>
              <w:t>Without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9"/>
              </w:rPr>
              <w:t>With full</w:t>
            </w:r>
          </w:p>
        </w:tc>
        <w:tc>
          <w:tcPr>
            <w:tcW w:w="1200" w:type="dxa"/>
            <w:vAlign w:val="bottom"/>
          </w:tcPr>
          <w:p>
            <w:pPr>
              <w:spacing w:after="0"/>
              <w:rPr>
                <w:sz w:val="12"/>
                <w:szCs w:val="12"/>
                <w:color w:val="auto"/>
              </w:rPr>
            </w:pPr>
          </w:p>
        </w:tc>
      </w:tr>
      <w:tr>
        <w:trPr>
          <w:trHeight w:val="138"/>
        </w:trPr>
        <w:tc>
          <w:tcPr>
            <w:tcW w:w="1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1"/>
              <w:spacing w:after="0" w:line="138" w:lineRule="exact"/>
              <w:rPr>
                <w:sz w:val="20"/>
                <w:szCs w:val="20"/>
                <w:color w:val="auto"/>
              </w:rPr>
            </w:pPr>
            <w:r>
              <w:rPr>
                <w:rFonts w:ascii="Times New Roman" w:cs="Times New Roman" w:eastAsia="Times New Roman" w:hAnsi="Times New Roman"/>
                <w:sz w:val="13"/>
                <w:szCs w:val="13"/>
                <w:b w:val="1"/>
                <w:bCs w:val="1"/>
                <w:color w:val="auto"/>
              </w:rPr>
              <w:t>option to</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131"/>
              <w:spacing w:after="0" w:line="138" w:lineRule="exact"/>
              <w:rPr>
                <w:sz w:val="20"/>
                <w:szCs w:val="20"/>
                <w:color w:val="auto"/>
              </w:rPr>
            </w:pPr>
            <w:r>
              <w:rPr>
                <w:rFonts w:ascii="Times New Roman" w:cs="Times New Roman" w:eastAsia="Times New Roman" w:hAnsi="Times New Roman"/>
                <w:sz w:val="13"/>
                <w:szCs w:val="13"/>
                <w:b w:val="1"/>
                <w:bCs w:val="1"/>
                <w:color w:val="auto"/>
              </w:rPr>
              <w:t>option to</w:t>
            </w:r>
          </w:p>
        </w:tc>
        <w:tc>
          <w:tcPr>
            <w:tcW w:w="1200" w:type="dxa"/>
            <w:vAlign w:val="bottom"/>
          </w:tcPr>
          <w:p>
            <w:pPr>
              <w:spacing w:after="0"/>
              <w:rPr>
                <w:sz w:val="11"/>
                <w:szCs w:val="11"/>
                <w:color w:val="auto"/>
              </w:rPr>
            </w:pPr>
          </w:p>
        </w:tc>
      </w:tr>
      <w:tr>
        <w:trPr>
          <w:trHeight w:val="138"/>
        </w:trPr>
        <w:tc>
          <w:tcPr>
            <w:tcW w:w="1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11"/>
              <w:spacing w:after="0" w:line="138" w:lineRule="exact"/>
              <w:rPr>
                <w:sz w:val="20"/>
                <w:szCs w:val="20"/>
                <w:color w:val="auto"/>
              </w:rPr>
            </w:pPr>
            <w:r>
              <w:rPr>
                <w:rFonts w:ascii="Times New Roman" w:cs="Times New Roman" w:eastAsia="Times New Roman" w:hAnsi="Times New Roman"/>
                <w:sz w:val="13"/>
                <w:szCs w:val="13"/>
                <w:b w:val="1"/>
                <w:bCs w:val="1"/>
                <w:color w:val="auto"/>
              </w:rPr>
              <w:t>purchase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131"/>
              <w:spacing w:after="0" w:line="138" w:lineRule="exact"/>
              <w:rPr>
                <w:sz w:val="20"/>
                <w:szCs w:val="20"/>
                <w:color w:val="auto"/>
              </w:rPr>
            </w:pPr>
            <w:r>
              <w:rPr>
                <w:rFonts w:ascii="Times New Roman" w:cs="Times New Roman" w:eastAsia="Times New Roman" w:hAnsi="Times New Roman"/>
                <w:sz w:val="13"/>
                <w:szCs w:val="13"/>
                <w:b w:val="1"/>
                <w:bCs w:val="1"/>
                <w:color w:val="auto"/>
                <w:w w:val="98"/>
              </w:rPr>
              <w:t>purchase</w:t>
            </w:r>
          </w:p>
        </w:tc>
        <w:tc>
          <w:tcPr>
            <w:tcW w:w="1200" w:type="dxa"/>
            <w:vAlign w:val="bottom"/>
          </w:tcPr>
          <w:p>
            <w:pPr>
              <w:spacing w:after="0"/>
              <w:rPr>
                <w:sz w:val="11"/>
                <w:szCs w:val="11"/>
                <w:color w:val="auto"/>
              </w:rPr>
            </w:pPr>
          </w:p>
        </w:tc>
      </w:tr>
      <w:tr>
        <w:trPr>
          <w:trHeight w:val="138"/>
        </w:trPr>
        <w:tc>
          <w:tcPr>
            <w:tcW w:w="1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1"/>
              <w:spacing w:after="0" w:line="13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131"/>
              <w:spacing w:after="0" w:line="13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0" w:type="dxa"/>
            <w:vAlign w:val="bottom"/>
          </w:tcPr>
          <w:p>
            <w:pPr>
              <w:spacing w:after="0"/>
              <w:rPr>
                <w:sz w:val="11"/>
                <w:szCs w:val="11"/>
                <w:color w:val="auto"/>
              </w:rPr>
            </w:pPr>
          </w:p>
        </w:tc>
      </w:tr>
      <w:tr>
        <w:trPr>
          <w:trHeight w:val="138"/>
        </w:trPr>
        <w:tc>
          <w:tcPr>
            <w:tcW w:w="1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11"/>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151"/>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0" w:type="dxa"/>
            <w:vAlign w:val="bottom"/>
          </w:tcPr>
          <w:p>
            <w:pPr>
              <w:spacing w:after="0"/>
              <w:rPr>
                <w:sz w:val="11"/>
                <w:szCs w:val="11"/>
                <w:color w:val="auto"/>
              </w:rPr>
            </w:pPr>
          </w:p>
        </w:tc>
      </w:tr>
      <w:tr>
        <w:trPr>
          <w:trHeight w:val="177"/>
        </w:trPr>
        <w:tc>
          <w:tcPr>
            <w:tcW w:w="1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9"/>
              </w:rPr>
              <w:t>exercise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200" w:type="dxa"/>
            <w:vAlign w:val="bottom"/>
          </w:tcPr>
          <w:p>
            <w:pPr>
              <w:spacing w:after="0"/>
              <w:rPr>
                <w:sz w:val="15"/>
                <w:szCs w:val="15"/>
                <w:color w:val="auto"/>
              </w:rPr>
            </w:pPr>
          </w:p>
        </w:tc>
      </w:tr>
      <w:tr>
        <w:trPr>
          <w:trHeight w:val="23"/>
        </w:trPr>
        <w:tc>
          <w:tcPr>
            <w:tcW w:w="1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1"/>
        </w:trPr>
        <w:tc>
          <w:tcPr>
            <w:tcW w:w="120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3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200" w:type="dxa"/>
            <w:vAlign w:val="bottom"/>
          </w:tcPr>
          <w:p>
            <w:pPr>
              <w:spacing w:after="0"/>
              <w:rPr>
                <w:sz w:val="20"/>
                <w:szCs w:val="20"/>
                <w:color w:val="auto"/>
              </w:rPr>
            </w:pPr>
          </w:p>
        </w:tc>
      </w:tr>
      <w:tr>
        <w:trPr>
          <w:trHeight w:val="217"/>
        </w:trPr>
        <w:tc>
          <w:tcPr>
            <w:tcW w:w="12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4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$26,250,000.00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$30,187,500.00</w:t>
            </w:r>
          </w:p>
        </w:tc>
        <w:tc>
          <w:tcPr>
            <w:tcW w:w="1200" w:type="dxa"/>
            <w:vAlign w:val="bottom"/>
          </w:tcPr>
          <w:p>
            <w:pPr>
              <w:spacing w:after="0"/>
              <w:rPr>
                <w:sz w:val="18"/>
                <w:szCs w:val="18"/>
                <w:color w:val="auto"/>
              </w:rPr>
            </w:pPr>
          </w:p>
        </w:tc>
      </w:tr>
      <w:tr>
        <w:trPr>
          <w:trHeight w:val="447"/>
        </w:trPr>
        <w:tc>
          <w:tcPr>
            <w:tcW w:w="1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0" w:type="dxa"/>
            <w:vAlign w:val="bottom"/>
            <w:gridSpan w:val="2"/>
          </w:tcPr>
          <w:p>
            <w:pPr>
              <w:jc w:val="right"/>
              <w:ind w:right="1540"/>
              <w:spacing w:after="0"/>
              <w:rPr>
                <w:sz w:val="20"/>
                <w:szCs w:val="20"/>
                <w:color w:val="auto"/>
              </w:rPr>
            </w:pPr>
            <w:r>
              <w:rPr>
                <w:rFonts w:ascii="Times New Roman" w:cs="Times New Roman" w:eastAsia="Times New Roman" w:hAnsi="Times New Roman"/>
                <w:sz w:val="17"/>
                <w:szCs w:val="17"/>
                <w:color w:val="auto"/>
              </w:rPr>
              <w:t>S-16</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1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bl>
    <w:p>
      <w:pPr>
        <w:sectPr>
          <w:pgSz w:w="11900" w:h="16838" w:orient="portrait"/>
          <w:cols w:equalWidth="0" w:num="1">
            <w:col w:w="10220"/>
          </w:cols>
          <w:pgMar w:left="840" w:top="253" w:right="839"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759" w:firstLine="334"/>
        <w:spacing w:after="0" w:line="254" w:lineRule="auto"/>
        <w:rPr>
          <w:sz w:val="20"/>
          <w:szCs w:val="20"/>
          <w:color w:val="auto"/>
        </w:rPr>
      </w:pPr>
      <w:r>
        <w:rPr>
          <w:rFonts w:ascii="Times New Roman" w:cs="Times New Roman" w:eastAsia="Times New Roman" w:hAnsi="Times New Roman"/>
          <w:sz w:val="17"/>
          <w:szCs w:val="17"/>
          <w:color w:val="auto"/>
        </w:rPr>
        <w:t>We estimate that the total expenses of this offering, including registration, filing and listing fees, printing fees and legal and accounting expenses, but excluding the underwriting discounts and commissions, will be approximately $2,050,000. We have agreed to reimburse the underwriters for expenses of up to $30,000 relating to the clearance of this offering with FINRA.</w:t>
      </w:r>
    </w:p>
    <w:p>
      <w:pPr>
        <w:spacing w:after="0" w:line="74" w:lineRule="exact"/>
        <w:rPr>
          <w:sz w:val="20"/>
          <w:szCs w:val="20"/>
          <w:color w:val="auto"/>
        </w:rPr>
      </w:pPr>
    </w:p>
    <w:p>
      <w:pPr>
        <w:ind w:left="600" w:right="719" w:firstLine="334"/>
        <w:spacing w:after="0" w:line="252"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76" w:lineRule="exact"/>
        <w:rPr>
          <w:sz w:val="20"/>
          <w:szCs w:val="20"/>
          <w:color w:val="auto"/>
        </w:rPr>
      </w:pPr>
    </w:p>
    <w:p>
      <w:pPr>
        <w:ind w:left="600" w:right="619" w:firstLine="334"/>
        <w:spacing w:after="0" w:line="263" w:lineRule="auto"/>
        <w:rPr>
          <w:sz w:val="20"/>
          <w:szCs w:val="20"/>
          <w:color w:val="auto"/>
        </w:rPr>
      </w:pPr>
      <w:r>
        <w:rPr>
          <w:rFonts w:ascii="Times New Roman" w:cs="Times New Roman" w:eastAsia="Times New Roman" w:hAnsi="Times New Roman"/>
          <w:sz w:val="16"/>
          <w:szCs w:val="16"/>
          <w:color w:val="auto"/>
        </w:rPr>
        <w:t>We have agreed that we will not, during the period commencing on the date of this prospectus supplement and ending 60 days after the date of this prospectus supplement (the “company lock up restricted period”):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of 1933, as amended (the “Securities Act”), relating to any shares of common stock or any shares of the Class B common stock (together with the common stock, the “common equity”), or any securities convertible into or exercisable or exchangeable for common equity, or publicly disclose the intention to undertake any of the foregoing, or (ii) enter into any swap or other agreement that transfers, in whole or in part, any of the economic consequences of ownership of the common equity or any such other securities, whether any such transaction described in clause (i) or (ii) above is to be settled by delivery of common equity or such other securities, in cash or otherwise, without the prior written consent of the representative, other than (A) the shares to be sold in this offering; (B) any shares of our common stock issued upon the exercise of options granted under existing employee stock plans described in this prospectus supplement and the accompanying prospectus, and the grants of options, restricted stock, restricted stock units and phantom stock units under such existing employee stock plans described in the this prospectus supplement and the accompanying prospectus; (C) the issuance by us of any shares of common stock upon the exercise of an option or warrant or the conversion of a security outstanding on the date of this prospectus supplement, including any of the 2030 Notes; (D) the filing of a registration statement with the SEC on Form S-8 in connection with our employee benefit plans and arrangements; and (E) the issuance of securities in full or partial consideration for any future acquisitions or strategic investments in an aggregate amount not to exceed 5.0% of our outstanding shares of common stock as of the date of this prospectus supplement, provided that the recipients of such shares shall enter into “lock-up” agreements.</w:t>
      </w:r>
    </w:p>
    <w:p>
      <w:pPr>
        <w:spacing w:after="0" w:line="75" w:lineRule="exact"/>
        <w:rPr>
          <w:sz w:val="20"/>
          <w:szCs w:val="20"/>
          <w:color w:val="auto"/>
        </w:rPr>
      </w:pPr>
    </w:p>
    <w:p>
      <w:pPr>
        <w:ind w:left="600" w:right="659" w:firstLine="334"/>
        <w:spacing w:after="0" w:line="266" w:lineRule="auto"/>
        <w:rPr>
          <w:sz w:val="20"/>
          <w:szCs w:val="20"/>
          <w:color w:val="auto"/>
        </w:rPr>
      </w:pPr>
      <w:r>
        <w:rPr>
          <w:rFonts w:ascii="Times New Roman" w:cs="Times New Roman" w:eastAsia="Times New Roman" w:hAnsi="Times New Roman"/>
          <w:sz w:val="16"/>
          <w:szCs w:val="16"/>
          <w:color w:val="auto"/>
        </w:rPr>
        <w:t>Each of our executive officers and directors has agreed that, without the prior written consent of the representative, such person will not, and will not publicly disclose an intention to, during the period commencing on the date of this offering and ending 60 days after the date of this prospectus supplement (the “individual lock up restricted period”): (1) offer, pledge, sell, contract to sell, sell any option or contract to purchase, purchase any option or contract to sell, grant any option, right or warrant to purchase, lend, or otherwise transfer or dispose of, directly or indirectly, any shares of common stock or Class B common stock beneficially owned by such person or any other securities convertible into or exercisable or exchangeable for common stock or (2) enter into any hedging, swap or other arrangement that transfers to another, in whole or in part, any of the economic consequences of ownership of the common stock or Class B common stock, whether any such transaction described in clause (1) or (2) above is to be settled by delivery of common stock or such other securities, in cash or otherwise.</w:t>
      </w:r>
    </w:p>
    <w:p>
      <w:pPr>
        <w:spacing w:after="0" w:line="65" w:lineRule="exact"/>
        <w:rPr>
          <w:sz w:val="20"/>
          <w:szCs w:val="20"/>
          <w:color w:val="auto"/>
        </w:rPr>
      </w:pPr>
    </w:p>
    <w:p>
      <w:pPr>
        <w:ind w:left="600" w:right="679" w:firstLine="334"/>
        <w:spacing w:after="0" w:line="265" w:lineRule="auto"/>
        <w:rPr>
          <w:sz w:val="20"/>
          <w:szCs w:val="20"/>
          <w:color w:val="auto"/>
        </w:rPr>
      </w:pPr>
      <w:r>
        <w:rPr>
          <w:rFonts w:ascii="Times New Roman" w:cs="Times New Roman" w:eastAsia="Times New Roman" w:hAnsi="Times New Roman"/>
          <w:sz w:val="16"/>
          <w:szCs w:val="16"/>
          <w:color w:val="auto"/>
        </w:rPr>
        <w:t>The restrictions described in the immediately preceding paragraph and contained in the lock-up agreements between the underwriters and our directors and officers do not apply, subject in certain cases to various conditions, to certain transactions, including (i) transfers of lock-up securities as a bona fide gift or gifts, (ii) dispositions to any trust for the direct or indirect benefit of the lock-up party and/or a member of the immediate family of the lock-up party; (iii) transfers upon death by will or intestacy to a member of the immediate family of the lock-up party;</w:t>
      </w:r>
    </w:p>
    <w:p>
      <w:pPr>
        <w:spacing w:after="0" w:line="3" w:lineRule="exact"/>
        <w:rPr>
          <w:sz w:val="20"/>
          <w:szCs w:val="20"/>
          <w:color w:val="auto"/>
        </w:rPr>
      </w:pPr>
    </w:p>
    <w:p>
      <w:pPr>
        <w:ind w:left="600" w:right="619" w:hanging="4"/>
        <w:spacing w:after="0" w:line="246" w:lineRule="auto"/>
        <w:tabs>
          <w:tab w:leader="none" w:pos="88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any contract, instruction or plan (a “10b5-1 Plan”) that satisfies all of the requirements of Rule 10b5-1(c)(1)(i)(B) of the Exchange Act, provided that no sales of the lock-up party’s lock-up securities shall be made pursuant to such 10b5-1 Plan during the individual lock-up restricted period; (v) sales made pursuant to a</w:t>
      </w:r>
    </w:p>
    <w:p>
      <w:pPr>
        <w:ind w:left="600" w:right="639"/>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10b5-1 Plan, provided that such 10b5-1 Plan was established prior to the date of such lock-up agreement, disclosed to the representative in writing and that any required report under the Exchange Act filed in connection with such sale shall indicate that the sale was pursuant to such 10b5-1 Plan; (vi) dispositions from any grantor retained annuity trust established for the direct benefit of the lock-up party and/or a member of the immediate family of the lock-up party pursuant to the terms of such trust; (vii) distributions to any partnership, corporation or limited liability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company controlled by the lock-up party or by a member of the immediate family of the lock-up party; (viii) the</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exercise of stock options or vesting of restricted stock awards pursuant to our stock incentive plans described in this</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prospectus supplement; provided that the underlying shares of common stock shall continue to be subject to the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restrictions set forth in the lock-up agreement; and (ix) transfers to us, or the withholding of lock-up securities by us,</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connection with a vesting event of our securities granted pursuant to a stock incentive plan or stock purchase plan</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described in this prospectus supplement, to cover tax withholding obligations or the payment of taxes due in</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connection with the vesting event, provided that if the lock-up party is required to file a report under Section 16(a)</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of the Exchange Act during the individual lock-up restricted period, the lock-up party shall clearly indicate in the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footnotes thereto that the purpose of such transfer is to cover such tax withholding obligations or the payment of</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taxes due in connection with the vesting event, and provided, further that no other public announcement shall be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made voluntarily in connection with such transfer;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gift, disposition, transfer or</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distribution pursuant to clauses (i), (ii), (iii), (vi) or (vii), (a) such transfer shall not involve a disposition for value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and (b) each donee, transferee or distributee shall agree to be bound in writing for the benefit of the representative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by the same restrictions with respect to such lock-up securities as the lock-up party is bound;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case of clauses (i), (ii), (iv), (v), (vi) and (vii), no party, including the lock-up party, shall (a) be required to, nor</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shall it voluntarily, file a report under the Exchange Act in connection with such disposition, transfer or other action</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so permitted (other than (A) a filing on Form 5 made after the expiration of the individual lock up restricted period,</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provided, however, if the individual lock up restricted period has not terminated by the 45th day after our fiscal year</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end, then a filing on Form 5 shall be permitted on such 45th day, or if such 45th day is a weekend or legal holiday,</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then on the next business day, (B) a filing in the case of a transfer pursuant to clause (i) required pursuant to</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Section 16(a) of the Exchange Act, provided, however, any such filing shall state that such transfer is a bona fide gift</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and that such shares remain subject to the restrictions set forth herein and (C) a public announcement or filing under</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Exchange Act, if any, to the extent required by or on behalf of the lock-up party or us regarding the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establishment of a 10b5-1 Plan; provided such announcement or filing shall include a statement to the effect that no</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transfer of lock-up securities may be made under such plan during the individual lock up restricted period) or</w:t>
      </w:r>
    </w:p>
    <w:p>
      <w:pPr>
        <w:spacing w:after="0" w:line="5" w:lineRule="exact"/>
        <w:rPr>
          <w:sz w:val="20"/>
          <w:szCs w:val="20"/>
          <w:color w:val="auto"/>
        </w:rPr>
      </w:pPr>
    </w:p>
    <w:p>
      <w:pPr>
        <w:ind w:left="600" w:right="619" w:hanging="4"/>
        <w:spacing w:after="0" w:line="252" w:lineRule="auto"/>
        <w:tabs>
          <w:tab w:leader="none" w:pos="8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voluntarily effect any public filing, report or announcement of such disposition, transfer or other action so permitted.</w:t>
      </w:r>
    </w:p>
    <w:p>
      <w:pPr>
        <w:spacing w:after="0" w:line="74"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Subject to certain limitations, we have agreed to indemnify the underwriters against certain liabilities, including liabilities under the Securities Act.</w:t>
      </w:r>
    </w:p>
    <w:p>
      <w:pPr>
        <w:spacing w:after="0" w:line="1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Our common stock is listed/quoted on NYSE under the symbol “VSH”.</w:t>
      </w:r>
    </w:p>
    <w:p>
      <w:pPr>
        <w:spacing w:after="0" w:line="105" w:lineRule="exact"/>
        <w:rPr>
          <w:sz w:val="20"/>
          <w:szCs w:val="20"/>
          <w:color w:val="auto"/>
        </w:rPr>
      </w:pPr>
    </w:p>
    <w:p>
      <w:pPr>
        <w:ind w:left="600" w:right="659" w:firstLine="334"/>
        <w:spacing w:after="0" w:line="247" w:lineRule="auto"/>
        <w:rPr>
          <w:sz w:val="20"/>
          <w:szCs w:val="20"/>
          <w:color w:val="auto"/>
        </w:rPr>
      </w:pPr>
      <w:r>
        <w:rPr>
          <w:rFonts w:ascii="Times New Roman" w:cs="Times New Roman" w:eastAsia="Times New Roman" w:hAnsi="Times New Roman"/>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88" w:lineRule="exact"/>
        <w:rPr>
          <w:sz w:val="20"/>
          <w:szCs w:val="20"/>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719" w:firstLine="334"/>
        <w:spacing w:after="0" w:line="252" w:lineRule="auto"/>
        <w:rPr>
          <w:sz w:val="20"/>
          <w:szCs w:val="20"/>
          <w:color w:val="auto"/>
        </w:rPr>
      </w:pPr>
      <w:r>
        <w:rPr>
          <w:rFonts w:ascii="Times New Roman" w:cs="Times New Roman" w:eastAsia="Times New Roman" w:hAnsi="Times New Roman"/>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76" w:lineRule="exact"/>
        <w:rPr>
          <w:sz w:val="20"/>
          <w:szCs w:val="20"/>
          <w:color w:val="auto"/>
        </w:rPr>
      </w:pPr>
    </w:p>
    <w:p>
      <w:pPr>
        <w:ind w:left="600" w:right="659" w:firstLine="334"/>
        <w:spacing w:after="0" w:line="248"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84" w:lineRule="exact"/>
        <w:rPr>
          <w:sz w:val="20"/>
          <w:szCs w:val="20"/>
          <w:color w:val="auto"/>
        </w:rPr>
      </w:pPr>
    </w:p>
    <w:p>
      <w:pPr>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78" w:lineRule="exact"/>
        <w:rPr>
          <w:sz w:val="20"/>
          <w:szCs w:val="20"/>
          <w:color w:val="auto"/>
        </w:rPr>
      </w:pPr>
    </w:p>
    <w:p>
      <w:pPr>
        <w:jc w:val="both"/>
        <w:ind w:left="600" w:right="719" w:firstLine="334"/>
        <w:spacing w:after="0" w:line="259" w:lineRule="auto"/>
        <w:rPr>
          <w:sz w:val="20"/>
          <w:szCs w:val="20"/>
          <w:color w:val="auto"/>
        </w:rPr>
      </w:pPr>
      <w:r>
        <w:rPr>
          <w:rFonts w:ascii="Times New Roman" w:cs="Times New Roman" w:eastAsia="Times New Roman" w:hAnsi="Times New Roman"/>
          <w:sz w:val="17"/>
          <w:szCs w:val="17"/>
          <w:color w:val="auto"/>
        </w:rPr>
        <w:t>Certain of the underwriters or their affiliates are lenders and/or agents under our Credit Facility. Accordingly, such underwriters and/or their respective affiliates may receive a portion of the net proceeds from this offering.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109" w:lineRule="exact"/>
        <w:rPr>
          <w:sz w:val="20"/>
          <w:szCs w:val="20"/>
          <w:color w:val="auto"/>
        </w:rPr>
      </w:pPr>
    </w:p>
    <w:p>
      <w:pPr>
        <w:ind w:left="600" w:right="679" w:firstLine="334"/>
        <w:spacing w:after="0" w:line="265" w:lineRule="auto"/>
        <w:rPr>
          <w:sz w:val="20"/>
          <w:szCs w:val="20"/>
          <w:color w:val="auto"/>
        </w:rPr>
      </w:pPr>
      <w:r>
        <w:rPr>
          <w:rFonts w:ascii="Times New Roman" w:cs="Times New Roman" w:eastAsia="Times New Roman" w:hAnsi="Times New Roman"/>
          <w:sz w:val="16"/>
          <w:szCs w:val="16"/>
          <w:color w:val="auto"/>
        </w:rPr>
        <w:t>Because affiliates of J.P. Morgan Securities LLC, TD Securities (USA) LLC, MUFG Securities Americas Inc., Santander US Capital Markets LLC and UniCredit Capital Markets LLC are lenders and/or agents under the Credit Facility, if we determine to repay all or a portion of our indebtedness under this facility with the proceeds of this offering, then these affiliates may receive 5% or more of the net proceeds of this offering. Therefore, J.P. Morgan Securities LLC, TD Securities (USA) LLC, MUFG Securities Americas Inc., Santander US Capital Markets LLC and UniCredit Capital Markets LLC may be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neither J.P. Morgan Securities LLC, TD Securities (USA) LLC, MUFG Securities Americas Inc., Santander US Capital Markets LLC nor UniCredit Capital Markets LLC will confirm any sales to any account over which they exercise discretionary authority without the specific written approval of the transaction from the account holder.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the European Economic Area</w:t>
      </w:r>
    </w:p>
    <w:p>
      <w:pPr>
        <w:spacing w:after="0" w:line="109" w:lineRule="exact"/>
        <w:rPr>
          <w:sz w:val="20"/>
          <w:szCs w:val="20"/>
          <w:color w:val="auto"/>
        </w:rPr>
      </w:pPr>
    </w:p>
    <w:p>
      <w:pPr>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Member State”), an offer to the public of any securities may not be made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w:t>
      </w:r>
    </w:p>
    <w:p>
      <w:pPr>
        <w:spacing w:after="0" w:line="78" w:lineRule="exact"/>
        <w:rPr>
          <w:sz w:val="20"/>
          <w:szCs w:val="20"/>
          <w:color w:val="auto"/>
        </w:rPr>
      </w:pPr>
    </w:p>
    <w:p>
      <w:pPr>
        <w:ind w:left="1260" w:hanging="330"/>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under the Prospectus Regulation;</w:t>
      </w:r>
    </w:p>
    <w:p>
      <w:pPr>
        <w:spacing w:after="0" w:line="105" w:lineRule="exact"/>
        <w:rPr>
          <w:rFonts w:ascii="Times New Roman" w:cs="Times New Roman" w:eastAsia="Times New Roman" w:hAnsi="Times New Roman"/>
          <w:sz w:val="17"/>
          <w:szCs w:val="17"/>
          <w:color w:val="auto"/>
        </w:rPr>
      </w:pPr>
    </w:p>
    <w:p>
      <w:pPr>
        <w:ind w:left="1260" w:right="639" w:hanging="330"/>
        <w:spacing w:after="0" w:line="272" w:lineRule="auto"/>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Prospectus Regulation), subject to obtaining the prior consent of representative for any such offer; or</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6"/>
          <w:szCs w:val="16"/>
          <w:color w:val="auto"/>
        </w:rPr>
        <w:t>provided that no such offer of securities shall result in a requirement for the company or any of the underwriters to publish a prospectus pursuant to Article 3 of the Prospectus Regulation or a supplemental prospectus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w:t>
      </w:r>
    </w:p>
    <w:p>
      <w:pPr>
        <w:spacing w:after="0" w:line="60" w:lineRule="exact"/>
        <w:rPr>
          <w:sz w:val="20"/>
          <w:szCs w:val="20"/>
          <w:color w:val="auto"/>
        </w:rPr>
      </w:pPr>
    </w:p>
    <w:p>
      <w:pPr>
        <w:ind w:left="600" w:right="659" w:firstLine="334"/>
        <w:spacing w:after="0" w:line="250" w:lineRule="auto"/>
        <w:rPr>
          <w:sz w:val="20"/>
          <w:szCs w:val="20"/>
          <w:color w:val="auto"/>
        </w:rPr>
      </w:pPr>
      <w:r>
        <w:rPr>
          <w:rFonts w:ascii="Times New Roman" w:cs="Times New Roman" w:eastAsia="Times New Roman" w:hAnsi="Times New Roman"/>
          <w:sz w:val="17"/>
          <w:szCs w:val="17"/>
          <w:color w:val="auto"/>
        </w:rPr>
        <w:t>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w:t>
      </w:r>
    </w:p>
    <w:p>
      <w:pPr>
        <w:spacing w:after="0" w:line="78" w:lineRule="exact"/>
        <w:rPr>
          <w:sz w:val="20"/>
          <w:szCs w:val="20"/>
          <w:color w:val="auto"/>
        </w:rPr>
      </w:pPr>
    </w:p>
    <w:p>
      <w:pPr>
        <w:jc w:val="both"/>
        <w:ind w:left="600" w:right="639" w:firstLine="334"/>
        <w:spacing w:after="0" w:line="275"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shares of common stock in any Relevant Member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the United Kingdom</w:t>
      </w:r>
    </w:p>
    <w:p>
      <w:pPr>
        <w:spacing w:after="0" w:line="109" w:lineRule="exact"/>
        <w:rPr>
          <w:sz w:val="20"/>
          <w:szCs w:val="20"/>
          <w:color w:val="auto"/>
        </w:rPr>
      </w:pPr>
    </w:p>
    <w:p>
      <w:pPr>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This prospectus supplement has been prepared on the basis that the offering of the shares of common stock falls within one of the exceptions specified in Part 1 of Schedule 1 of the Public Offers and Admissions to Trading Regulations 2024 (the “POATRs”) and, accordingly, there will not be a prospectus prepared or published for the purposes of the POATRs. This prospectus does not constitute a prospectus for the purposes of the POATRs.</w:t>
      </w:r>
    </w:p>
    <w:p>
      <w:pPr>
        <w:spacing w:after="0" w:line="74" w:lineRule="exact"/>
        <w:rPr>
          <w:sz w:val="20"/>
          <w:szCs w:val="20"/>
          <w:color w:val="auto"/>
        </w:rPr>
      </w:pPr>
    </w:p>
    <w:p>
      <w:pPr>
        <w:ind w:left="600" w:right="639" w:firstLine="334"/>
        <w:spacing w:after="0" w:line="259" w:lineRule="auto"/>
        <w:rPr>
          <w:sz w:val="20"/>
          <w:szCs w:val="20"/>
          <w:color w:val="auto"/>
        </w:rPr>
      </w:pPr>
      <w:r>
        <w:rPr>
          <w:rFonts w:ascii="Times New Roman" w:cs="Times New Roman" w:eastAsia="Times New Roman" w:hAnsi="Times New Roman"/>
          <w:sz w:val="17"/>
          <w:szCs w:val="17"/>
          <w:color w:val="auto"/>
        </w:rPr>
        <w:t>Each underwriter has represented and agreed that it has not made and will not make an offer of shares of common stock which are the subject of this prospectus to the public in the United Kingdom, except that it may make an offer:</w:t>
      </w:r>
    </w:p>
    <w:p>
      <w:pPr>
        <w:spacing w:after="0" w:line="69" w:lineRule="exact"/>
        <w:rPr>
          <w:sz w:val="20"/>
          <w:szCs w:val="20"/>
          <w:color w:val="auto"/>
        </w:rPr>
      </w:pPr>
    </w:p>
    <w:p>
      <w:pPr>
        <w:ind w:left="1260" w:right="659" w:hanging="330"/>
        <w:spacing w:after="0" w:line="272"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to any legal entity which is a qualified investor as defined in paragraph 15 of Schedule 1 to the POATRs;</w:t>
      </w:r>
    </w:p>
    <w:p>
      <w:pPr>
        <w:spacing w:after="0" w:line="57" w:lineRule="exact"/>
        <w:rPr>
          <w:rFonts w:ascii="Times New Roman" w:cs="Times New Roman" w:eastAsia="Times New Roman" w:hAnsi="Times New Roman"/>
          <w:sz w:val="17"/>
          <w:szCs w:val="17"/>
          <w:color w:val="auto"/>
        </w:rPr>
      </w:pPr>
    </w:p>
    <w:p>
      <w:pPr>
        <w:ind w:left="1260" w:right="799" w:hanging="330"/>
        <w:spacing w:after="0" w:line="259"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to fewer than 150 persons (other than qualified investors as defined in paragraph 15 of Schedule 1 to the POATRs) in the United Kingdom subject to obtaining the prior consent of the relevant underwriters nominated by us for any such offer; or</w:t>
      </w:r>
    </w:p>
    <w:p>
      <w:pPr>
        <w:spacing w:after="0" w:line="68"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in any other circumstances falling within Part 1 of Schedule 1 to the POATRs.</w:t>
      </w:r>
    </w:p>
    <w:p>
      <w:pPr>
        <w:spacing w:after="0" w:line="105" w:lineRule="exact"/>
        <w:rPr>
          <w:sz w:val="20"/>
          <w:szCs w:val="20"/>
          <w:color w:val="auto"/>
        </w:rPr>
      </w:pPr>
    </w:p>
    <w:p>
      <w:pPr>
        <w:ind w:left="600" w:right="599" w:firstLine="334"/>
        <w:spacing w:after="0" w:line="254"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of securities”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Hong Kong</w:t>
      </w:r>
    </w:p>
    <w:p>
      <w:pPr>
        <w:spacing w:after="0" w:line="109" w:lineRule="exact"/>
        <w:rPr>
          <w:sz w:val="20"/>
          <w:szCs w:val="20"/>
          <w:color w:val="auto"/>
        </w:rPr>
      </w:pPr>
    </w:p>
    <w:p>
      <w:pPr>
        <w:ind w:left="600" w:right="619" w:firstLine="334"/>
        <w:spacing w:after="0" w:line="248" w:lineRule="auto"/>
        <w:rPr>
          <w:sz w:val="20"/>
          <w:szCs w:val="20"/>
          <w:color w:val="auto"/>
        </w:rPr>
      </w:pPr>
      <w:r>
        <w:rPr>
          <w:rFonts w:ascii="Times New Roman" w:cs="Times New Roman" w:eastAsia="Times New Roman" w:hAnsi="Times New Roman"/>
          <w:sz w:val="17"/>
          <w:szCs w:val="17"/>
          <w:color w:val="auto"/>
        </w:rPr>
        <w:t>The shares of common stock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Singapore</w:t>
      </w:r>
    </w:p>
    <w:p>
      <w:pPr>
        <w:spacing w:after="0" w:line="109" w:lineRule="exact"/>
        <w:rPr>
          <w:sz w:val="20"/>
          <w:szCs w:val="20"/>
          <w:color w:val="auto"/>
        </w:rPr>
      </w:pPr>
    </w:p>
    <w:p>
      <w:pPr>
        <w:ind w:left="600" w:right="699" w:firstLine="334"/>
        <w:spacing w:after="0" w:line="304" w:lineRule="auto"/>
        <w:rPr>
          <w:sz w:val="20"/>
          <w:szCs w:val="20"/>
          <w:color w:val="auto"/>
        </w:rPr>
      </w:pPr>
      <w:r>
        <w:rPr>
          <w:rFonts w:ascii="Times New Roman" w:cs="Times New Roman" w:eastAsia="Times New Roman" w:hAnsi="Times New Roman"/>
          <w:sz w:val="16"/>
          <w:szCs w:val="16"/>
          <w:color w:val="auto"/>
        </w:rPr>
        <w:t>This prospectus supplement has not been registered as a prospectus with the Monetary Authority of Singapore. Accordingly, no shares of common stock (1) have been or will be offered or sold and no shares of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699"/>
        <w:spacing w:after="0" w:line="250" w:lineRule="auto"/>
        <w:rPr>
          <w:sz w:val="20"/>
          <w:szCs w:val="20"/>
          <w:color w:val="auto"/>
        </w:rPr>
      </w:pPr>
      <w:r>
        <w:rPr>
          <w:rFonts w:ascii="Times New Roman" w:cs="Times New Roman" w:eastAsia="Times New Roman" w:hAnsi="Times New Roman"/>
          <w:sz w:val="17"/>
          <w:szCs w:val="17"/>
          <w:color w:val="auto"/>
        </w:rPr>
        <w:t>have been or will be made the subject of an invitation for subscription or purchase, and no prospectus or any other document or material in connection with the offer or sale, or invitation for subscription or purchase, of the shares of common stock, has been or will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Japan</w:t>
      </w:r>
    </w:p>
    <w:p>
      <w:pPr>
        <w:spacing w:after="0" w:line="109" w:lineRule="exact"/>
        <w:rPr>
          <w:sz w:val="20"/>
          <w:szCs w:val="20"/>
          <w:color w:val="auto"/>
        </w:rPr>
      </w:pPr>
    </w:p>
    <w:p>
      <w:pPr>
        <w:ind w:left="600" w:right="719" w:firstLine="334"/>
        <w:spacing w:after="0" w:line="249" w:lineRule="auto"/>
        <w:rPr>
          <w:sz w:val="20"/>
          <w:szCs w:val="20"/>
          <w:color w:val="auto"/>
        </w:rPr>
      </w:pPr>
      <w:r>
        <w:rPr>
          <w:rFonts w:ascii="Times New Roman" w:cs="Times New Roman" w:eastAsia="Times New Roman" w:hAnsi="Times New Roman"/>
          <w:sz w:val="17"/>
          <w:szCs w:val="17"/>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Switzerland</w:t>
      </w:r>
    </w:p>
    <w:p>
      <w:pPr>
        <w:spacing w:after="0" w:line="109" w:lineRule="exact"/>
        <w:rPr>
          <w:sz w:val="20"/>
          <w:szCs w:val="20"/>
          <w:color w:val="auto"/>
        </w:rPr>
      </w:pPr>
    </w:p>
    <w:p>
      <w:pPr>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The shares of common stock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78" w:lineRule="exact"/>
        <w:rPr>
          <w:sz w:val="20"/>
          <w:szCs w:val="20"/>
          <w:color w:val="auto"/>
        </w:rPr>
      </w:pPr>
    </w:p>
    <w:p>
      <w:pPr>
        <w:ind w:left="600" w:right="719" w:firstLine="334"/>
        <w:spacing w:after="0" w:line="251" w:lineRule="auto"/>
        <w:rPr>
          <w:sz w:val="20"/>
          <w:szCs w:val="20"/>
          <w:color w:val="auto"/>
        </w:rPr>
      </w:pPr>
      <w:r>
        <w:rPr>
          <w:rFonts w:ascii="Times New Roman" w:cs="Times New Roman" w:eastAsia="Times New Roman" w:hAnsi="Times New Roman"/>
          <w:sz w:val="17"/>
          <w:szCs w:val="17"/>
          <w:color w:val="auto"/>
        </w:rPr>
        <w:t>Neither this prospectus supplement nor any other offering or marketing material relating to the offering, us or the shares of common stock has been or will be filed with or approved by any Swiss regulatory authority. In particular, this prospectus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shares of common stock.</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Canada</w:t>
      </w:r>
    </w:p>
    <w:p>
      <w:pPr>
        <w:spacing w:after="0" w:line="109" w:lineRule="exact"/>
        <w:rPr>
          <w:sz w:val="20"/>
          <w:szCs w:val="20"/>
          <w:color w:val="auto"/>
        </w:rPr>
      </w:pPr>
    </w:p>
    <w:p>
      <w:pPr>
        <w:ind w:left="600" w:right="799" w:firstLine="334"/>
        <w:spacing w:after="0" w:line="251" w:lineRule="auto"/>
        <w:rPr>
          <w:sz w:val="20"/>
          <w:szCs w:val="20"/>
          <w:color w:val="auto"/>
        </w:rPr>
      </w:pPr>
      <w:r>
        <w:rPr>
          <w:rFonts w:ascii="Times New Roman" w:cs="Times New Roman" w:eastAsia="Times New Roman" w:hAnsi="Times New Roman"/>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76" w:lineRule="exact"/>
        <w:rPr>
          <w:sz w:val="20"/>
          <w:szCs w:val="20"/>
          <w:color w:val="auto"/>
        </w:rPr>
      </w:pPr>
    </w:p>
    <w:p>
      <w:pPr>
        <w:ind w:left="600" w:right="839" w:firstLine="334"/>
        <w:spacing w:after="0" w:line="254"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w:t>
      </w:r>
    </w:p>
    <w:p>
      <w:pPr>
        <w:spacing w:after="0" w:line="74" w:lineRule="exact"/>
        <w:rPr>
          <w:sz w:val="20"/>
          <w:szCs w:val="20"/>
          <w:color w:val="auto"/>
        </w:rPr>
      </w:pPr>
    </w:p>
    <w:p>
      <w:pPr>
        <w:jc w:val="both"/>
        <w:ind w:left="600" w:right="679" w:firstLine="334"/>
        <w:spacing w:after="0" w:line="272" w:lineRule="auto"/>
        <w:rPr>
          <w:sz w:val="20"/>
          <w:szCs w:val="20"/>
          <w:color w:val="auto"/>
        </w:rPr>
      </w:pPr>
      <w:r>
        <w:rPr>
          <w:rFonts w:ascii="Times New Roman" w:cs="Times New Roman" w:eastAsia="Times New Roman" w:hAnsi="Times New Roman"/>
          <w:sz w:val="17"/>
          <w:szCs w:val="17"/>
          <w:color w:val="auto"/>
        </w:rPr>
        <w:t>The purchaser should refer to any applicable provisions of the securities legislation of the purchaser’s province or territory for particulars of these rights or consult with a legal advisor.</w:t>
      </w:r>
    </w:p>
    <w:p>
      <w:pPr>
        <w:spacing w:after="0" w:line="58" w:lineRule="exact"/>
        <w:rPr>
          <w:sz w:val="20"/>
          <w:szCs w:val="20"/>
          <w:color w:val="auto"/>
        </w:rPr>
      </w:pPr>
    </w:p>
    <w:p>
      <w:pPr>
        <w:jc w:val="both"/>
        <w:ind w:left="600" w:right="699" w:firstLine="334"/>
        <w:spacing w:after="0" w:line="259"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Australia</w:t>
      </w:r>
    </w:p>
    <w:p>
      <w:pPr>
        <w:spacing w:after="0" w:line="109" w:lineRule="exact"/>
        <w:rPr>
          <w:sz w:val="20"/>
          <w:szCs w:val="20"/>
          <w:color w:val="auto"/>
        </w:rPr>
      </w:pPr>
    </w:p>
    <w:p>
      <w:pPr>
        <w:ind w:left="600" w:right="719" w:firstLine="334"/>
        <w:spacing w:after="0" w:line="282" w:lineRule="auto"/>
        <w:rPr>
          <w:sz w:val="20"/>
          <w:szCs w:val="20"/>
          <w:color w:val="auto"/>
        </w:rPr>
      </w:pPr>
      <w:r>
        <w:rPr>
          <w:rFonts w:ascii="Times New Roman" w:cs="Times New Roman" w:eastAsia="Times New Roman" w:hAnsi="Times New Roman"/>
          <w:sz w:val="16"/>
          <w:szCs w:val="16"/>
          <w:color w:val="auto"/>
        </w:rPr>
        <w:t>No placement document, prospectus, product disclosure statement, or other disclosure document has been lodged with the Australian Securities and Investments Commission (the “ASIC”) in relation to this offering. This prospectus supplement does not constitute a prospectus, product disclosure statement, or other disclosure document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679"/>
        <w:spacing w:after="0" w:line="250" w:lineRule="auto"/>
        <w:rPr>
          <w:sz w:val="20"/>
          <w:szCs w:val="20"/>
          <w:color w:val="auto"/>
        </w:rPr>
      </w:pPr>
      <w:r>
        <w:rPr>
          <w:rFonts w:ascii="Times New Roman" w:cs="Times New Roman" w:eastAsia="Times New Roman" w:hAnsi="Times New Roman"/>
          <w:sz w:val="17"/>
          <w:szCs w:val="17"/>
          <w:color w:val="auto"/>
        </w:rPr>
        <w:t>under the Corporations Act 2001 (the “Corporations Act”), and does not purport to include the information required for a prospectus, product disclosure statement, or other disclosure document under the Corporations Act. Any offer in Australia of our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w:t>
      </w:r>
    </w:p>
    <w:p>
      <w:pPr>
        <w:spacing w:after="0" w:line="78" w:lineRule="exact"/>
        <w:rPr>
          <w:sz w:val="20"/>
          <w:szCs w:val="20"/>
          <w:color w:val="auto"/>
        </w:rPr>
      </w:pPr>
    </w:p>
    <w:p>
      <w:pPr>
        <w:ind w:left="600" w:right="759" w:firstLine="334"/>
        <w:spacing w:after="0" w:line="251" w:lineRule="auto"/>
        <w:rPr>
          <w:sz w:val="20"/>
          <w:szCs w:val="20"/>
          <w:color w:val="auto"/>
        </w:rPr>
      </w:pPr>
      <w:r>
        <w:rPr>
          <w:rFonts w:ascii="Times New Roman" w:cs="Times New Roman" w:eastAsia="Times New Roman" w:hAnsi="Times New Roman"/>
          <w:sz w:val="17"/>
          <w:szCs w:val="17"/>
          <w:color w:val="auto"/>
        </w:rPr>
        <w:t>The shares of common stock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76" w:lineRule="exact"/>
        <w:rPr>
          <w:sz w:val="20"/>
          <w:szCs w:val="20"/>
          <w:color w:val="auto"/>
        </w:rPr>
      </w:pPr>
    </w:p>
    <w:p>
      <w:pPr>
        <w:ind w:left="600" w:right="819" w:firstLine="334"/>
        <w:spacing w:after="0" w:line="252" w:lineRule="auto"/>
        <w:rPr>
          <w:sz w:val="20"/>
          <w:szCs w:val="20"/>
          <w:color w:val="auto"/>
        </w:rPr>
      </w:pPr>
      <w:r>
        <w:rPr>
          <w:rFonts w:ascii="Times New Roman" w:cs="Times New Roman" w:eastAsia="Times New Roman" w:hAnsi="Times New Roman"/>
          <w:sz w:val="17"/>
          <w:szCs w:val="17"/>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Brazil</w:t>
      </w:r>
    </w:p>
    <w:p>
      <w:pPr>
        <w:spacing w:after="0" w:line="1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offer and sale of the shares of common stock have not been and will not be registered with the</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Brazilian Securities Commission (Comissão de Valores Mobiliários, or “CVM”) and, therefore, will not be carried</w:t>
      </w:r>
    </w:p>
    <w:p>
      <w:pPr>
        <w:spacing w:after="0" w:line="5" w:lineRule="exact"/>
        <w:rPr>
          <w:sz w:val="20"/>
          <w:szCs w:val="20"/>
          <w:color w:val="auto"/>
        </w:rPr>
      </w:pPr>
    </w:p>
    <w:p>
      <w:pPr>
        <w:ind w:left="600" w:right="899"/>
        <w:spacing w:after="0" w:line="247" w:lineRule="auto"/>
        <w:rPr>
          <w:sz w:val="20"/>
          <w:szCs w:val="20"/>
          <w:color w:val="auto"/>
        </w:rPr>
      </w:pPr>
      <w:r>
        <w:rPr>
          <w:rFonts w:ascii="Times New Roman" w:cs="Times New Roman" w:eastAsia="Times New Roman" w:hAnsi="Times New Roman"/>
          <w:sz w:val="17"/>
          <w:szCs w:val="17"/>
          <w:color w:val="auto"/>
        </w:rPr>
        <w:t>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the People’s Republic of China</w:t>
      </w:r>
    </w:p>
    <w:p>
      <w:pPr>
        <w:spacing w:after="0" w:line="109" w:lineRule="exact"/>
        <w:rPr>
          <w:sz w:val="20"/>
          <w:szCs w:val="20"/>
          <w:color w:val="auto"/>
        </w:rPr>
      </w:pPr>
    </w:p>
    <w:p>
      <w:pPr>
        <w:ind w:left="600" w:right="619" w:firstLine="334"/>
        <w:spacing w:after="0" w:line="251" w:lineRule="auto"/>
        <w:rPr>
          <w:sz w:val="20"/>
          <w:szCs w:val="20"/>
          <w:color w:val="auto"/>
        </w:rPr>
      </w:pPr>
      <w:r>
        <w:rPr>
          <w:rFonts w:ascii="Times New Roman" w:cs="Times New Roman" w:eastAsia="Times New Roman" w:hAnsi="Times New Roman"/>
          <w:sz w:val="17"/>
          <w:szCs w:val="17"/>
          <w:color w:val="auto"/>
        </w:rPr>
        <w:t>This prospectus supplement will not be circulated or distributed in the PRC and the shares of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the Dubai International Financial Centre (“DIFC”)</w:t>
      </w:r>
    </w:p>
    <w:p>
      <w:pPr>
        <w:spacing w:after="0" w:line="109" w:lineRule="exact"/>
        <w:rPr>
          <w:sz w:val="20"/>
          <w:szCs w:val="20"/>
          <w:color w:val="auto"/>
        </w:rPr>
      </w:pPr>
    </w:p>
    <w:p>
      <w:pPr>
        <w:ind w:left="600" w:right="619" w:firstLine="334"/>
        <w:spacing w:after="0" w:line="249" w:lineRule="auto"/>
        <w:rPr>
          <w:sz w:val="20"/>
          <w:szCs w:val="20"/>
          <w:color w:val="auto"/>
        </w:rPr>
      </w:pPr>
      <w:r>
        <w:rPr>
          <w:rFonts w:ascii="Times New Roman" w:cs="Times New Roman" w:eastAsia="Times New Roman" w:hAnsi="Times New Roman"/>
          <w:sz w:val="17"/>
          <w:szCs w:val="17"/>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of common stock to which this prospectus supplement relates may be illiquid and/or subject to restrictions on their resale. Prospective purchasers of the securities should conduct their own due diligence on the securities. If you do not understand the contents of this prospectus, you should consult an authorized financial advisor.</w:t>
      </w:r>
    </w:p>
    <w:p>
      <w:pPr>
        <w:spacing w:after="0" w:line="2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Notice to prospective investors in Israel</w:t>
      </w:r>
    </w:p>
    <w:p>
      <w:pPr>
        <w:spacing w:after="0" w:line="109" w:lineRule="exact"/>
        <w:rPr>
          <w:sz w:val="20"/>
          <w:szCs w:val="20"/>
          <w:color w:val="auto"/>
        </w:rPr>
      </w:pPr>
    </w:p>
    <w:p>
      <w:pPr>
        <w:jc w:val="both"/>
        <w:ind w:left="600" w:right="719" w:firstLine="334"/>
        <w:spacing w:after="0" w:line="282" w:lineRule="auto"/>
        <w:rPr>
          <w:sz w:val="20"/>
          <w:szCs w:val="20"/>
          <w:color w:val="auto"/>
        </w:rPr>
      </w:pPr>
      <w:r>
        <w:rPr>
          <w:rFonts w:ascii="Times New Roman" w:cs="Times New Roman" w:eastAsia="Times New Roman" w:hAnsi="Times New Roman"/>
          <w:sz w:val="16"/>
          <w:szCs w:val="16"/>
          <w:color w:val="auto"/>
        </w:rPr>
        <w:t>The shares of common stock offered by this prospectus supplement have not been approved or disapproved by the Israel Securities Authority (the “ISA”), nor have such securities been registered for sale in Israel. The shares of common stock may not be offered or sold, directly or indirectly, to the public in Israel, absent the publication of a</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600" w:right="759"/>
        <w:spacing w:after="0" w:line="282" w:lineRule="auto"/>
        <w:rPr>
          <w:sz w:val="20"/>
          <w:szCs w:val="20"/>
          <w:color w:val="auto"/>
        </w:rPr>
      </w:pPr>
      <w:r>
        <w:rPr>
          <w:rFonts w:ascii="Times New Roman" w:cs="Times New Roman" w:eastAsia="Times New Roman" w:hAnsi="Times New Roman"/>
          <w:sz w:val="16"/>
          <w:szCs w:val="16"/>
          <w:color w:val="auto"/>
        </w:rPr>
        <w:t>prospectus that has been approved by the ISA. The ISA has not issued permits, approvals or licenses in connection with this offering or publishing this prospectus supplement, nor has it authenticated the details included herein, confirmed their reliability or completeness, or rendered an opinion as to the quality of the securities being offered.</w:t>
      </w:r>
    </w:p>
    <w:p>
      <w:pPr>
        <w:spacing w:after="0" w:line="53" w:lineRule="exact"/>
        <w:rPr>
          <w:sz w:val="20"/>
          <w:szCs w:val="20"/>
          <w:color w:val="auto"/>
        </w:rPr>
      </w:pPr>
    </w:p>
    <w:p>
      <w:pPr>
        <w:ind w:left="600" w:right="619" w:firstLine="334"/>
        <w:spacing w:after="0" w:line="265" w:lineRule="auto"/>
        <w:rPr>
          <w:sz w:val="20"/>
          <w:szCs w:val="20"/>
          <w:color w:val="auto"/>
        </w:rPr>
      </w:pPr>
      <w:r>
        <w:rPr>
          <w:rFonts w:ascii="Times New Roman" w:cs="Times New Roman" w:eastAsia="Times New Roman" w:hAnsi="Times New Roman"/>
          <w:sz w:val="16"/>
          <w:szCs w:val="16"/>
          <w:color w:val="auto"/>
        </w:rPr>
        <w:t>This prospectus supplement does not constitute a prospectus under the Israeli Securities Law, 5728-1968 (the “Israeli Securities Law”), and has not been filed with or approved by the ISA.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8" w:name="page29"/>
    <w:bookmarkEnd w:id="2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9" w:lineRule="exact"/>
        <w:rPr>
          <w:sz w:val="20"/>
          <w:szCs w:val="20"/>
          <w:color w:val="auto"/>
        </w:rPr>
      </w:pPr>
    </w:p>
    <w:p>
      <w:pPr>
        <w:jc w:val="both"/>
        <w:ind w:left="600" w:right="799" w:firstLine="334"/>
        <w:spacing w:after="0" w:line="259" w:lineRule="auto"/>
        <w:rPr>
          <w:sz w:val="20"/>
          <w:szCs w:val="20"/>
          <w:color w:val="auto"/>
        </w:rPr>
      </w:pPr>
      <w:r>
        <w:rPr>
          <w:rFonts w:ascii="Times New Roman" w:cs="Times New Roman" w:eastAsia="Times New Roman" w:hAnsi="Times New Roman"/>
          <w:sz w:val="17"/>
          <w:szCs w:val="17"/>
          <w:color w:val="auto"/>
        </w:rPr>
        <w:t>The legality of the common stock offered hereby will be passed upon for us by Troutman Pepper Locke LLP, Philadelphia, Pennsylvania. The underwriters have been represented by Davis Polk &amp; Wardwell LLP, New York, New York.</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9" w:lineRule="exact"/>
        <w:rPr>
          <w:sz w:val="20"/>
          <w:szCs w:val="20"/>
          <w:color w:val="auto"/>
        </w:rPr>
      </w:pPr>
    </w:p>
    <w:p>
      <w:pPr>
        <w:ind w:left="600" w:right="759" w:firstLine="334"/>
        <w:spacing w:after="0" w:line="251" w:lineRule="auto"/>
        <w:rPr>
          <w:sz w:val="20"/>
          <w:szCs w:val="20"/>
          <w:color w:val="auto"/>
        </w:rPr>
      </w:pPr>
      <w:r>
        <w:rPr>
          <w:rFonts w:ascii="Times New Roman" w:cs="Times New Roman" w:eastAsia="Times New Roman" w:hAnsi="Times New Roman"/>
          <w:sz w:val="17"/>
          <w:szCs w:val="17"/>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09" w:lineRule="exact"/>
        <w:rPr>
          <w:sz w:val="20"/>
          <w:szCs w:val="20"/>
          <w:color w:val="auto"/>
        </w:rPr>
      </w:pPr>
    </w:p>
    <w:p>
      <w:pPr>
        <w:ind w:left="600" w:right="639" w:firstLine="334"/>
        <w:spacing w:after="0" w:line="250" w:lineRule="auto"/>
        <w:rPr>
          <w:sz w:val="20"/>
          <w:szCs w:val="20"/>
          <w:color w:val="auto"/>
        </w:rPr>
      </w:pPr>
      <w:r>
        <w:rPr>
          <w:rFonts w:ascii="Times New Roman" w:cs="Times New Roman" w:eastAsia="Times New Roman" w:hAnsi="Times New Roman"/>
          <w:sz w:val="17"/>
          <w:szCs w:val="17"/>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 Because the prospectus supplement may not contain all the information that you may find important, you should review the full text of these documents.</w:t>
      </w:r>
    </w:p>
    <w:p>
      <w:pPr>
        <w:spacing w:after="0" w:line="78" w:lineRule="exact"/>
        <w:rPr>
          <w:sz w:val="20"/>
          <w:szCs w:val="20"/>
          <w:color w:val="auto"/>
        </w:rPr>
      </w:pPr>
    </w:p>
    <w:p>
      <w:pPr>
        <w:ind w:left="600" w:right="619" w:firstLine="334"/>
        <w:spacing w:after="0" w:line="251"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You can read our SEC filings, including the registration statement, over the Internet at the SEC’s website at www.sec.gov. We also maintain a website at www.vishay.com,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supplement and does not constitute part of this prospectus supplement.</w:t>
      </w:r>
    </w:p>
    <w:p>
      <w:pPr>
        <w:spacing w:after="0" w:line="76" w:lineRule="exact"/>
        <w:rPr>
          <w:sz w:val="20"/>
          <w:szCs w:val="20"/>
          <w:color w:val="auto"/>
        </w:rPr>
      </w:pPr>
    </w:p>
    <w:p>
      <w:pPr>
        <w:ind w:left="600" w:right="919" w:firstLine="334"/>
        <w:spacing w:after="0" w:line="272" w:lineRule="auto"/>
        <w:rPr>
          <w:sz w:val="20"/>
          <w:szCs w:val="20"/>
          <w:color w:val="auto"/>
        </w:rPr>
      </w:pPr>
      <w:r>
        <w:rPr>
          <w:rFonts w:ascii="Times New Roman" w:cs="Times New Roman" w:eastAsia="Times New Roman" w:hAnsi="Times New Roman"/>
          <w:sz w:val="17"/>
          <w:szCs w:val="17"/>
          <w:color w:val="auto"/>
        </w:rPr>
        <w:t>In addition, you may request copies of these filings at no cost, by writing or telephoning us at the following address or telephone number: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Office of the Corporate Secretary</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Vishay Intertechnology, Inc.</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63 Lancaster Avenue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Malvern, Pennsylvania 19355</w:t>
      </w:r>
    </w:p>
    <w:p>
      <w:pPr>
        <w:spacing w:after="0" w:line="5" w:lineRule="exact"/>
        <w:rPr>
          <w:sz w:val="20"/>
          <w:szCs w:val="20"/>
          <w:color w:val="auto"/>
        </w:rPr>
      </w:pPr>
    </w:p>
    <w:p>
      <w:pPr>
        <w:ind w:left="4340" w:right="3999" w:hanging="358"/>
        <w:spacing w:after="0" w:line="544" w:lineRule="auto"/>
        <w:tabs>
          <w:tab w:leader="none" w:pos="4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644-1300 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-43815</wp:posOffset>
            </wp:positionV>
            <wp:extent cx="649033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0" w:name="page31"/>
    <w:bookmarkEnd w:id="3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09" w:lineRule="exact"/>
        <w:rPr>
          <w:sz w:val="20"/>
          <w:szCs w:val="20"/>
          <w:color w:val="auto"/>
        </w:rPr>
      </w:pPr>
    </w:p>
    <w:p>
      <w:pPr>
        <w:ind w:left="600" w:right="739" w:firstLine="334"/>
        <w:spacing w:after="0" w:line="254"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 this prospectus supplement. This means that we can disclose important information to you by referring you to another document filed separately with the SEC. The information incorporated by reference is considered to be part of this prospectus supplement, except for any information that is superseded by information that is included directly in this prospectus supplement.</w:t>
      </w:r>
    </w:p>
    <w:p>
      <w:pPr>
        <w:spacing w:after="0" w:line="74" w:lineRule="exact"/>
        <w:rPr>
          <w:sz w:val="20"/>
          <w:szCs w:val="20"/>
          <w:color w:val="auto"/>
        </w:rPr>
      </w:pPr>
    </w:p>
    <w:p>
      <w:pPr>
        <w:ind w:left="600" w:right="739" w:firstLine="334"/>
        <w:spacing w:after="0" w:line="254" w:lineRule="auto"/>
        <w:rPr>
          <w:sz w:val="20"/>
          <w:szCs w:val="20"/>
          <w:color w:val="auto"/>
        </w:rPr>
      </w:pPr>
      <w:r>
        <w:rPr>
          <w:rFonts w:ascii="Times New Roman" w:cs="Times New Roman" w:eastAsia="Times New Roman" w:hAnsi="Times New Roman"/>
          <w:sz w:val="17"/>
          <w:szCs w:val="17"/>
          <w:color w:val="auto"/>
        </w:rPr>
        <w:t>We are incorporating by reference the filings listed below and any additional documents that we may file with the SEC pursuant to Section 13(a), 13(c), 14 or 15(d) of the Securities Exchange Act of 1934, as amended (the “Exchange Act”), on or after the date hereof and prior to the termination of any offering (other than documents or information deemed to have been furnished and not filed in accordance with SEC rules):</w:t>
      </w:r>
    </w:p>
    <w:p>
      <w:pPr>
        <w:spacing w:after="0" w:line="74" w:lineRule="exact"/>
        <w:rPr>
          <w:sz w:val="20"/>
          <w:szCs w:val="20"/>
          <w:color w:val="auto"/>
        </w:rPr>
      </w:pPr>
    </w:p>
    <w:p>
      <w:pPr>
        <w:ind w:left="1260" w:right="979" w:hanging="330"/>
        <w:spacing w:after="0" w:line="272" w:lineRule="auto"/>
        <w:tabs>
          <w:tab w:leader="none" w:pos="1260" w:val="left"/>
        </w:tabs>
        <w:numPr>
          <w:ilvl w:val="0"/>
          <w:numId w:val="18"/>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Annual Report on Form 10-K for the fiscal year ended December 31, 2025, filed with the SEC on </w:t>
      </w:r>
      <w:hyperlink r:id="rId44">
        <w:r>
          <w:rPr>
            <w:rFonts w:ascii="Times New Roman" w:cs="Times New Roman" w:eastAsia="Times New Roman" w:hAnsi="Times New Roman"/>
            <w:sz w:val="17"/>
            <w:szCs w:val="17"/>
            <w:u w:val="single" w:color="auto"/>
            <w:color w:val="0000EE"/>
          </w:rPr>
          <w:t>February 13, 2026</w:t>
        </w:r>
      </w:hyperlink>
      <w:r>
        <w:rPr>
          <w:rFonts w:ascii="Times New Roman" w:cs="Times New Roman" w:eastAsia="Times New Roman" w:hAnsi="Times New Roman"/>
          <w:sz w:val="17"/>
          <w:szCs w:val="17"/>
          <w:color w:val="000000"/>
        </w:rPr>
        <w:t>;</w:t>
      </w:r>
    </w:p>
    <w:p>
      <w:pPr>
        <w:spacing w:after="0" w:line="57" w:lineRule="exact"/>
        <w:rPr>
          <w:rFonts w:ascii="Times New Roman" w:cs="Times New Roman" w:eastAsia="Times New Roman" w:hAnsi="Times New Roman"/>
          <w:sz w:val="17"/>
          <w:szCs w:val="17"/>
          <w:color w:val="0000EE"/>
        </w:rPr>
      </w:pPr>
    </w:p>
    <w:p>
      <w:pPr>
        <w:ind w:left="1260" w:right="659" w:hanging="330"/>
        <w:spacing w:after="0" w:line="259" w:lineRule="auto"/>
        <w:tabs>
          <w:tab w:leader="none" w:pos="1260" w:val="left"/>
        </w:tabs>
        <w:numPr>
          <w:ilvl w:val="0"/>
          <w:numId w:val="18"/>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portions of our Definitive Proxy Statement on Schedule 14A, filed with the SEC on </w:t>
      </w:r>
      <w:hyperlink r:id="rId45">
        <w:r>
          <w:rPr>
            <w:rFonts w:ascii="Times New Roman" w:cs="Times New Roman" w:eastAsia="Times New Roman" w:hAnsi="Times New Roman"/>
            <w:sz w:val="17"/>
            <w:szCs w:val="17"/>
            <w:u w:val="single" w:color="auto"/>
            <w:color w:val="0000EE"/>
          </w:rPr>
          <w:t>April 8, 2026</w:t>
        </w:r>
      </w:hyperlink>
      <w:r>
        <w:rPr>
          <w:rFonts w:ascii="Times New Roman" w:cs="Times New Roman" w:eastAsia="Times New Roman" w:hAnsi="Times New Roman"/>
          <w:sz w:val="17"/>
          <w:szCs w:val="17"/>
          <w:color w:val="auto"/>
        </w:rPr>
        <w:t xml:space="preserve">, that were incorporated by reference into Part III of our Annual Report on Form 10-K for the fiscal year ended </w:t>
      </w:r>
      <w:hyperlink r:id="rId46">
        <w:r>
          <w:rPr>
            <w:rFonts w:ascii="Times New Roman" w:cs="Times New Roman" w:eastAsia="Times New Roman" w:hAnsi="Times New Roman"/>
            <w:sz w:val="17"/>
            <w:szCs w:val="17"/>
            <w:u w:val="single" w:color="auto"/>
            <w:color w:val="0000EE"/>
          </w:rPr>
          <w:t>December 31, 2025</w:t>
        </w:r>
      </w:hyperlink>
      <w:r>
        <w:rPr>
          <w:rFonts w:ascii="Times New Roman" w:cs="Times New Roman" w:eastAsia="Times New Roman" w:hAnsi="Times New Roman"/>
          <w:sz w:val="17"/>
          <w:szCs w:val="17"/>
          <w:color w:val="000000"/>
        </w:rPr>
        <w:t>;</w:t>
      </w:r>
    </w:p>
    <w:p>
      <w:pPr>
        <w:spacing w:after="0" w:line="68" w:lineRule="exact"/>
        <w:rPr>
          <w:rFonts w:ascii="Times New Roman" w:cs="Times New Roman" w:eastAsia="Times New Roman" w:hAnsi="Times New Roman"/>
          <w:sz w:val="17"/>
          <w:szCs w:val="17"/>
          <w:color w:val="0000EE"/>
        </w:rPr>
      </w:pPr>
    </w:p>
    <w:p>
      <w:pPr>
        <w:ind w:left="1260" w:right="859" w:hanging="330"/>
        <w:spacing w:after="0" w:line="272" w:lineRule="auto"/>
        <w:tabs>
          <w:tab w:leader="none" w:pos="1260" w:val="left"/>
        </w:tabs>
        <w:numPr>
          <w:ilvl w:val="0"/>
          <w:numId w:val="18"/>
        </w:numPr>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auto"/>
          </w:rPr>
          <w:t xml:space="preserve">our Quarterly Report on Form 10-Q for the quarter ended April 4, 2026, filed with the SEC on </w:t>
        </w:r>
        <w:r>
          <w:rPr>
            <w:rFonts w:ascii="Times New Roman" w:cs="Times New Roman" w:eastAsia="Times New Roman" w:hAnsi="Times New Roman"/>
            <w:sz w:val="17"/>
            <w:szCs w:val="17"/>
            <w:u w:val="single" w:color="auto"/>
            <w:color w:val="0000EE"/>
          </w:rPr>
          <w:t>May 13,</w:t>
        </w:r>
      </w:hyperlink>
      <w:r>
        <w:rPr>
          <w:rFonts w:ascii="Times New Roman" w:cs="Times New Roman" w:eastAsia="Times New Roman" w:hAnsi="Times New Roman"/>
          <w:sz w:val="17"/>
          <w:szCs w:val="17"/>
          <w:color w:val="auto"/>
        </w:rPr>
        <w:t xml:space="preserve"> </w:t>
      </w:r>
      <w:hyperlink r:id="rId47">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hyperlink>
    </w:p>
    <w:p>
      <w:pPr>
        <w:spacing w:after="0" w:line="57" w:lineRule="exact"/>
        <w:rPr>
          <w:rFonts w:ascii="Times New Roman" w:cs="Times New Roman" w:eastAsia="Times New Roman" w:hAnsi="Times New Roman"/>
          <w:sz w:val="17"/>
          <w:szCs w:val="17"/>
          <w:color w:val="0000EE"/>
        </w:rPr>
      </w:pPr>
    </w:p>
    <w:p>
      <w:pPr>
        <w:ind w:left="1260" w:right="639" w:hanging="330"/>
        <w:spacing w:after="0" w:line="259" w:lineRule="auto"/>
        <w:tabs>
          <w:tab w:leader="none" w:pos="1260" w:val="left"/>
        </w:tabs>
        <w:numPr>
          <w:ilvl w:val="0"/>
          <w:numId w:val="18"/>
        </w:numPr>
        <w:rPr>
          <w:rFonts w:ascii="Times New Roman" w:cs="Times New Roman" w:eastAsia="Times New Roman" w:hAnsi="Times New Roman"/>
          <w:sz w:val="17"/>
          <w:szCs w:val="17"/>
          <w:color w:val="0000EE"/>
        </w:rPr>
      </w:pPr>
      <w:hyperlink r:id="rId48">
        <w:r>
          <w:rPr>
            <w:rFonts w:ascii="Times New Roman" w:cs="Times New Roman" w:eastAsia="Times New Roman" w:hAnsi="Times New Roman"/>
            <w:sz w:val="17"/>
            <w:szCs w:val="17"/>
            <w:color w:val="auto"/>
          </w:rPr>
          <w:t xml:space="preserve">our Current Reports on Form 8-K, filed with the SEC on </w:t>
        </w:r>
        <w:r>
          <w:rPr>
            <w:rFonts w:ascii="Times New Roman" w:cs="Times New Roman" w:eastAsia="Times New Roman" w:hAnsi="Times New Roman"/>
            <w:sz w:val="17"/>
            <w:szCs w:val="17"/>
            <w:u w:val="single" w:color="auto"/>
            <w:color w:val="0000EE"/>
          </w:rPr>
          <w:t>January 9,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12,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25,</w:t>
        </w:r>
      </w:hyperlink>
      <w:r>
        <w:rPr>
          <w:rFonts w:ascii="Times New Roman" w:cs="Times New Roman" w:eastAsia="Times New Roman" w:hAnsi="Times New Roman"/>
          <w:sz w:val="17"/>
          <w:szCs w:val="17"/>
          <w:color w:val="auto"/>
        </w:rPr>
        <w:t xml:space="preserve"> </w:t>
      </w:r>
      <w:hyperlink r:id="rId48">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49">
        <w:r>
          <w:rPr>
            <w:rFonts w:ascii="Times New Roman" w:cs="Times New Roman" w:eastAsia="Times New Roman" w:hAnsi="Times New Roman"/>
            <w:sz w:val="17"/>
            <w:szCs w:val="17"/>
            <w:u w:val="single" w:color="auto"/>
            <w:color w:val="0000EE"/>
          </w:rPr>
          <w:t>May 18, 2026</w:t>
        </w:r>
      </w:hyperlink>
      <w:hyperlink r:id="rId48">
        <w:r>
          <w:rPr>
            <w:rFonts w:ascii="Times New Roman" w:cs="Times New Roman" w:eastAsia="Times New Roman" w:hAnsi="Times New Roman"/>
            <w:sz w:val="17"/>
            <w:szCs w:val="17"/>
            <w:color w:val="000000"/>
          </w:rPr>
          <w:t>, in each case only to the extent the information in such report is filed and not</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furnished; and</w:t>
      </w:r>
    </w:p>
    <w:p>
      <w:pPr>
        <w:spacing w:after="0" w:line="68" w:lineRule="exact"/>
        <w:rPr>
          <w:rFonts w:ascii="Times New Roman" w:cs="Times New Roman" w:eastAsia="Times New Roman" w:hAnsi="Times New Roman"/>
          <w:sz w:val="17"/>
          <w:szCs w:val="17"/>
          <w:color w:val="0000EE"/>
        </w:rPr>
      </w:pPr>
    </w:p>
    <w:p>
      <w:pPr>
        <w:ind w:left="1260" w:right="699" w:hanging="330"/>
        <w:spacing w:after="0" w:line="254" w:lineRule="auto"/>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registered under Section 12 of the Exchange Act of 1934 contained in </w:t>
      </w:r>
      <w:hyperlink r:id="rId50">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our Quarterly Report on Form 10-Q for the quarter ended </w:t>
      </w:r>
      <w:hyperlink r:id="rId51">
        <w:r>
          <w:rPr>
            <w:rFonts w:ascii="Times New Roman" w:cs="Times New Roman" w:eastAsia="Times New Roman" w:hAnsi="Times New Roman"/>
            <w:sz w:val="17"/>
            <w:szCs w:val="17"/>
            <w:u w:val="single" w:color="auto"/>
            <w:color w:val="0000EE"/>
          </w:rPr>
          <w:t>October 1, 2022</w:t>
        </w:r>
      </w:hyperlink>
      <w:r>
        <w:rPr>
          <w:rFonts w:ascii="Times New Roman" w:cs="Times New Roman" w:eastAsia="Times New Roman" w:hAnsi="Times New Roman"/>
          <w:sz w:val="17"/>
          <w:szCs w:val="17"/>
          <w:color w:val="auto"/>
        </w:rPr>
        <w:t>, filed with the SEC on November 2, 2022, including any amendment or report filed for the purpose of updating such description.</w:t>
      </w:r>
    </w:p>
    <w:p>
      <w:pPr>
        <w:spacing w:after="0" w:line="74" w:lineRule="exact"/>
        <w:rPr>
          <w:rFonts w:ascii="Times New Roman" w:cs="Times New Roman" w:eastAsia="Times New Roman" w:hAnsi="Times New Roman"/>
          <w:sz w:val="17"/>
          <w:szCs w:val="17"/>
          <w:color w:val="auto"/>
        </w:rPr>
      </w:pPr>
    </w:p>
    <w:p>
      <w:pPr>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In addition, we also incorporate by reference additional documents that we may file with the SEC under Sections 13(a), 13(c), 14 or 15(d) of the Securities Exchange Act of 1934 after the date of this prospectus supplement and until the termination of this offering. These documents include periodic reports, such as Annual Reports on Form 10-K, Quarterly Reports on Form 10-Q and Current Reports on Form 8-K, as well as proxy statements. Nothing in this prospectus supplement shall be deemed to incorporate information furnished but not filed with the SEC pursuant to Item 2.02 or Item 7.01 (or corresponding information furnished under Item 9.01 or included as an exhibit) of Form 8-K, unless such Form 8-K expressly provides to the contrary.</w:t>
      </w:r>
    </w:p>
    <w:p>
      <w:pPr>
        <w:spacing w:after="0" w:line="78" w:lineRule="exact"/>
        <w:rPr>
          <w:rFonts w:ascii="Times New Roman" w:cs="Times New Roman" w:eastAsia="Times New Roman" w:hAnsi="Times New Roman"/>
          <w:sz w:val="17"/>
          <w:szCs w:val="17"/>
          <w:color w:val="auto"/>
        </w:rPr>
      </w:pPr>
    </w:p>
    <w:p>
      <w:pPr>
        <w:ind w:left="600" w:right="759" w:firstLine="334"/>
        <w:spacing w:after="0" w:line="252" w:lineRule="auto"/>
        <w:rPr>
          <w:sz w:val="20"/>
          <w:szCs w:val="20"/>
          <w:color w:val="auto"/>
        </w:rPr>
      </w:pPr>
      <w:r>
        <w:rPr>
          <w:rFonts w:ascii="Times New Roman" w:cs="Times New Roman" w:eastAsia="Times New Roman" w:hAnsi="Times New Roman"/>
          <w:sz w:val="17"/>
          <w:szCs w:val="17"/>
          <w:color w:val="auto"/>
        </w:rPr>
        <w:t>We encourage you to read our periodic and current reports. We believe these reports provide additional information about our company which prudent investors find important. You may request a copy of these filings as well as any future filings incorporated by reference, at no cost, by writing or telephoning us at our principal executive offices. To obtain copies of these filings, see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on page S-</w:t>
      </w:r>
      <w:r>
        <w:rPr>
          <w:rFonts w:ascii="Times New Roman" w:cs="Times New Roman" w:eastAsia="Times New Roman" w:hAnsi="Times New Roman"/>
          <w:sz w:val="17"/>
          <w:szCs w:val="17"/>
          <w:u w:val="single" w:color="auto"/>
          <w:color w:val="0000EE"/>
        </w:rPr>
        <w:t>25</w:t>
      </w:r>
      <w:r>
        <w:rPr>
          <w:rFonts w:ascii="Times New Roman" w:cs="Times New Roman" w:eastAsia="Times New Roman" w:hAnsi="Times New Roman"/>
          <w:sz w:val="17"/>
          <w:szCs w:val="17"/>
          <w:color w:val="auto"/>
        </w:rPr>
        <w:t xml:space="preserve"> of this prospectus supplement.</w:t>
      </w:r>
    </w:p>
    <w:p>
      <w:pPr>
        <w:spacing w:after="0" w:line="76" w:lineRule="exact"/>
        <w:rPr>
          <w:rFonts w:ascii="Times New Roman" w:cs="Times New Roman" w:eastAsia="Times New Roman" w:hAnsi="Times New Roman"/>
          <w:sz w:val="17"/>
          <w:szCs w:val="17"/>
          <w:color w:val="auto"/>
        </w:rPr>
      </w:pPr>
    </w:p>
    <w:p>
      <w:pPr>
        <w:ind w:left="600" w:right="639" w:firstLine="334"/>
        <w:spacing w:after="0" w:line="252" w:lineRule="auto"/>
        <w:rPr>
          <w:sz w:val="20"/>
          <w:szCs w:val="20"/>
          <w:color w:val="auto"/>
        </w:rPr>
      </w:pPr>
      <w:r>
        <w:rPr>
          <w:rFonts w:ascii="Times New Roman" w:cs="Times New Roman" w:eastAsia="Times New Roman" w:hAnsi="Times New Roman"/>
          <w:sz w:val="17"/>
          <w:szCs w:val="17"/>
          <w:color w:val="auto"/>
        </w:rPr>
        <w:t>You should rely only on the information incorporated by reference or provided in this prospectus supplement or in the accompanying prospectus. We have not authorized anyone else to provide you with different information. We are not making an offer of these securities in any jurisdiction where the offer or sale is not permitted. You should not assume that the information in this prospectus supplement is accurate as of any date other than the date on the front of this prospectus supplement.</w:t>
      </w:r>
    </w:p>
    <w:p>
      <w:pPr>
        <w:spacing w:after="0" w:line="76" w:lineRule="exact"/>
        <w:rPr>
          <w:rFonts w:ascii="Times New Roman" w:cs="Times New Roman" w:eastAsia="Times New Roman" w:hAnsi="Times New Roman"/>
          <w:sz w:val="17"/>
          <w:szCs w:val="17"/>
          <w:color w:val="auto"/>
        </w:rPr>
      </w:pPr>
    </w:p>
    <w:p>
      <w:pPr>
        <w:jc w:val="both"/>
        <w:ind w:left="600" w:right="679" w:firstLine="334"/>
        <w:spacing w:after="0" w:line="254" w:lineRule="auto"/>
        <w:rPr>
          <w:sz w:val="20"/>
          <w:szCs w:val="20"/>
          <w:color w:val="auto"/>
        </w:rPr>
      </w:pPr>
      <w:r>
        <w:rPr>
          <w:rFonts w:ascii="Times New Roman" w:cs="Times New Roman" w:eastAsia="Times New Roman" w:hAnsi="Times New Roman"/>
          <w:sz w:val="17"/>
          <w:szCs w:val="17"/>
          <w:color w:val="auto"/>
        </w:rPr>
        <w:t>Any statement contained herein or in a document incorporated or deemed to be incorporated by reference into this prospectus supplement will be deemed to be modified or superseded for purposes of the document to the extent that a statement contained in this prospectus supplement or any other subsequently filed document that is deemed to be incorporated by reference into this prospectus supplement modifies or supersedes the statement.</w:t>
      </w:r>
    </w:p>
    <w:p>
      <w:pPr>
        <w:spacing w:after="0" w:line="174"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1" w:name="page32"/>
    <w:bookmarkEnd w:id="31"/>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167005</wp:posOffset>
            </wp:positionV>
            <wp:extent cx="898525" cy="755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898525" cy="75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Vishay Intertechnology, Inc.</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Preferred Stock</w:t>
      </w:r>
    </w:p>
    <w:p>
      <w:pPr>
        <w:jc w:val="center"/>
        <w:spacing w:after="0" w:line="235" w:lineRule="auto"/>
        <w:rPr>
          <w:sz w:val="20"/>
          <w:szCs w:val="20"/>
          <w:color w:val="auto"/>
        </w:rPr>
      </w:pPr>
      <w:r>
        <w:rPr>
          <w:rFonts w:ascii="Times New Roman" w:cs="Times New Roman" w:eastAsia="Times New Roman" w:hAnsi="Times New Roman"/>
          <w:sz w:val="20"/>
          <w:szCs w:val="20"/>
          <w:b w:val="1"/>
          <w:bCs w:val="1"/>
          <w:color w:val="auto"/>
        </w:rPr>
        <w:t>Debt Securities</w:t>
      </w:r>
    </w:p>
    <w:p>
      <w:pPr>
        <w:jc w:val="center"/>
        <w:spacing w:after="0" w:line="235"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spacing w:after="0" w:line="236" w:lineRule="auto"/>
        <w:rPr>
          <w:sz w:val="20"/>
          <w:szCs w:val="20"/>
          <w:color w:val="auto"/>
        </w:rPr>
      </w:pPr>
      <w:r>
        <w:rPr>
          <w:rFonts w:ascii="Times New Roman" w:cs="Times New Roman" w:eastAsia="Times New Roman" w:hAnsi="Times New Roman"/>
          <w:sz w:val="20"/>
          <w:szCs w:val="20"/>
          <w:b w:val="1"/>
          <w:bCs w:val="1"/>
          <w:color w:val="auto"/>
        </w:rPr>
        <w:t>Units</w:t>
      </w:r>
    </w:p>
    <w:p>
      <w:pPr>
        <w:jc w:val="center"/>
        <w:spacing w:after="0"/>
        <w:rPr>
          <w:sz w:val="20"/>
          <w:szCs w:val="20"/>
          <w:color w:val="auto"/>
        </w:rPr>
      </w:pPr>
      <w:r>
        <w:rPr>
          <w:rFonts w:ascii="Times New Roman" w:cs="Times New Roman" w:eastAsia="Times New Roman" w:hAnsi="Times New Roman"/>
          <w:sz w:val="20"/>
          <w:szCs w:val="20"/>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70485</wp:posOffset>
            </wp:positionV>
            <wp:extent cx="10179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26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We may, from time to time, offer and sell in one or more series or issuances:</w:t>
      </w:r>
    </w:p>
    <w:p>
      <w:pPr>
        <w:spacing w:after="0" w:line="80" w:lineRule="exact"/>
        <w:rPr>
          <w:sz w:val="20"/>
          <w:szCs w:val="20"/>
          <w:color w:val="auto"/>
        </w:rPr>
      </w:pPr>
    </w:p>
    <w:p>
      <w:pPr>
        <w:ind w:left="1360" w:hanging="330"/>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common stock;</w:t>
      </w:r>
    </w:p>
    <w:p>
      <w:pPr>
        <w:spacing w:after="0" w:line="67" w:lineRule="exact"/>
        <w:rPr>
          <w:rFonts w:ascii="Times New Roman" w:cs="Times New Roman" w:eastAsia="Times New Roman" w:hAnsi="Times New Roman"/>
          <w:sz w:val="17"/>
          <w:szCs w:val="17"/>
          <w:color w:val="auto"/>
        </w:rPr>
      </w:pPr>
    </w:p>
    <w:p>
      <w:pPr>
        <w:ind w:left="1360" w:hanging="330"/>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preferred stock;</w:t>
      </w:r>
    </w:p>
    <w:p>
      <w:pPr>
        <w:spacing w:after="0" w:line="67" w:lineRule="exact"/>
        <w:rPr>
          <w:rFonts w:ascii="Times New Roman" w:cs="Times New Roman" w:eastAsia="Times New Roman" w:hAnsi="Times New Roman"/>
          <w:sz w:val="17"/>
          <w:szCs w:val="17"/>
          <w:color w:val="auto"/>
        </w:rPr>
      </w:pPr>
    </w:p>
    <w:p>
      <w:pPr>
        <w:ind w:left="1360" w:hanging="330"/>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to purchase shares of our common stock, preferred stock and/or debt securities;</w:t>
      </w:r>
    </w:p>
    <w:p>
      <w:pPr>
        <w:spacing w:after="0" w:line="80" w:lineRule="exact"/>
        <w:rPr>
          <w:rFonts w:ascii="Times New Roman" w:cs="Times New Roman" w:eastAsia="Times New Roman" w:hAnsi="Times New Roman"/>
          <w:sz w:val="17"/>
          <w:szCs w:val="17"/>
          <w:color w:val="auto"/>
        </w:rPr>
      </w:pPr>
    </w:p>
    <w:p>
      <w:pPr>
        <w:ind w:left="1360" w:right="719" w:hanging="330"/>
        <w:spacing w:after="0" w:line="270" w:lineRule="auto"/>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securities consisting of debentures, notes or other evidences of indebtedness (which may be issued as convertible or exchangeable debt securities);</w:t>
      </w:r>
    </w:p>
    <w:p>
      <w:pPr>
        <w:spacing w:after="0" w:line="23" w:lineRule="exact"/>
        <w:rPr>
          <w:rFonts w:ascii="Times New Roman" w:cs="Times New Roman" w:eastAsia="Times New Roman" w:hAnsi="Times New Roman"/>
          <w:sz w:val="17"/>
          <w:szCs w:val="17"/>
          <w:color w:val="auto"/>
        </w:rPr>
      </w:pPr>
    </w:p>
    <w:p>
      <w:pPr>
        <w:ind w:left="1360" w:hanging="330"/>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consisting of a combination of the foregoing securities;</w:t>
      </w:r>
    </w:p>
    <w:p>
      <w:pPr>
        <w:spacing w:after="0" w:line="67" w:lineRule="exact"/>
        <w:rPr>
          <w:rFonts w:ascii="Times New Roman" w:cs="Times New Roman" w:eastAsia="Times New Roman" w:hAnsi="Times New Roman"/>
          <w:sz w:val="17"/>
          <w:szCs w:val="17"/>
          <w:color w:val="auto"/>
        </w:rPr>
      </w:pPr>
    </w:p>
    <w:p>
      <w:pPr>
        <w:ind w:left="1360" w:hanging="330"/>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rights to purchase common stock, preferred stock or debt securities; or</w:t>
      </w:r>
    </w:p>
    <w:p>
      <w:pPr>
        <w:spacing w:after="0" w:line="80" w:lineRule="exact"/>
        <w:rPr>
          <w:rFonts w:ascii="Times New Roman" w:cs="Times New Roman" w:eastAsia="Times New Roman" w:hAnsi="Times New Roman"/>
          <w:sz w:val="17"/>
          <w:szCs w:val="17"/>
          <w:color w:val="auto"/>
        </w:rPr>
      </w:pPr>
    </w:p>
    <w:p>
      <w:pPr>
        <w:ind w:left="1360" w:hanging="330"/>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these securities.</w:t>
      </w:r>
    </w:p>
    <w:p>
      <w:pPr>
        <w:spacing w:after="0" w:line="105" w:lineRule="exact"/>
        <w:rPr>
          <w:sz w:val="20"/>
          <w:szCs w:val="20"/>
          <w:color w:val="auto"/>
        </w:rPr>
      </w:pPr>
    </w:p>
    <w:p>
      <w:pPr>
        <w:jc w:val="both"/>
        <w:ind w:left="700" w:right="699" w:firstLine="334"/>
        <w:spacing w:after="0" w:line="248" w:lineRule="auto"/>
        <w:rPr>
          <w:sz w:val="20"/>
          <w:szCs w:val="20"/>
          <w:color w:val="auto"/>
        </w:rPr>
      </w:pPr>
      <w:r>
        <w:rPr>
          <w:rFonts w:ascii="Times New Roman" w:cs="Times New Roman" w:eastAsia="Times New Roman" w:hAnsi="Times New Roman"/>
          <w:sz w:val="17"/>
          <w:szCs w:val="17"/>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We may also authorize one or more free writing prospectuses to be provided to you in connection with any offering. Any prospectus supplement may add to, update or change information contained in this prospectus. If information in any prospectus supplement or any related free writing prospectus is inconsistent with the information in this prospectus, then the information in that prospectus supplement or any related free writing prospectus will apply and will supersede the information in this prospectus. In addition, we may supplement, update or change any information contained in this prospectus by incorporating information by reference. You should read this prospectus, any applicable prospectus supplement and any related free writing prospectus, together with any additional information described under the headings “</w:t>
      </w:r>
      <w:r>
        <w:rPr>
          <w:rFonts w:ascii="Times New Roman" w:cs="Times New Roman" w:eastAsia="Times New Roman" w:hAnsi="Times New Roman"/>
          <w:sz w:val="17"/>
          <w:szCs w:val="17"/>
          <w:i w:val="1"/>
          <w:iCs w:val="1"/>
          <w:color w:val="auto"/>
        </w:rPr>
        <w:t>Where You Can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carefully before you make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decision.</w:t>
      </w:r>
    </w:p>
    <w:p>
      <w:pPr>
        <w:spacing w:after="0" w:line="81" w:lineRule="exact"/>
        <w:rPr>
          <w:sz w:val="20"/>
          <w:szCs w:val="20"/>
          <w:color w:val="auto"/>
        </w:rPr>
      </w:pPr>
    </w:p>
    <w:p>
      <w:pPr>
        <w:jc w:val="both"/>
        <w:ind w:left="700" w:right="699" w:firstLine="334"/>
        <w:spacing w:after="0" w:line="249" w:lineRule="auto"/>
        <w:rPr>
          <w:sz w:val="20"/>
          <w:szCs w:val="20"/>
          <w:color w:val="auto"/>
        </w:rPr>
      </w:pPr>
      <w:r>
        <w:rPr>
          <w:rFonts w:ascii="Times New Roman" w:cs="Times New Roman" w:eastAsia="Times New Roman" w:hAnsi="Times New Roman"/>
          <w:sz w:val="17"/>
          <w:szCs w:val="17"/>
          <w:color w:val="auto"/>
        </w:rPr>
        <w:t>The securities offered pursuant to this prospectus may be sold at prevailing market prices or at prices different than prevailing market prices. We may offer or sell these securities to or through underwriters or dealers, directly to purchasers or through agents designated from time to time, or a combination of such methods, on a continuous or delayed basis. For additional information on the methods of sale, you should refer to the section titled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w:t>
      </w:r>
      <w:r>
        <w:rPr>
          <w:rFonts w:ascii="Times New Roman" w:cs="Times New Roman" w:eastAsia="Times New Roman" w:hAnsi="Times New Roman"/>
          <w:sz w:val="17"/>
          <w:szCs w:val="17"/>
          <w:color w:val="auto"/>
        </w:rPr>
        <w:t>” in this prospectus and the comparable section of any applicable prospectus supplement. If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underwriters are involved in the sale of the securities with respect to which this prospectus is being delivered, the names of such underwriters and any applicable discounts or commissions and over-allotment options will be set forth in the applicable prospectus supplement.</w:t>
      </w:r>
    </w:p>
    <w:p>
      <w:pPr>
        <w:spacing w:after="0" w:line="81" w:lineRule="exact"/>
        <w:rPr>
          <w:sz w:val="20"/>
          <w:szCs w:val="20"/>
          <w:color w:val="auto"/>
        </w:rPr>
      </w:pPr>
    </w:p>
    <w:p>
      <w:pPr>
        <w:ind w:left="700" w:right="1459" w:firstLine="334"/>
        <w:spacing w:after="0" w:line="270" w:lineRule="auto"/>
        <w:rPr>
          <w:sz w:val="20"/>
          <w:szCs w:val="20"/>
          <w:color w:val="auto"/>
        </w:rPr>
      </w:pPr>
      <w:r>
        <w:rPr>
          <w:rFonts w:ascii="Times New Roman" w:cs="Times New Roman" w:eastAsia="Times New Roman" w:hAnsi="Times New Roman"/>
          <w:sz w:val="17"/>
          <w:szCs w:val="17"/>
          <w:color w:val="auto"/>
        </w:rPr>
        <w:t>This prospectus may not be used to offer or sell any securities unless accompanied by a prospectus supplement.</w:t>
      </w:r>
    </w:p>
    <w:p>
      <w:pPr>
        <w:spacing w:after="0" w:line="61" w:lineRule="exact"/>
        <w:rPr>
          <w:sz w:val="20"/>
          <w:szCs w:val="20"/>
          <w:color w:val="auto"/>
        </w:rPr>
      </w:pPr>
    </w:p>
    <w:p>
      <w:pPr>
        <w:jc w:val="both"/>
        <w:ind w:left="700" w:right="719" w:firstLine="334"/>
        <w:spacing w:after="0" w:line="254" w:lineRule="auto"/>
        <w:rPr>
          <w:sz w:val="20"/>
          <w:szCs w:val="20"/>
          <w:color w:val="auto"/>
        </w:rPr>
      </w:pPr>
      <w:r>
        <w:rPr>
          <w:rFonts w:ascii="Times New Roman" w:cs="Times New Roman" w:eastAsia="Times New Roman" w:hAnsi="Times New Roman"/>
          <w:sz w:val="17"/>
          <w:szCs w:val="17"/>
          <w:color w:val="auto"/>
        </w:rPr>
        <w:t>Our common stock is listed on the New York Stock Exchange under the symbol “VSH.” On June 26, 2026, the last reported sale price of our common stock was $56.35 per share. If we decide to list or seek a quotation for any other securities offered hereunder, the applicable prospectus supplement or free writing prospectus will disclose the exchange or market on which those securities will be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40640</wp:posOffset>
            </wp:positionV>
            <wp:extent cx="1017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138" w:lineRule="exact"/>
        <w:rPr>
          <w:sz w:val="20"/>
          <w:szCs w:val="20"/>
          <w:color w:val="auto"/>
        </w:rPr>
      </w:pPr>
    </w:p>
    <w:p>
      <w:pPr>
        <w:jc w:val="both"/>
        <w:ind w:left="700" w:right="719" w:firstLine="334"/>
        <w:spacing w:after="0" w:line="255"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you should carefully consider the risks described under “</w:t>
      </w:r>
      <w:r>
        <w:rPr>
          <w:rFonts w:ascii="Times New Roman" w:cs="Times New Roman" w:eastAsia="Times New Roman" w:hAnsi="Times New Roman"/>
          <w:sz w:val="17"/>
          <w:szCs w:val="17"/>
          <w:b w:val="1"/>
          <w:bCs w:val="1"/>
          <w:i w:val="1"/>
          <w:iCs w:val="1"/>
          <w:color w:val="auto"/>
        </w:rPr>
        <w:t>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Factors</w:t>
      </w:r>
      <w:r>
        <w:rPr>
          <w:rFonts w:ascii="Times New Roman" w:cs="Times New Roman" w:eastAsia="Times New Roman" w:hAnsi="Times New Roman"/>
          <w:sz w:val="17"/>
          <w:szCs w:val="17"/>
          <w:b w:val="1"/>
          <w:bCs w:val="1"/>
          <w:color w:val="auto"/>
        </w:rPr>
        <w:t>” 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u w:val="single" w:color="auto"/>
          <w:color w:val="0000EE"/>
        </w:rPr>
        <w:t>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of this prospectus, as well as the other information contained or incorporated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reference in this prospectus, any applicable prospectus supplement and any related free writing prospectus, before making a decision to invest in our securities.</w:t>
      </w:r>
    </w:p>
    <w:p>
      <w:pPr>
        <w:spacing w:after="0" w:line="71" w:lineRule="exact"/>
        <w:rPr>
          <w:sz w:val="20"/>
          <w:szCs w:val="20"/>
          <w:color w:val="auto"/>
        </w:rPr>
      </w:pPr>
    </w:p>
    <w:p>
      <w:pPr>
        <w:jc w:val="both"/>
        <w:ind w:left="700" w:right="719" w:firstLine="334"/>
        <w:spacing w:after="0" w:line="26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46355</wp:posOffset>
            </wp:positionV>
            <wp:extent cx="10179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118745</wp:posOffset>
            </wp:positionV>
            <wp:extent cx="649033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2" w:name="page33"/>
    <w:bookmarkEnd w:id="3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23"/>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0"/>
        </w:trPr>
        <w:tc>
          <w:tcPr>
            <w:tcW w:w="754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ABOUT THIS PROSPECTUS</w:t>
            </w:r>
          </w:p>
        </w:tc>
        <w:tc>
          <w:tcPr>
            <w:tcW w:w="220" w:type="dxa"/>
            <w:vAlign w:val="bottom"/>
            <w:tcBorders>
              <w:right w:val="single" w:sz="8" w:color="CCEEFF"/>
            </w:tcBorders>
            <w:gridSpan w:val="3"/>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rPr>
              <w:t>1</w:t>
            </w:r>
          </w:p>
        </w:tc>
        <w:tc>
          <w:tcPr>
            <w:tcW w:w="60" w:type="dxa"/>
            <w:vAlign w:val="bottom"/>
            <w:shd w:val="clear" w:color="auto" w:fill="CCEEFF"/>
          </w:tcPr>
          <w:p>
            <w:pPr>
              <w:spacing w:after="0"/>
              <w:rPr>
                <w:sz w:val="15"/>
                <w:szCs w:val="15"/>
                <w:color w:val="auto"/>
              </w:rPr>
            </w:pP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7540" w:type="dxa"/>
            <w:vAlign w:val="bottom"/>
            <w:gridSpan w:val="17"/>
          </w:tcPr>
          <w:p>
            <w:pPr>
              <w:spacing w:after="0" w:line="176"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2</w:t>
            </w:r>
          </w:p>
        </w:tc>
        <w:tc>
          <w:tcPr>
            <w:tcW w:w="6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5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OUR COMPANY</w:t>
            </w:r>
          </w:p>
        </w:tc>
        <w:tc>
          <w:tcPr>
            <w:tcW w:w="220" w:type="dxa"/>
            <w:vAlign w:val="bottom"/>
            <w:tcBorders>
              <w:right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4</w:t>
            </w:r>
          </w:p>
        </w:tc>
        <w:tc>
          <w:tcPr>
            <w:tcW w:w="60" w:type="dxa"/>
            <w:vAlign w:val="bottom"/>
            <w:shd w:val="clear" w:color="auto" w:fill="CCEEFF"/>
          </w:tcPr>
          <w:p>
            <w:pPr>
              <w:spacing w:after="0"/>
              <w:rPr>
                <w:sz w:val="15"/>
                <w:szCs w:val="15"/>
                <w:color w:val="auto"/>
              </w:rPr>
            </w:pP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120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0000EE"/>
                <w:w w:val="98"/>
              </w:rPr>
              <w:t>RISK FACTORS</w:t>
            </w:r>
          </w:p>
        </w:tc>
        <w:tc>
          <w:tcPr>
            <w:tcW w:w="6340" w:type="dxa"/>
            <w:vAlign w:val="bottom"/>
            <w:gridSpan w:val="14"/>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5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USE OF PROCEEDS</w:t>
            </w:r>
          </w:p>
        </w:tc>
        <w:tc>
          <w:tcPr>
            <w:tcW w:w="220" w:type="dxa"/>
            <w:vAlign w:val="bottom"/>
            <w:tcBorders>
              <w:right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6</w:t>
            </w:r>
          </w:p>
        </w:tc>
        <w:tc>
          <w:tcPr>
            <w:tcW w:w="60" w:type="dxa"/>
            <w:vAlign w:val="bottom"/>
            <w:shd w:val="clear" w:color="auto" w:fill="CCEEFF"/>
          </w:tcPr>
          <w:p>
            <w:pPr>
              <w:spacing w:after="0"/>
              <w:rPr>
                <w:sz w:val="15"/>
                <w:szCs w:val="15"/>
                <w:color w:val="auto"/>
              </w:rPr>
            </w:pPr>
          </w:p>
        </w:tc>
      </w:tr>
      <w:tr>
        <w:trPr>
          <w:trHeight w:val="30"/>
        </w:trPr>
        <w:tc>
          <w:tcPr>
            <w:tcW w:w="7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7540" w:type="dxa"/>
            <w:vAlign w:val="bottom"/>
            <w:gridSpan w:val="17"/>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COMMON STOCK</w:t>
            </w:r>
          </w:p>
        </w:tc>
        <w:tc>
          <w:tcPr>
            <w:tcW w:w="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7</w:t>
            </w:r>
          </w:p>
        </w:tc>
        <w:tc>
          <w:tcPr>
            <w:tcW w:w="6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75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PREFERRED STOCK</w:t>
            </w:r>
          </w:p>
        </w:tc>
        <w:tc>
          <w:tcPr>
            <w:tcW w:w="220" w:type="dxa"/>
            <w:vAlign w:val="bottom"/>
            <w:tcBorders>
              <w:right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10</w:t>
            </w:r>
          </w:p>
        </w:tc>
        <w:tc>
          <w:tcPr>
            <w:tcW w:w="60" w:type="dxa"/>
            <w:vAlign w:val="bottom"/>
            <w:shd w:val="clear" w:color="auto" w:fill="CCEEFF"/>
          </w:tcPr>
          <w:p>
            <w:pPr>
              <w:spacing w:after="0"/>
              <w:rPr>
                <w:sz w:val="17"/>
                <w:szCs w:val="17"/>
                <w:color w:val="auto"/>
              </w:rPr>
            </w:pPr>
          </w:p>
        </w:tc>
      </w:tr>
      <w:tr>
        <w:trPr>
          <w:trHeight w:val="175"/>
        </w:trPr>
        <w:tc>
          <w:tcPr>
            <w:tcW w:w="33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DEBT SECURITIES</w:t>
            </w:r>
          </w:p>
        </w:tc>
        <w:tc>
          <w:tcPr>
            <w:tcW w:w="4240" w:type="dxa"/>
            <w:vAlign w:val="bottom"/>
            <w:tcBorders>
              <w:top w:val="single" w:sz="8" w:color="CCEEFF"/>
            </w:tcBorders>
            <w:gridSpan w:val="5"/>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0000EE"/>
                <w:w w:val="93"/>
              </w:rPr>
              <w:t>12</w:t>
            </w:r>
          </w:p>
        </w:tc>
        <w:tc>
          <w:tcPr>
            <w:tcW w:w="60" w:type="dxa"/>
            <w:vAlign w:val="bottom"/>
            <w:tcBorders>
              <w:top w:val="single" w:sz="8" w:color="CCEEFF"/>
            </w:tcBorders>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27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6"/>
              </w:rPr>
              <w:t>DESCRIPTION OF OUR WARRANTS</w:t>
            </w: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w w:val="93"/>
              </w:rPr>
              <w:t>18</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75"/>
        </w:trPr>
        <w:tc>
          <w:tcPr>
            <w:tcW w:w="7540" w:type="dxa"/>
            <w:vAlign w:val="bottom"/>
            <w:gridSpan w:val="17"/>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UNITS</w:t>
            </w:r>
          </w:p>
        </w:tc>
        <w:tc>
          <w:tcPr>
            <w:tcW w:w="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19</w:t>
            </w:r>
          </w:p>
        </w:tc>
        <w:tc>
          <w:tcPr>
            <w:tcW w:w="60" w:type="dxa"/>
            <w:vAlign w:val="bottom"/>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75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OUR SUBSCRIPTION RIGHTS</w:t>
            </w:r>
          </w:p>
        </w:tc>
        <w:tc>
          <w:tcPr>
            <w:tcW w:w="220" w:type="dxa"/>
            <w:vAlign w:val="bottom"/>
            <w:tcBorders>
              <w:right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20</w:t>
            </w:r>
          </w:p>
        </w:tc>
        <w:tc>
          <w:tcPr>
            <w:tcW w:w="60" w:type="dxa"/>
            <w:vAlign w:val="bottom"/>
            <w:shd w:val="clear" w:color="auto" w:fill="CCEEFF"/>
          </w:tcPr>
          <w:p>
            <w:pPr>
              <w:spacing w:after="0"/>
              <w:rPr>
                <w:sz w:val="17"/>
                <w:szCs w:val="17"/>
                <w:color w:val="auto"/>
              </w:rPr>
            </w:pPr>
          </w:p>
        </w:tc>
      </w:tr>
      <w:tr>
        <w:trPr>
          <w:trHeight w:val="175"/>
        </w:trPr>
        <w:tc>
          <w:tcPr>
            <w:tcW w:w="36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7"/>
                <w:szCs w:val="17"/>
                <w:color w:val="0000EE"/>
              </w:rPr>
              <w:t>PLAN OF DISTRIBUTION</w:t>
            </w:r>
          </w:p>
        </w:tc>
        <w:tc>
          <w:tcPr>
            <w:tcW w:w="3940" w:type="dxa"/>
            <w:vAlign w:val="bottom"/>
            <w:tcBorders>
              <w:top w:val="single" w:sz="8" w:color="CCEEFF"/>
            </w:tcBorders>
            <w:gridSpan w:val="3"/>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0000EE"/>
                <w:w w:val="93"/>
              </w:rPr>
              <w:t>21</w:t>
            </w:r>
          </w:p>
        </w:tc>
        <w:tc>
          <w:tcPr>
            <w:tcW w:w="60" w:type="dxa"/>
            <w:vAlign w:val="bottom"/>
            <w:tcBorders>
              <w:top w:val="single" w:sz="8" w:color="CCEEFF"/>
            </w:tcBorders>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75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LEGAL MATTERS</w:t>
            </w:r>
          </w:p>
        </w:tc>
        <w:tc>
          <w:tcPr>
            <w:tcW w:w="220" w:type="dxa"/>
            <w:vAlign w:val="bottom"/>
            <w:tcBorders>
              <w:right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23</w:t>
            </w:r>
          </w:p>
        </w:tc>
        <w:tc>
          <w:tcPr>
            <w:tcW w:w="60" w:type="dxa"/>
            <w:vAlign w:val="bottom"/>
            <w:shd w:val="clear" w:color="auto" w:fill="CCEEFF"/>
          </w:tcPr>
          <w:p>
            <w:pPr>
              <w:spacing w:after="0"/>
              <w:rPr>
                <w:sz w:val="17"/>
                <w:szCs w:val="17"/>
                <w:color w:val="auto"/>
              </w:rPr>
            </w:pPr>
          </w:p>
        </w:tc>
      </w:tr>
      <w:tr>
        <w:trPr>
          <w:trHeight w:val="175"/>
        </w:trPr>
        <w:tc>
          <w:tcPr>
            <w:tcW w:w="13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7"/>
                <w:szCs w:val="17"/>
                <w:color w:val="0000EE"/>
              </w:rPr>
              <w:t>EXPERTS</w:t>
            </w:r>
          </w:p>
        </w:tc>
        <w:tc>
          <w:tcPr>
            <w:tcW w:w="6200" w:type="dxa"/>
            <w:vAlign w:val="bottom"/>
            <w:tcBorders>
              <w:top w:val="single" w:sz="8" w:color="CCEEFF"/>
            </w:tcBorders>
            <w:gridSpan w:val="13"/>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0000EE"/>
                <w:w w:val="93"/>
              </w:rPr>
              <w:t>23</w:t>
            </w:r>
          </w:p>
        </w:tc>
        <w:tc>
          <w:tcPr>
            <w:tcW w:w="60" w:type="dxa"/>
            <w:vAlign w:val="bottom"/>
            <w:tcBorders>
              <w:top w:val="single" w:sz="8" w:color="CCEEFF"/>
            </w:tcBorders>
          </w:tcPr>
          <w:p>
            <w:pPr>
              <w:spacing w:after="0"/>
              <w:rPr>
                <w:sz w:val="15"/>
                <w:szCs w:val="15"/>
                <w:color w:val="auto"/>
              </w:rPr>
            </w:pPr>
          </w:p>
        </w:tc>
      </w:tr>
      <w:tr>
        <w:trPr>
          <w:trHeight w:val="30"/>
        </w:trPr>
        <w:tc>
          <w:tcPr>
            <w:tcW w:w="70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35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7"/>
              </w:rPr>
              <w:t>WHERE YOU CAN FIND MORE INFORMATION</w:t>
            </w:r>
          </w:p>
        </w:tc>
        <w:tc>
          <w:tcPr>
            <w:tcW w:w="4000" w:type="dxa"/>
            <w:vAlign w:val="bottom"/>
            <w:tcBorders>
              <w:bottom w:val="single" w:sz="8" w:color="CCEEFF"/>
            </w:tcBorders>
            <w:gridSpan w:val="4"/>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w w:val="93"/>
              </w:rPr>
              <w:t>23</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75"/>
        </w:trPr>
        <w:tc>
          <w:tcPr>
            <w:tcW w:w="7540" w:type="dxa"/>
            <w:vAlign w:val="bottom"/>
            <w:gridSpan w:val="17"/>
          </w:tcPr>
          <w:p>
            <w:pPr>
              <w:spacing w:after="0" w:line="176"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24</w:t>
            </w:r>
          </w:p>
        </w:tc>
        <w:tc>
          <w:tcPr>
            <w:tcW w:w="60" w:type="dxa"/>
            <w:vAlign w:val="bottom"/>
          </w:tcPr>
          <w:p>
            <w:pPr>
              <w:spacing w:after="0"/>
              <w:rPr>
                <w:sz w:val="15"/>
                <w:szCs w:val="15"/>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This prospectus is part of an automatic shelf registration statement on Form S-3 that we filed with the U.S. Securities and Exchange Commission (the “SEC”) as a “well-known seasoned issuer,” as defined in Rule 405 under the Securities Act of 1933, as amended (the “Securities Act”), utilizing a “shelf” registration process. Under this shelf registration process, we may offer and sell, from time to time in one or more offerings, any combination of the securities described in this prospectus. Because we are a “well-known seasoned issuer,” we may also add to and offer additional securities by filing a prospectus supplement with the SEC at the time of any such offer.</w:t>
      </w:r>
    </w:p>
    <w:p>
      <w:pPr>
        <w:spacing w:after="0" w:line="76" w:lineRule="exact"/>
        <w:rPr>
          <w:sz w:val="20"/>
          <w:szCs w:val="20"/>
          <w:color w:val="auto"/>
        </w:rPr>
      </w:pPr>
    </w:p>
    <w:p>
      <w:pPr>
        <w:jc w:val="both"/>
        <w:ind w:left="600" w:right="599" w:firstLine="334"/>
        <w:spacing w:after="0" w:line="263"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the securities we may offer. It does not contain all of the information set forth in the registration statement, certain parts of which are omitted in accordance with the rules and regulations of the SEC. Each time we offer and sell securities under this shelf registration statement, we will provide a prospectus supplement. We may also authorize one or more free writing prospectuses to be provided to you in connection with the offering. For the purposes of the discussion in this prospectus, the term “prospectus supplement” shall also include any related free writing prospectus. The prospectus supplement will contain specific information about the terms of the securities being offered and the terms of that offering, including the type and amount of securities being offered, the offering price, and the names of any underwriters, dealers or agents and any applicable commissions, discounts or over-allotment options. A prospectus supplement may also include a discussion of any risk factors or other special considerations applicable to those securities or to us. Any prospectus supplement may also add, update or change information contained or incorporated by reference in this prospectus. If there is any inconsistency between the information in this prospectus and the applicable prospectus supplement, you should rely on the information in the document with the most recent date. 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 this prospectus, or by any other method as may then be permitted under applicable law, rules or regulations.</w:t>
      </w:r>
    </w:p>
    <w:p>
      <w:pPr>
        <w:spacing w:after="0" w:line="78" w:lineRule="exact"/>
        <w:rPr>
          <w:sz w:val="20"/>
          <w:szCs w:val="20"/>
          <w:color w:val="auto"/>
        </w:rPr>
      </w:pPr>
    </w:p>
    <w:p>
      <w:pPr>
        <w:jc w:val="both"/>
        <w:ind w:left="600" w:right="599" w:firstLine="334"/>
        <w:spacing w:after="0" w:line="264" w:lineRule="auto"/>
        <w:rPr>
          <w:sz w:val="20"/>
          <w:szCs w:val="20"/>
          <w:color w:val="auto"/>
        </w:rPr>
      </w:pPr>
      <w:r>
        <w:rPr>
          <w:rFonts w:ascii="Times New Roman" w:cs="Times New Roman" w:eastAsia="Times New Roman" w:hAnsi="Times New Roman"/>
          <w:sz w:val="16"/>
          <w:szCs w:val="16"/>
          <w:color w:val="auto"/>
        </w:rPr>
        <w:t>We have not authorized any other person to provide you with any information other than what is contained or incorporated by reference in this prospectus, any applicable prospectus supplement or any free writing prospectus prepared by or on behalf of us or to which we have referred you. We take no responsibility for, and provide no assurance as to, the reliability of any other information that others may give you. You should not assume that the information contained or incorporated by reference in this prospectus or any applicable prospectus supplement is accurate as of any date subsequent to the date set forth on the front of the document, or that any information we have incorporated by reference is correct on any date subsequent to the date of the document incorporated by reference, even though this prospectus or any accompanying prospectus supplement is delivered or securities are sold on a later date. Our business, financial condition, results of operations and prospects may have changed since those dates. This prospectus and any accompanying prospectus supplement do not constitute an offer to sell or the solicitation of an offer to buy any securities other than the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pacing w:after="0" w:line="74" w:lineRule="exact"/>
        <w:rPr>
          <w:sz w:val="20"/>
          <w:szCs w:val="20"/>
          <w:color w:val="auto"/>
        </w:rPr>
      </w:pPr>
    </w:p>
    <w:p>
      <w:pPr>
        <w:jc w:val="both"/>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You should read this prospectus, any applicable prospectus supplement, the related exhibits filed with the SEC, and the documents incorporated by reference herein and therein carefully and in their entirety before making an investment decision. In particular, you should carefully consider the risks and uncertainties described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any applicable prospectus supplement or incorporated by reference in this prospectus before deciding whether to purchase any securities. Please also refer to the additional information described under the headings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this prospectus.</w:t>
      </w:r>
    </w:p>
    <w:p>
      <w:pPr>
        <w:spacing w:after="0" w:line="78"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References in this prospectus to the terms “we,” “us,” “our,” the “Company” and “Vishay” or other similar terms refer to Vishay Intertechnology, Inc. and its consolidated subsidiaries, unless expressly stated or the context otherwise indicates.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4" w:name="page35"/>
    <w:bookmarkEnd w:id="3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09" w:lineRule="exact"/>
        <w:rPr>
          <w:sz w:val="20"/>
          <w:szCs w:val="20"/>
          <w:color w:val="auto"/>
        </w:rPr>
      </w:pPr>
    </w:p>
    <w:p>
      <w:pPr>
        <w:jc w:val="both"/>
        <w:ind w:left="600" w:right="619" w:firstLine="334"/>
        <w:spacing w:after="0" w:line="248" w:lineRule="auto"/>
        <w:rPr>
          <w:sz w:val="20"/>
          <w:szCs w:val="20"/>
          <w:color w:val="auto"/>
        </w:rPr>
      </w:pPr>
      <w:r>
        <w:rPr>
          <w:rFonts w:ascii="Times New Roman" w:cs="Times New Roman" w:eastAsia="Times New Roman" w:hAnsi="Times New Roman"/>
          <w:sz w:val="17"/>
          <w:szCs w:val="17"/>
          <w:color w:val="auto"/>
        </w:rPr>
        <w:t>This prospectus and the documents incorporated herein by reference contain forward-looking statements within the meaning of Section 27A of the Securities Act and Section 21E of the Securities Exchange Act of 1934, as amended (the “Exchange Act”) that are based on our management’s beliefs and assumptions and on information available to our management as of the date hereof or as of the date of any such document incorporated herein by reference, as the case may be. Forward-looking statements are inherently subject to risks and uncertainties, some of which cannot be predicted or quantified. All statements other than present and historical facts and conditions contained in this prospectus and the documents incorporated herein by reference, including statements regarding our future results of operations and financial position, business strategy, plans and our objectives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81"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prospectus and the documents incorporated herein by reference primarily on our expectations and projections about future events and trends as of the date hereof or as of the date of the applicable document incorporated herein by reference, as the case may be, that we believe may affect our business, financial condition, results of operations, prospects, business strategy and financial needs.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w:t>
      </w:r>
    </w:p>
    <w:p>
      <w:pPr>
        <w:spacing w:after="0" w:line="79" w:lineRule="exact"/>
        <w:rPr>
          <w:sz w:val="20"/>
          <w:szCs w:val="20"/>
          <w:color w:val="auto"/>
        </w:rPr>
      </w:pPr>
    </w:p>
    <w:p>
      <w:pPr>
        <w:ind w:left="1260" w:right="619" w:hanging="330"/>
        <w:spacing w:after="0" w:line="272"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business and economic conditions; manufacturing or supply chain interruptions or changes in customer demand;</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implementing our cost reduction strategies;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expanding our manufacturing capacities;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attract and retain highly qualified personnel;</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uncertainty related to the effects of changes in foreign currency exchange rates;</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technological changes in our industries;</w:t>
      </w:r>
    </w:p>
    <w:p>
      <w:pPr>
        <w:spacing w:after="0" w:line="105"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new product development; difficulties in identifying suitable acquisition candidates, consummating a transaction on terms which we consider acceptable, and integration and performance of acquired businesses;</w:t>
      </w:r>
    </w:p>
    <w:p>
      <w:pPr>
        <w:spacing w:after="0" w:line="68"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and foreign trade regulations and tariffs, and uncertainty regarding the same;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prices for metals and materials;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domestic and foreign tax regulations, and uncertainty regarding the same;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accounting standards; and</w:t>
      </w:r>
    </w:p>
    <w:p>
      <w:pPr>
        <w:spacing w:after="0" w:line="101" w:lineRule="exact"/>
        <w:rPr>
          <w:rFonts w:ascii="Times New Roman" w:cs="Times New Roman" w:eastAsia="Times New Roman" w:hAnsi="Times New Roman"/>
          <w:sz w:val="17"/>
          <w:szCs w:val="17"/>
          <w:color w:val="auto"/>
        </w:rPr>
      </w:pPr>
    </w:p>
    <w:p>
      <w:pPr>
        <w:jc w:val="both"/>
        <w:ind w:left="1260" w:right="619" w:hanging="330"/>
        <w:spacing w:after="0" w:line="261" w:lineRule="auto"/>
        <w:tabs>
          <w:tab w:leader="none" w:pos="1260" w:val="left"/>
        </w:tabs>
        <w:numPr>
          <w:ilvl w:val="0"/>
          <w:numId w:val="20"/>
        </w:numPr>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auto"/>
          </w:rPr>
          <w:t>other factors described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this prospectus, our </w:t>
        </w:r>
        <w:r>
          <w:rPr>
            <w:rFonts w:ascii="Times New Roman" w:cs="Times New Roman" w:eastAsia="Times New Roman" w:hAnsi="Times New Roman"/>
            <w:sz w:val="17"/>
            <w:szCs w:val="17"/>
            <w:u w:val="single" w:color="auto"/>
            <w:color w:val="0000EE"/>
          </w:rPr>
          <w:t>Annual Report on</w:t>
        </w:r>
      </w:hyperlink>
      <w:r>
        <w:rPr>
          <w:rFonts w:ascii="Times New Roman" w:cs="Times New Roman" w:eastAsia="Times New Roman" w:hAnsi="Times New Roman"/>
          <w:sz w:val="17"/>
          <w:szCs w:val="17"/>
          <w:color w:val="auto"/>
        </w:rPr>
        <w:t xml:space="preserve"> </w:t>
      </w:r>
      <w:hyperlink r:id="rId60">
        <w:r>
          <w:rPr>
            <w:rFonts w:ascii="Times New Roman" w:cs="Times New Roman" w:eastAsia="Times New Roman" w:hAnsi="Times New Roman"/>
            <w:sz w:val="17"/>
            <w:szCs w:val="17"/>
            <w:u w:val="single" w:color="auto"/>
            <w:color w:val="0000EE"/>
          </w:rPr>
          <w:t>Form 10-K for the year ended December 31, 2025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 our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Quarterly Report on Form 10-Q for the quarter</w:t>
        </w:r>
      </w:hyperlink>
      <w:r>
        <w:rPr>
          <w:rFonts w:ascii="Times New Roman" w:cs="Times New Roman" w:eastAsia="Times New Roman" w:hAnsi="Times New Roman"/>
          <w:sz w:val="17"/>
          <w:szCs w:val="17"/>
          <w:color w:val="0000EE"/>
        </w:rPr>
        <w:t xml:space="preserve"> </w:t>
      </w:r>
      <w:hyperlink r:id="rId60">
        <w:r>
          <w:rPr>
            <w:rFonts w:ascii="Times New Roman" w:cs="Times New Roman" w:eastAsia="Times New Roman" w:hAnsi="Times New Roman"/>
            <w:sz w:val="17"/>
            <w:szCs w:val="17"/>
            <w:u w:val="single" w:color="auto"/>
            <w:color w:val="0000EE"/>
          </w:rPr>
          <w:t>ended April 4, 2026</w:t>
        </w:r>
        <w:r>
          <w:rPr>
            <w:rFonts w:ascii="Times New Roman" w:cs="Times New Roman" w:eastAsia="Times New Roman" w:hAnsi="Times New Roman"/>
            <w:sz w:val="17"/>
            <w:szCs w:val="17"/>
            <w:color w:val="000000"/>
          </w:rPr>
          <w:t>.</w:t>
        </w:r>
      </w:hyperlink>
    </w:p>
    <w:p>
      <w:pPr>
        <w:spacing w:after="0" w:line="68" w:lineRule="exact"/>
        <w:rPr>
          <w:rFonts w:ascii="Times New Roman" w:cs="Times New Roman" w:eastAsia="Times New Roman" w:hAnsi="Times New Roman"/>
          <w:sz w:val="17"/>
          <w:szCs w:val="17"/>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Additionally, we operate in a very competitive and rapidly changing environment. New risks and uncertainties emerge from time to time and it is not possible for us to predict all risks and uncertainties that could have an impact on the forward-looking statements contained in this prospectus and the documents incorporated herein by reference.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81" w:lineRule="exact"/>
        <w:rPr>
          <w:rFonts w:ascii="Times New Roman" w:cs="Times New Roman" w:eastAsia="Times New Roman" w:hAnsi="Times New Roman"/>
          <w:sz w:val="17"/>
          <w:szCs w:val="17"/>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or the applicable</w:t>
      </w:r>
    </w:p>
    <w:p>
      <w:pPr>
        <w:spacing w:after="0" w:line="16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jc w:val="both"/>
        <w:ind w:left="600" w:right="599"/>
        <w:spacing w:after="0" w:line="252" w:lineRule="auto"/>
        <w:rPr>
          <w:sz w:val="20"/>
          <w:szCs w:val="20"/>
          <w:color w:val="auto"/>
        </w:rPr>
      </w:pPr>
      <w:r>
        <w:rPr>
          <w:rFonts w:ascii="Times New Roman" w:cs="Times New Roman" w:eastAsia="Times New Roman" w:hAnsi="Times New Roman"/>
          <w:sz w:val="17"/>
          <w:szCs w:val="17"/>
          <w:color w:val="auto"/>
        </w:rPr>
        <w:t>document incorporated herein by reference,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6" w:lineRule="exact"/>
        <w:rPr>
          <w:sz w:val="20"/>
          <w:szCs w:val="20"/>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The forward-looking statements made in this prospectus and the documents incorporated herein by reference relate only to events as of the date on which such statements are made. We undertake no obligation to update any forward-looking statements after the date of this prospectus or to conform such statements to actual results or revised expectations, except as required by law. All forward-looking statements attributable to us are expressly qualified by these cautionary statements.</w:t>
      </w:r>
    </w:p>
    <w:p>
      <w:pPr>
        <w:spacing w:after="0" w:line="76"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This prospectus and the documents incorporated herein by reference may contain market data and industry forecasts that were obtained from industry publications. Any such data and forecasts involve a number of assumptions and limitations, and you are cautioned not to give undue weight to such information. We have not independently verified any third-party information.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05"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or incorporated by reference in this prospectus and may not contain all the information that you need to consider in making your investment decision. You should read the entire prospectus, any applicable prospectus supplement and the information incorporated herein by reference before making an investment decision. You should pay special attention to the “Risk factors” contained in this prospectus, the applicable prospectus supplement and under similar headings in the other documents that are incorporated into this prospectus to determine whether an investment in the common stock is appropriate for you. References in the offering memorandum to “the Company,” “we,” “us,” “our” and “Vishay” refer to Vishay Intertechnology, Inc. and its consolidated subsidiaries, except where the context otherwise requires or as otherwise indicated. You should read the following summary together with the more detailed information and consolidated financial statements and the notes to those statements included in the documents filed by us with the SEC, which are incorporated herein by reference.</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9"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Vishay manufactures one of the world’s largest portfolios of discrete semiconductors and passive electronic components that support innovative designs in the automotive, industrial, computing, consumer, telecommunications, military, aerospace, and healthcare markets. Serving customers worldwide, Vishay brands itself as The DNA of tech.®</w:t>
      </w:r>
    </w:p>
    <w:p>
      <w:pPr>
        <w:spacing w:after="0" w:line="74"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Semiconductors include MOSFETs, diodes, and optoelectronic components. Passive components include resistors, inductors, and capacitors. 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and voltage, filter out unwanted electrical signals, and perform other functions.</w:t>
      </w:r>
    </w:p>
    <w:p>
      <w:pPr>
        <w:spacing w:after="0" w:line="3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09" w:lineRule="exact"/>
        <w:rPr>
          <w:sz w:val="20"/>
          <w:szCs w:val="20"/>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Vishay is a Delaware corporation founded in 1962 by the late Dr. Felix Zandman. Our principal executive offices are located at 63 Lancaster Avenue, Malvern, Pennsylvania 19355, and our main telephone number is (610) 644-1300. We maintain a website at www.vishay.com where general information about us is available. The information contained on or accessible through our website is not incorporated herein by reference and does not constitute a part of this prospectus.</w:t>
      </w:r>
    </w:p>
    <w:p>
      <w:pPr>
        <w:spacing w:after="0" w:line="72" w:lineRule="exact"/>
        <w:rPr>
          <w:sz w:val="20"/>
          <w:szCs w:val="20"/>
          <w:color w:val="auto"/>
        </w:rPr>
      </w:pPr>
    </w:p>
    <w:p>
      <w:pPr>
        <w:jc w:val="both"/>
        <w:ind w:left="600" w:right="599" w:firstLine="334"/>
        <w:spacing w:after="0" w:line="277" w:lineRule="auto"/>
        <w:rPr>
          <w:sz w:val="20"/>
          <w:szCs w:val="20"/>
          <w:color w:val="auto"/>
        </w:rPr>
      </w:pPr>
      <w:r>
        <w:rPr>
          <w:rFonts w:ascii="Times New Roman" w:cs="Times New Roman" w:eastAsia="Times New Roman" w:hAnsi="Times New Roman"/>
          <w:sz w:val="17"/>
          <w:szCs w:val="17"/>
          <w:color w:val="auto"/>
        </w:rPr>
        <w:t>To find more information about us, please see the sections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making an investment decision, you should carefully consider the risks and uncertainties described under the heading “Risk Factors” in Item 1A of our Annual Report on Form 10-K for the fiscal year ended December 31, 2025, which is incorporated by reference into this prospectus, as well as the risk factors and other information described in any accompanying prospectus supplement and any other filings with the SEC or other documents we incorporate by reference herein or therein (including future filings we make with the SEC that are also incorporated by reference in this prospectus). Each of the risks described in these documents could materially and adversely affect our business, financial condition, results of operations, cash flows and prospects, and could result in a partial or complete loss of your investment. The risks and uncertainties we have described are not the only risks we face. Additional risks and uncertainties not presently known to us or that we currently deem immaterial may also affect our business and operations. See “</w:t>
      </w:r>
      <w:r>
        <w:rPr>
          <w:rFonts w:ascii="Times New Roman" w:cs="Times New Roman" w:eastAsia="Times New Roman" w:hAnsi="Times New Roman"/>
          <w:sz w:val="17"/>
          <w:szCs w:val="17"/>
          <w:i w:val="1"/>
          <w:iCs w:val="1"/>
          <w:color w:val="auto"/>
        </w:rPr>
        <w:t>Where You Can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Unless we otherwise specify in the applicable prospectus supplement, we currently intend to use the net proceeds from the sale of the securities offered by this prospectus for general corporate purposes, which may include working capital, capital expenditures, manufacturing expenditures, commercial expenditures, repayment and refinancing of debt, acquisitions of new technologies or businesses, investments and other corporate purposes. Additional information on the use of net proceeds from the sale of any securities by us under this prospectus shall be set forth in the prospectus supplement relating to the specific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COMMON STOCK</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9" w:lineRule="exact"/>
        <w:rPr>
          <w:sz w:val="20"/>
          <w:szCs w:val="20"/>
          <w:color w:val="auto"/>
        </w:rPr>
      </w:pPr>
    </w:p>
    <w:p>
      <w:pPr>
        <w:jc w:val="both"/>
        <w:ind w:left="600" w:right="619" w:firstLine="334"/>
        <w:spacing w:after="0" w:line="268" w:lineRule="auto"/>
        <w:rPr>
          <w:sz w:val="20"/>
          <w:szCs w:val="20"/>
          <w:color w:val="auto"/>
        </w:rPr>
      </w:pPr>
      <w:r>
        <w:rPr>
          <w:rFonts w:ascii="Times New Roman" w:cs="Times New Roman" w:eastAsia="Times New Roman" w:hAnsi="Times New Roman"/>
          <w:sz w:val="16"/>
          <w:szCs w:val="16"/>
          <w:color w:val="auto"/>
        </w:rPr>
        <w:t>The following description of our common stock is a summary and does not purport to be complete. It is subject to and qualified in its entirety by reference to our Corrected Amended and Restated Certificate of Incorporation (the “Certificate of Incorporation”) and our Amended and Restated Bylaws (the “Bylaws”), in each case, as may be amended from time to time, copies of which are incorporated by reference as exhibits to the registration statement of which this prospectus is a part. Please refer to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 below for directions on obtaining these documents. We encourage you to read our Certificate of Incorporation, our Bylaws and the applicable provisions of the Delaware General Corporation Law (the “DGCL”) for additional information.</w:t>
      </w:r>
    </w:p>
    <w:p>
      <w:pPr>
        <w:spacing w:after="0" w:line="1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Authorized Shares</w:t>
      </w:r>
    </w:p>
    <w:p>
      <w:pPr>
        <w:spacing w:after="0" w:line="109" w:lineRule="exact"/>
        <w:rPr>
          <w:sz w:val="20"/>
          <w:szCs w:val="20"/>
          <w:color w:val="auto"/>
        </w:rPr>
      </w:pPr>
    </w:p>
    <w:p>
      <w:pPr>
        <w:jc w:val="both"/>
        <w:ind w:left="600" w:right="599" w:firstLine="334"/>
        <w:spacing w:after="0" w:line="254" w:lineRule="auto"/>
        <w:rPr>
          <w:sz w:val="20"/>
          <w:szCs w:val="20"/>
          <w:color w:val="auto"/>
        </w:rPr>
      </w:pPr>
      <w:r>
        <w:rPr>
          <w:rFonts w:ascii="Times New Roman" w:cs="Times New Roman" w:eastAsia="Times New Roman" w:hAnsi="Times New Roman"/>
          <w:sz w:val="17"/>
          <w:szCs w:val="17"/>
          <w:color w:val="auto"/>
        </w:rPr>
        <w:t>As of June 26, 2026, pursuant to our Certificate of Incorporation, we are authorized to issue up to 341,000,000 shares of capital stock, consisting of 1,000,000 shares of preferred stock, par value $1.00 per share, 300,000,000 shares of common stock, par value $0.10 per share, and 40,000,000 shares of Class B common stock, par value $0.10 per share.</w:t>
      </w:r>
    </w:p>
    <w:p>
      <w:pPr>
        <w:spacing w:after="0" w:line="74"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As of June 26, 2026, we had 124,030,756 shares of common stock issued and outstanding, 12,097,148 shares of Class B common stock issued and outstanding, and no shares of preferred stock issued and outstanding.</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held. Holders of Class B common stock are entitled to 10 votes for each share held. The common stock and the Class B common stock vote together as one class on all matters subject to stockholder approval, except as set forth in the following sentence. The approval of the holders of common stock and of Class B common stock, each voting separately as a class, is required to authorize issuances of additional shares of Class B common stock other than in connection with stock splits and stock dividends.</w:t>
      </w:r>
    </w:p>
    <w:p>
      <w:pPr>
        <w:spacing w:after="0" w:line="1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After any required payment on shares of preferred stock, holders of common stock and Class B common stock are entitled to receive, and share ratably on a per share basis in, all dividends and other distributions declared by the board of directors of Vishay. In the event of a stock dividend or stock split, holders of common stock will receive shares of common stock and holders of Class B common stock will receive shares of Class B common stock. Neither the common stock nor the Class B common stock may be split, divided or combined unless the other is split, divided or combined equally.</w:t>
      </w:r>
    </w:p>
    <w:p>
      <w:pPr>
        <w:spacing w:after="0" w:line="1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Liquidation Rights</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6"/>
          <w:szCs w:val="16"/>
          <w:color w:val="auto"/>
        </w:rPr>
        <w:t>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Except as otherwise required by the DGCL or as otherwise described herein and provided in our Certificate of Incorporation, each share of common stock and each share of Class B common stock shall have identical powers, preferences and rights, including rights in liquidation.</w:t>
      </w:r>
    </w:p>
    <w:p>
      <w:pPr>
        <w:spacing w:after="0" w:line="1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Class B Common Stock Conversion Rights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Holders of common stock have no conversion rights. Shares of Class B common stock are convertible into shares of our common stock on a one-for-one basis at any time at the option of the holder thereof. The Class B common stock is not transferable except to the holder’s spouse, certain of such holder’s relatives, certain trusts established for the benefit of the holder, the holder’s spouse or relatives, corporations and partnerships beneficially owned and controlled by such holder, such holder’s spouse or relatives, charitable organizations and such holder’s estate. Upon any transfer made in violation of those restrictions, shares of Class B common stock will be automatically converted into shares of our common stock on a one-for-one basis.</w:t>
      </w:r>
    </w:p>
    <w:p>
      <w:pPr>
        <w:spacing w:after="0" w:line="1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Preemptive Rights</w:t>
      </w:r>
    </w:p>
    <w:p>
      <w:pPr>
        <w:spacing w:after="0" w:line="109"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Neither the holders of common stock nor the holders of Class B common stock have any preemptive rights to subscribe for additional shares of our capital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0" w:name="page41"/>
    <w:bookmarkEnd w:id="4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Listing</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Our common stock is listed on the New York Stock Exchange under the trading symbol “VSH.” There is no public market for shares of our Class B common stock.</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Computershare Limited is the transfer agent and registrar of our common stock and Class B common stock.</w:t>
      </w:r>
    </w:p>
    <w:p>
      <w:pPr>
        <w:spacing w:after="0" w:line="2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Anti-takeover Provisions Contained in Our Certificate of Incorporation and Bylaws</w:t>
      </w:r>
    </w:p>
    <w:p>
      <w:pPr>
        <w:spacing w:after="0" w:line="109" w:lineRule="exact"/>
        <w:rPr>
          <w:sz w:val="20"/>
          <w:szCs w:val="20"/>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Certain provisions of our Certificate of Incorporation and Bylaws may make it less likely that our management would be changed or someone would acquire control of our Company without the board of directors’ consent. These provisions may delay, defer, or prevent a change in control or takeover attempts that stockholders may consider to be in their best interests, including tender offers or attempts that might allow stockholders to receive premiums over the market price of our common stock.</w:t>
      </w:r>
    </w:p>
    <w:p>
      <w:pPr>
        <w:spacing w:after="0" w:line="2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Dual-Class Capital Structure</w:t>
      </w:r>
    </w:p>
    <w:p>
      <w:pPr>
        <w:spacing w:after="0" w:line="109" w:lineRule="exact"/>
        <w:rPr>
          <w:sz w:val="20"/>
          <w:szCs w:val="20"/>
          <w:color w:val="auto"/>
        </w:rPr>
      </w:pPr>
    </w:p>
    <w:p>
      <w:pPr>
        <w:jc w:val="both"/>
        <w:ind w:left="600" w:right="599" w:firstLine="334"/>
        <w:spacing w:after="0" w:line="266" w:lineRule="auto"/>
        <w:rPr>
          <w:sz w:val="20"/>
          <w:szCs w:val="20"/>
          <w:color w:val="auto"/>
        </w:rPr>
      </w:pPr>
      <w:r>
        <w:rPr>
          <w:rFonts w:ascii="Times New Roman" w:cs="Times New Roman" w:eastAsia="Times New Roman" w:hAnsi="Times New Roman"/>
          <w:sz w:val="16"/>
          <w:szCs w:val="16"/>
          <w:color w:val="auto"/>
        </w:rPr>
        <w:t>Our Certificate of Incorporation authorizes two classes of common stock: common stock, each share of which is entitled to one vote, and Class B common stock, each share of which is entitled to ten votes. This dual-class structure concentrates voting power in the holders of Class B common stock, which may make it more difficult for third parties to acquire control of our company without the consent of those holders, even if they acquire a majority of the economic interest represented by our outstanding common stock. Transfers of Class B common stock are restricted to “Permitted Transferees” as defined in our Certificate of Incorporation, which include certain family members, trusts, and entities controlled by Class B holders. Any transfer to a non-Permitted Transferee results in automatic conversion of the transferred shares into common stock. In addition, if the number of outstanding shares of Class B common stock falls below 300,000 shares (as adjusted for stock splits and stock dividends), all outstanding shares of Class B common stock will automatically convert into shares of common stock.</w:t>
      </w:r>
    </w:p>
    <w:p>
      <w:pPr>
        <w:spacing w:after="0" w:line="2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 of Directors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Our Certificate of Incorporation provides that the Board of Directors is divided into three classes of directors, as nearly equal in number as possible, with each class serving a staggered three-year term. As a result, approximately one-third of the board of directors is elected at each annual meeting of stockholders. The staggered board makes it more difficult for a third party to gain control of our board of directors through a single proxy contest, since only one class of directors is up for election at any given annual meeting. As a consequence, directors may not be removed other than for cause.</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Director Nomination and Election Procedures</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In order to nominate candidates for the Board of Directors, a stockholder must follow the advance notice procedures described in our Bylaws. In general, a stockholder must give written notice of such nomination to our Secretary at least 90 calendar days prior to the first anniversary of the preceding year’s annual meeting of stockholders, together with required information regarding the stockholder proponent and the nominee and the written consent of the nominee to serve as director. Directors are elected by a plurality of the voting power of the shares present and entitled to vote on the election of directors at a meeting at which a quorum is present, meaning that the candidates receiving the greatest number of votes are elected, regardless of whether or not they receive a majority of the votes cast. As a result, “vote no” campaigns to unseat incumbent directors may be ineffective in uncontested elections.</w:t>
      </w: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Stockholder Proposal Procedures</w:t>
      </w:r>
    </w:p>
    <w:p>
      <w:pPr>
        <w:spacing w:after="0" w:line="109" w:lineRule="exact"/>
        <w:rPr>
          <w:sz w:val="20"/>
          <w:szCs w:val="20"/>
          <w:color w:val="auto"/>
        </w:rPr>
      </w:pPr>
    </w:p>
    <w:p>
      <w:pPr>
        <w:jc w:val="both"/>
        <w:ind w:left="600" w:right="599" w:firstLine="334"/>
        <w:spacing w:after="0" w:line="268" w:lineRule="auto"/>
        <w:rPr>
          <w:sz w:val="20"/>
          <w:szCs w:val="20"/>
          <w:color w:val="auto"/>
        </w:rPr>
      </w:pPr>
      <w:r>
        <w:rPr>
          <w:rFonts w:ascii="Times New Roman" w:cs="Times New Roman" w:eastAsia="Times New Roman" w:hAnsi="Times New Roman"/>
          <w:sz w:val="16"/>
          <w:szCs w:val="16"/>
          <w:color w:val="auto"/>
        </w:rPr>
        <w:t>Stockholders can propose that business other than nominations to the Board of Directors be considered at an annual meeting of stockholders only if a stockholder follows the advance notice procedures described in our Bylaws. In general, a stockholder must submit a written notice of the proposal together with required information regarding the stockholder and the stockholder’s interest in the proposal to the Board of Directors or our secretary at least 90 calendar days prior to the first anniversary of the preceding year’s annual meeting of stockholders. Stockholders seeking to have a proposal, other than director nominations, considered for inclusion in our annual proxy statement must comply with the requirements of Rule 14a-8 of the proxy rules under the federal securities laws.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Exclusive Forum</w:t>
      </w:r>
    </w:p>
    <w:p>
      <w:pPr>
        <w:spacing w:after="0" w:line="109" w:lineRule="exact"/>
        <w:rPr>
          <w:sz w:val="20"/>
          <w:szCs w:val="20"/>
          <w:color w:val="auto"/>
        </w:rPr>
      </w:pPr>
    </w:p>
    <w:p>
      <w:pPr>
        <w:jc w:val="both"/>
        <w:ind w:left="600" w:right="619" w:firstLine="334"/>
        <w:spacing w:after="0" w:line="268" w:lineRule="auto"/>
        <w:rPr>
          <w:sz w:val="20"/>
          <w:szCs w:val="20"/>
          <w:color w:val="auto"/>
        </w:rPr>
      </w:pPr>
      <w:r>
        <w:rPr>
          <w:rFonts w:ascii="Times New Roman" w:cs="Times New Roman" w:eastAsia="Times New Roman" w:hAnsi="Times New Roman"/>
          <w:sz w:val="16"/>
          <w:szCs w:val="16"/>
          <w:color w:val="auto"/>
        </w:rPr>
        <w:t>Our Bylaws designate the Court of Chancery of the State of Delaware as the sole and exclusive forum for: (i) any derivative action or proceeding brought on behalf of the Company; (ii) any action asserting a claim of breach of fiduciary duty owed by any director, officer or other employee of the Company to the Company or its stockholders;</w:t>
      </w:r>
    </w:p>
    <w:p>
      <w:pPr>
        <w:spacing w:after="0" w:line="1" w:lineRule="exact"/>
        <w:rPr>
          <w:sz w:val="20"/>
          <w:szCs w:val="20"/>
          <w:color w:val="auto"/>
        </w:rPr>
      </w:pPr>
    </w:p>
    <w:p>
      <w:pPr>
        <w:jc w:val="both"/>
        <w:ind w:left="600" w:right="599" w:hanging="4"/>
        <w:spacing w:after="0" w:line="261" w:lineRule="auto"/>
        <w:tabs>
          <w:tab w:leader="none" w:pos="90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against the Company or any director, officer or other employee of the Company arising pursuant to the DGCL, our Certificate of Incorporation or our Bylaws; or (iv) any action asserting a claim governed by the internal affairs doctrine, in each case unless the Company determines in writing that it is in the best interests of the Company to select an alternative forum. This exclusive forum provision does not apply to any claim</w:t>
      </w:r>
    </w:p>
    <w:p>
      <w:pPr>
        <w:spacing w:after="0" w:line="1" w:lineRule="exact"/>
        <w:rPr>
          <w:rFonts w:ascii="Times New Roman" w:cs="Times New Roman" w:eastAsia="Times New Roman" w:hAnsi="Times New Roman"/>
          <w:sz w:val="16"/>
          <w:szCs w:val="16"/>
          <w:color w:val="auto"/>
        </w:rPr>
      </w:pPr>
    </w:p>
    <w:p>
      <w:pPr>
        <w:jc w:val="both"/>
        <w:ind w:left="600" w:right="599"/>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 as to which the Court of Chancery determines that there is an indispensable party not subject to the jurisdiction of the Court of Chancery (and such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the Court of Chancery dismisses any such action for lack of jurisdiction, the action may be brought in another state court sitting in the State of Delaware or, if no state court located within the State of Delaware has jurisdiction, in the federal district court for the District of Delaware. Although our Bylaws contain this choice of forum provision, it is possible that a court could find the provision to be inapplicable or unenforceable, and our stockholders will not be deemed to have waived our compliance with the federal securities laws and the rules and regulations thereunder.</w:t>
      </w:r>
    </w:p>
    <w:p>
      <w:pPr>
        <w:spacing w:after="0" w:line="2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Transactions</w:t>
      </w:r>
    </w:p>
    <w:p>
      <w:pPr>
        <w:spacing w:after="0" w:line="109" w:lineRule="exact"/>
        <w:rPr>
          <w:sz w:val="20"/>
          <w:szCs w:val="20"/>
          <w:color w:val="auto"/>
        </w:rPr>
      </w:pPr>
    </w:p>
    <w:p>
      <w:pPr>
        <w:jc w:val="both"/>
        <w:ind w:left="600" w:right="599" w:firstLine="334"/>
        <w:spacing w:after="0" w:line="267" w:lineRule="auto"/>
        <w:rPr>
          <w:sz w:val="20"/>
          <w:szCs w:val="20"/>
          <w:color w:val="auto"/>
        </w:rPr>
      </w:pPr>
      <w:r>
        <w:rPr>
          <w:rFonts w:ascii="Times New Roman" w:cs="Times New Roman" w:eastAsia="Times New Roman" w:hAnsi="Times New Roman"/>
          <w:sz w:val="16"/>
          <w:szCs w:val="16"/>
          <w:color w:val="auto"/>
        </w:rPr>
        <w:t>Our Certificate of Incorporation provides that no contract or transaction between the Company and one or more of its directors or officers, or between the Company and any other entity in which one or more directors or officers have a financial interest, shall be void or voidable solely for that reason, or solely because the interested director’s or officer’s vote was counted, if: (a) the material facts of the relationship or interest are disclosed to and approved in good faith by a majority of the disinterested members of the board of directors or the relevant committee; (b) the material facts are disclosed to and approved in good faith by the stockholders entitled to vote thereon; or (c) the contract or transaction is fair to the Company at the time it is authorized, approved, or ratified. Interested directors may be counted in determining the presence of a quorum at a meeting authorizing such a contract or transaction.</w:t>
      </w:r>
    </w:p>
    <w:p>
      <w:pPr>
        <w:spacing w:after="0" w:line="66"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In addition to the provisions contained in our Certificate of Incorporation and Bylaws, we are subject to Section 203 of the DGCL. In general, Section 203 prohibits a publicly held Delaware corporation from engaging in a “business combination” with an “interested stockholder” for a period of three years following the date the person became an interested stockholder, unless:</w:t>
      </w:r>
    </w:p>
    <w:p>
      <w:pPr>
        <w:spacing w:after="0" w:line="74" w:lineRule="exact"/>
        <w:rPr>
          <w:sz w:val="20"/>
          <w:szCs w:val="20"/>
          <w:color w:val="auto"/>
        </w:rPr>
      </w:pPr>
    </w:p>
    <w:p>
      <w:pPr>
        <w:jc w:val="both"/>
        <w:ind w:left="1260" w:right="619" w:hanging="330"/>
        <w:spacing w:after="0" w:line="259"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date the person became an interested stockholder, our board of directors approved either the business combination or the transaction that resulted in the stockholder becoming an interested stockholder;</w:t>
      </w:r>
    </w:p>
    <w:p>
      <w:pPr>
        <w:spacing w:after="0" w:line="68" w:lineRule="exact"/>
        <w:rPr>
          <w:rFonts w:ascii="Times New Roman" w:cs="Times New Roman" w:eastAsia="Times New Roman" w:hAnsi="Times New Roman"/>
          <w:sz w:val="17"/>
          <w:szCs w:val="17"/>
          <w:color w:val="auto"/>
        </w:rPr>
      </w:pPr>
    </w:p>
    <w:p>
      <w:pPr>
        <w:jc w:val="both"/>
        <w:ind w:left="1260" w:right="619" w:hanging="330"/>
        <w:spacing w:after="0" w:line="250"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our voting stock outstanding at the time the transaction commenced, excluding for purposes of determining the number of shares of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7" w:lineRule="exact"/>
        <w:rPr>
          <w:rFonts w:ascii="Times New Roman" w:cs="Times New Roman" w:eastAsia="Times New Roman" w:hAnsi="Times New Roman"/>
          <w:sz w:val="17"/>
          <w:szCs w:val="17"/>
          <w:color w:val="auto"/>
        </w:rPr>
      </w:pPr>
    </w:p>
    <w:p>
      <w:pPr>
        <w:jc w:val="both"/>
        <w:ind w:left="1260" w:right="619" w:hanging="330"/>
        <w:spacing w:after="0" w:line="218"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the date the person became an interested stockholder, the business combination is approved by our board of directors and authorized at an annual or special meeting of our stockholders, and not by written consent, by the affirmative vote of at least 66</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7"/>
          <w:szCs w:val="17"/>
          <w:color w:val="auto"/>
        </w:rPr>
        <w:t>% of the outstanding voting stock that is not owned by the interested stockholder.</w:t>
      </w:r>
    </w:p>
    <w:p>
      <w:pPr>
        <w:spacing w:after="0" w:line="87"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For purposes of Section 203, a “business combination” includes, among other things, mergers, asset sales, and other transactions resulting in a financial benefit to the interested stockholder. An “interested stockholder” is generally a person who, together with affiliates and associates, owns, or within the three years prior to the determination of interested stockholder status did own, 15% or more of a corporation’s outstanding voting stock.</w:t>
      </w:r>
    </w:p>
    <w:p>
      <w:pPr>
        <w:spacing w:after="0" w:line="74" w:lineRule="exact"/>
        <w:rPr>
          <w:sz w:val="20"/>
          <w:szCs w:val="20"/>
          <w:color w:val="auto"/>
        </w:rPr>
      </w:pPr>
    </w:p>
    <w:p>
      <w:pPr>
        <w:jc w:val="both"/>
        <w:ind w:left="600" w:right="599" w:firstLine="334"/>
        <w:spacing w:after="0" w:line="254" w:lineRule="auto"/>
        <w:rPr>
          <w:sz w:val="20"/>
          <w:szCs w:val="20"/>
          <w:color w:val="auto"/>
        </w:rPr>
      </w:pPr>
      <w:r>
        <w:rPr>
          <w:rFonts w:ascii="Times New Roman" w:cs="Times New Roman" w:eastAsia="Times New Roman" w:hAnsi="Times New Roman"/>
          <w:sz w:val="17"/>
          <w:szCs w:val="17"/>
          <w:color w:val="auto"/>
        </w:rPr>
        <w:t>A Delaware corporation may “opt out” of Section 203 with an express provision in its original certificate of incorporation or an amendment thereto duly adopted by stockholders. We have not opted out of Section 203. As a result, Section 203 may make it more difficult and expensive for a third party to acquire control of us, and could discourage attempts to acquire us, even if such an acquisition would be beneficial to our stockholders.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PREFERRED STOCK</w:t>
      </w:r>
    </w:p>
    <w:p>
      <w:pPr>
        <w:spacing w:after="0" w:line="109"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We are authorized, pursuant to our Certificate of Incorporation, to issue, from time to time, up to an aggregate of 1,000,000 shares of preferred stock in one or more series. As of June 26, 2026, there were no shares of our preferred stock outstanding.</w:t>
      </w:r>
    </w:p>
    <w:p>
      <w:pPr>
        <w:spacing w:after="0" w:line="6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Our board of directors may, without further action by our stockholders, from time to time, direct the issuance of shares of preferred stock in one or more series. Our board of directors may fix or alter the designation, preferences, rights and any qualification, limitations, or restrictions of the shares of any series, including the dividend rights, dividend rates, conversion rights, voting rights, redemption terms and prices, liquidation preferences and the number of shares constituting any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the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79"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69" w:lineRule="exact"/>
        <w:rPr>
          <w:sz w:val="20"/>
          <w:szCs w:val="20"/>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stated value;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offered, the liquidation preference per share and the purchase price;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rate(s), period(s) and/or payment date(s), or method(s) of calculation for such dividends;</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will be cumulative or non-cumulative and, if cumulative, the date from which dividends will accumulate;</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for any auction and remarketing, if any;</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a sinking fund, if any;</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redemption, if applicable;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of the preferred stock on any securities exchange or market;</w:t>
      </w:r>
    </w:p>
    <w:p>
      <w:pPr>
        <w:spacing w:after="0" w:line="105"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convertible into our common stock or other securities of the Company, and, if applicable, the conversion price (or how it will be calculated), the conversion period and any other terms of conversion (including any anti-dilution provisions, if any);</w:t>
      </w:r>
    </w:p>
    <w:p>
      <w:pPr>
        <w:spacing w:after="0" w:line="68"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8"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if any, of the preferred stock;</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U.S. federal income tax considerations applicable to the preferred stock;</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ranking and preferences of the preferred stock as to dividend rights and rights upon liquidation, dissolution or winding up of the affairs of the Company;</w:t>
      </w:r>
    </w:p>
    <w:p>
      <w:pPr>
        <w:spacing w:after="0" w:line="57"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limitations on issuance of any series of preferred stock ranking senior to or on a parity with the series of preferred stock as to dividend rights and rights upon liquidation, dissolution or winding up of the Company; and</w:t>
      </w:r>
    </w:p>
    <w:p>
      <w:pPr>
        <w:spacing w:after="0" w:line="68"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affirmative, negative or other covenants or contractual rights which might be attendant with the specific series of preferred stock.</w:t>
      </w:r>
    </w:p>
    <w:p>
      <w:pPr>
        <w:spacing w:after="0" w:line="58"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preferred stock offered by this prospectus, when issued, will not have, or be subject to, any preemptive or similar rights.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109"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transfer agent and registrar for any series of preferred stock will be set forth in each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DEBT SECURITIES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78"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We will issue any debt securities under an indenture to be entered into between us and the trustee identified in the applicable prospectus supplement. The terms of the debt securities will include those stated in the indenture any amendment or supplement thereto and those made part of the indenture by reference to the Trust Indenture Act of 1939 (the “Trust Indenture Act”), as in effect on the date of the indenture. We have filed or will file a copy of the form of indenture as an exhibit to the registration statement in which this prospectus is included.</w:t>
      </w:r>
    </w:p>
    <w:p>
      <w:pPr>
        <w:spacing w:after="0" w:line="76"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The following statements relating to the debt securities and the indenture are summaries, qualified in their entirety by reference to the detailed provisions of the indenture and the final form indenture which will be filed with a future prospectus supplement and any amendment or supplement thereto.</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6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the following terms of the debt securities in respect of which the prospectus supplement is delivered:</w:t>
      </w:r>
    </w:p>
    <w:p>
      <w:pPr>
        <w:spacing w:after="0" w:line="58" w:lineRule="exact"/>
        <w:rPr>
          <w:sz w:val="20"/>
          <w:szCs w:val="20"/>
          <w:color w:val="auto"/>
        </w:rPr>
      </w:pPr>
    </w:p>
    <w:p>
      <w:pPr>
        <w:ind w:left="1260" w:hanging="330"/>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 price or prices, expressed as a percentage of the aggregate principal amount of the debt securities;</w:t>
      </w:r>
    </w:p>
    <w:p>
      <w:pPr>
        <w:spacing w:after="0" w:line="116" w:lineRule="exact"/>
        <w:rPr>
          <w:rFonts w:ascii="Times New Roman" w:cs="Times New Roman" w:eastAsia="Times New Roman" w:hAnsi="Times New Roman"/>
          <w:sz w:val="16"/>
          <w:szCs w:val="16"/>
          <w:color w:val="auto"/>
        </w:rPr>
      </w:pPr>
    </w:p>
    <w:p>
      <w:pPr>
        <w:ind w:left="1260" w:hanging="330"/>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on the aggregate principal amount;</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principal is payable;</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or rates (which may be fixed or variable) or, if applicable, the method used to determine such rate or rates;</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interest, if any, will be payable and any regular record date for the interest payable;</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principal and, if applicable, premium and interest, is payable;</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upon which we may, or the holders may require us to, redeem or repurchase the debt securities;</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such debt securities may be issuable, if other than denominations of $1,000 or any integral multiple of that number;</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are to be issuable in the form of certificated securities (as described below) or global securities (as described below);</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principal amount that will be payable upon declaration of acceleration of the maturity date if other than the principal amount of the debt securities;</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currency, currencies or currency units in which payment of principal and, if applicable, premium and interest, will be made;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jc w:val="both"/>
        <w:ind w:left="1260" w:right="619" w:hanging="330"/>
        <w:spacing w:after="0" w:line="259"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8"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8"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relating to any collateral provided for such debt securities;</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or change in the covenants and/or the acceleration provisions described in this prospectus or in the indenture;</w:t>
      </w:r>
    </w:p>
    <w:p>
      <w:pPr>
        <w:spacing w:after="0" w:line="53"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events of default, if not otherwise described below under “ </w:t>
      </w:r>
      <w:r>
        <w:rPr>
          <w:rFonts w:ascii="Times New Roman" w:cs="Times New Roman" w:eastAsia="Times New Roman" w:hAnsi="Times New Roman"/>
          <w:sz w:val="17"/>
          <w:szCs w:val="17"/>
          <w:i w:val="1"/>
          <w:iCs w:val="1"/>
          <w:color w:val="auto"/>
        </w:rPr>
        <w:t>- Defaults and Notice</w:t>
      </w:r>
      <w:r>
        <w:rPr>
          <w:rFonts w:ascii="Times New Roman" w:cs="Times New Roman" w:eastAsia="Times New Roman" w:hAnsi="Times New Roman"/>
          <w:sz w:val="17"/>
          <w:szCs w:val="17"/>
          <w:color w:val="auto"/>
        </w:rPr>
        <w:t>”;</w:t>
      </w:r>
    </w:p>
    <w:p>
      <w:pPr>
        <w:spacing w:after="0" w:line="109"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for conversion into or exchange for shares of our common stock or preferred stock;</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depositaries, interest rate calculation agents, exchange rate calculation agents or other agents;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guarantees of the debt securities;</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the debt securities shall be subordinated in right of payment to other indebtedness of the Company; and</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pursuant to which the debt securities, in whole or in part, shall be defeasible.</w:t>
      </w:r>
    </w:p>
    <w:p>
      <w:pPr>
        <w:spacing w:after="0" w:line="58"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All debt securities of one series need not be issued at the same time and, unless otherwise provided, a series may be reopened, without the consent of any holder, for issuances of additional debt securities of that series with the same terms as the original debt securities of that series (other than the issue price and the interest accrued prior to the issue date of the additional debt securities). 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Exchange and/or Conversion Rights</w:t>
      </w:r>
    </w:p>
    <w:p>
      <w:pPr>
        <w:spacing w:after="0" w:line="109"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and Exchange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We may issue debt securities that will be represented by either:</w:t>
      </w:r>
    </w:p>
    <w:p>
      <w:pPr>
        <w:spacing w:after="0" w:line="105" w:lineRule="exact"/>
        <w:rPr>
          <w:sz w:val="20"/>
          <w:szCs w:val="20"/>
          <w:color w:val="auto"/>
        </w:rPr>
      </w:pPr>
    </w:p>
    <w:p>
      <w:pPr>
        <w:ind w:left="1260" w:right="619" w:hanging="330"/>
        <w:spacing w:after="0" w:line="272"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“book-entry securities,” which means that there will be one or more global securities registered in the name of a depositary or a nominee of a depositary; or</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“certificated securities,” which means that they will be represented by a certificate issued in definitive registered form.</w:t>
      </w:r>
    </w:p>
    <w:p>
      <w:pPr>
        <w:spacing w:after="0" w:line="58"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We will specify in the prospectus supplement applicable to a particular offering whether the debt securities offered will be book-entry or certificated securities.</w:t>
      </w:r>
    </w:p>
    <w:p>
      <w:pPr>
        <w:spacing w:after="0" w:line="58"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If you hold debt securities issued under an indenture, you may transfer or exchange such debt securities in accordance with the terms of the indenture. You will not be charged a service charge for any transfer or exchange of debt securities but may be required to pay an amount sufficient to cover any transfer tax or other governmental charge payable in connection with such transfer or exchange.</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09"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The debt securities of a series may be issued in the form of one or more global securities that will be deposited with a depositary or its nominees identified in the prospectus supplement relating to the debt securities. In such a case, one 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jc w:val="both"/>
        <w:ind w:left="600" w:right="619"/>
        <w:spacing w:after="0" w:line="259" w:lineRule="auto"/>
        <w:rPr>
          <w:sz w:val="20"/>
          <w:szCs w:val="20"/>
          <w:color w:val="auto"/>
        </w:rPr>
      </w:pPr>
      <w:r>
        <w:rPr>
          <w:rFonts w:ascii="Times New Roman" w:cs="Times New Roman" w:eastAsia="Times New Roman" w:hAnsi="Times New Roman"/>
          <w:sz w:val="17"/>
          <w:szCs w:val="17"/>
          <w:color w:val="auto"/>
        </w:rPr>
        <w:t>more global securities will be issued in a denomination or aggregate denominations equal to the portion of the aggregate principal amount of outstanding debt securities of the series to be represented by such global security or securities.</w:t>
      </w:r>
    </w:p>
    <w:p>
      <w:pPr>
        <w:spacing w:after="0" w:line="69" w:lineRule="exact"/>
        <w:rPr>
          <w:sz w:val="20"/>
          <w:szCs w:val="20"/>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Protection in the Event of Change of Control</w:t>
      </w:r>
    </w:p>
    <w:p>
      <w:pPr>
        <w:spacing w:after="0" w:line="109"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Any provision in an indenture that governs our debt securities covered by this prospectus that includes any covenant or other provision providing for a put or increased interest or that would otherwise afford holders of our debt securities additional protection in the event of a recapitalization transaction, a change of control of the Company, or a highly leveraged transaction will be described in the applicable prospectus supplement.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09"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Consolidation, Merger and Sale of Assets</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may agree in any indenture that governs the debt securities of any series covered by this prospectus that we will not consolidate with or merge with or into any other person or convey, transfer, sell or lease our properties and assets substantially as an entirety to any person while such debt securities are outstanding, unless:</w:t>
      </w:r>
    </w:p>
    <w:p>
      <w:pPr>
        <w:spacing w:after="0" w:line="69" w:lineRule="exact"/>
        <w:rPr>
          <w:sz w:val="20"/>
          <w:szCs w:val="20"/>
          <w:color w:val="auto"/>
        </w:rPr>
      </w:pPr>
    </w:p>
    <w:p>
      <w:pPr>
        <w:jc w:val="both"/>
        <w:ind w:left="1260" w:right="619" w:hanging="330"/>
        <w:spacing w:after="0" w:line="252" w:lineRule="auto"/>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the surviving entity of any such transaction or the successor entity (if other than the Company) formed by such transaction is a corporation, partnership, trust or other entity organized and validly existing under the laws of the United States of America, or any state thereof or the District of Columbia, and expressly assumes by a supplemental indenture or otherwise all of our obligations related to such debt securities under the indenture; and</w:t>
      </w:r>
    </w:p>
    <w:p>
      <w:pPr>
        <w:spacing w:after="0" w:line="7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merger or consolidation, no default or event of default shall have occurred and be continuing.</w:t>
      </w:r>
    </w:p>
    <w:p>
      <w:pPr>
        <w:spacing w:after="0" w:line="58"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Notwithstanding the foregoing, the indenture may permit any of our subsidiaries to consolidate with, merge into or transfer all or part of its properties to us. Neither an officer’s certificate nor an opinion of counsel will be required to be delivered in connection with any such transaction.</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Defaults and Notice</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debt securities of any series will contain events of default to be specified in the applicable prospectus supplement, which may include, without limitation:</w:t>
      </w:r>
    </w:p>
    <w:p>
      <w:pPr>
        <w:spacing w:after="0" w:line="58" w:lineRule="exact"/>
        <w:rPr>
          <w:sz w:val="20"/>
          <w:szCs w:val="20"/>
          <w:color w:val="auto"/>
        </w:rPr>
      </w:pPr>
    </w:p>
    <w:p>
      <w:pPr>
        <w:ind w:left="1260" w:right="619" w:hanging="330"/>
        <w:spacing w:after="0" w:line="272" w:lineRule="auto"/>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the principal of, or premium, if any, on any debt security of such series when due and payable (whether at maturity, upon redemption, acceleration or otherwise);</w:t>
      </w:r>
    </w:p>
    <w:p>
      <w:pPr>
        <w:spacing w:after="0" w:line="57"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make a payment of any interest on any debt security of such series when due and payable and such failure continues for a period of 30 days (unless the entire amount of such payment is deposited with the trustee or with a paying agent prior to the expiration of the 30-day period);</w:t>
      </w:r>
    </w:p>
    <w:p>
      <w:pPr>
        <w:spacing w:after="0" w:line="68" w:lineRule="exact"/>
        <w:rPr>
          <w:rFonts w:ascii="Times New Roman" w:cs="Times New Roman" w:eastAsia="Times New Roman" w:hAnsi="Times New Roman"/>
          <w:sz w:val="17"/>
          <w:szCs w:val="17"/>
          <w:color w:val="auto"/>
        </w:rPr>
      </w:pPr>
    </w:p>
    <w:p>
      <w:pPr>
        <w:jc w:val="both"/>
        <w:ind w:left="1260" w:right="619" w:hanging="330"/>
        <w:spacing w:after="0" w:line="251" w:lineRule="auto"/>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perform or observe any other covenant or warranty in the indenture with respect to the debt securities of such series (other than defaults pursuant to a covenant or warranty that has been included in the indenture solely for the benefit of a different series of the debt securities), which failure continues uncured for a period of 60 days after we receive written notice of such failure from the trustee, or from the holders of at least 25% in aggregate principal amount of the then-outstanding debt securities of such series, specifying the default and requiring it to be remedied;</w:t>
      </w:r>
    </w:p>
    <w:p>
      <w:pPr>
        <w:spacing w:after="0" w:line="7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relating to our or any guarantor’s bankruptcy, insolvency or reorganization; and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jc w:val="both"/>
        <w:ind w:left="1260" w:right="619" w:hanging="330"/>
        <w:spacing w:after="0" w:line="259" w:lineRule="auto"/>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the debt securities of such series, which is specified in a board resolution, a supplemental indenture thereto or an officer’s certificate delivered in connection therewith.</w:t>
      </w:r>
    </w:p>
    <w:p>
      <w:pPr>
        <w:spacing w:after="0" w:line="69" w:lineRule="exact"/>
        <w:rPr>
          <w:sz w:val="20"/>
          <w:szCs w:val="20"/>
          <w:color w:val="auto"/>
        </w:rPr>
      </w:pPr>
    </w:p>
    <w:p>
      <w:pPr>
        <w:jc w:val="both"/>
        <w:ind w:left="600" w:right="599" w:firstLine="334"/>
        <w:spacing w:after="0" w:line="266" w:lineRule="auto"/>
        <w:rPr>
          <w:sz w:val="20"/>
          <w:szCs w:val="20"/>
          <w:color w:val="auto"/>
        </w:rPr>
      </w:pPr>
      <w:r>
        <w:rPr>
          <w:rFonts w:ascii="Times New Roman" w:cs="Times New Roman" w:eastAsia="Times New Roman" w:hAnsi="Times New Roman"/>
          <w:sz w:val="16"/>
          <w:szCs w:val="16"/>
          <w:color w:val="auto"/>
        </w:rPr>
        <w:t>If an event of default with respect to debt securities of any series (other than an event of default resulting from certain events relating to our or any guarantor’s bankruptcy, insolvency or reorganization) shall occur and be continuing, the trustee or the holders of at least 25% in aggregate principal amount of the then-outstanding debt securities of such series may declare the principal amount of all debt securities of such series (or such lesser amount as may be provided for in the case of discount securities), together with accrued and unpaid interest, if any, thereon, to be due and payable immediately by written notice to us. If an event of default resulting from certain events of our or any guarantor’s bankruptcy, insolvency or reorganization occurs, the principal amount of, and accrued and unpaid interest, if any, on, all outstanding debt securities will become due and payable immediately without any declaration or other act on the part of the trustee or any holder. Any provisions pertaining to events of default and any remedies associated therewith will be described in the applicable prospectus supplement.</w:t>
      </w:r>
    </w:p>
    <w:p>
      <w:pPr>
        <w:spacing w:after="0" w:line="65"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may require that the trustee under such indenture shall, within 90 days after a default occurs with respect to debt securities of any series or, if later, after a responsible officer of the trustee has knowledge of such default, give to holders of debt securities of such series notice of such default known to it. However, except in the case of a default that results from the failure to make any payment of the principal of, or interest or premium, if any, on the debt securities of any series,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81"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will contain a provision entitling the trustee to be indemnified by holders of debt securities before instituting a proceeding or pursuing a remedy under the indenture at the request of such holders. Any such indenture may provide that the holders of at least a majority in aggregate principal amount of the then-outstanding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that the actions or proceedings as directed may not lawfully be taken, would involve the trustee in personal liability or would be unduly prejudicial to the holders of the debt securities of such series not joining in such direction.</w:t>
      </w:r>
    </w:p>
    <w:p>
      <w:pPr>
        <w:spacing w:after="0" w:line="79" w:lineRule="exact"/>
        <w:rPr>
          <w:sz w:val="20"/>
          <w:szCs w:val="20"/>
          <w:color w:val="auto"/>
        </w:rPr>
      </w:pPr>
    </w:p>
    <w:p>
      <w:pPr>
        <w:jc w:val="both"/>
        <w:ind w:left="600" w:right="619" w:firstLine="334"/>
        <w:spacing w:after="0" w:line="266" w:lineRule="auto"/>
        <w:rPr>
          <w:sz w:val="20"/>
          <w:szCs w:val="20"/>
          <w:color w:val="auto"/>
        </w:rPr>
      </w:pPr>
      <w:r>
        <w:rPr>
          <w:rFonts w:ascii="Times New Roman" w:cs="Times New Roman" w:eastAsia="Times New Roman" w:hAnsi="Times New Roman"/>
          <w:sz w:val="16"/>
          <w:szCs w:val="16"/>
          <w:color w:val="auto"/>
        </w:rPr>
        <w:t>Any indenture that governs our debt securities covered by this prospectus may permit the holders of such debt securities to institute a proceeding with respect to such indenture, subject to certain conditions, which will be specified in the applicable prospectus supplement and which may include that the holders of at least 25% in aggregate principal amount of the debt securities of such series then-outstanding make a prior written request upon the trustee to exercise its power under the indenture, and offer reasonable indemnity to the trustee.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Modification of the Indenture</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any guarantors and the trustee may amend or supplement any indenture that governs our debt securities, or the debt securities of one or more series, without the consent of any holder of any such debt security for certain limited purposes, including, without limitation:</w:t>
      </w:r>
    </w:p>
    <w:p>
      <w:pPr>
        <w:spacing w:after="0" w:line="69" w:lineRule="exact"/>
        <w:rPr>
          <w:sz w:val="20"/>
          <w:szCs w:val="20"/>
          <w:color w:val="auto"/>
        </w:rPr>
      </w:pPr>
    </w:p>
    <w:p>
      <w:pPr>
        <w:ind w:left="1260" w:hanging="330"/>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assumption of our obligations by a successor in the event of merger, consolidation or other transfer of properties or assets;</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our rights or powers under the indenture;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holders of our debt securities;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guarantors or to secure the debt securities;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1260" w:right="619" w:hanging="330"/>
        <w:spacing w:after="0" w:line="272" w:lineRule="auto"/>
        <w:tabs>
          <w:tab w:leader="none" w:pos="1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of a new series of debt securities as permitted by the indenture; or</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w:t>
      </w:r>
    </w:p>
    <w:p>
      <w:pPr>
        <w:spacing w:after="0" w:line="105"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We, any guarantors and the trustee may also amend or supplement any such indenture, and holders may waive compliance with any provision of the indenture or the debt securities, with the written consent of the holders of at least a majority in aggregate principal amount of the then-outstanding debt securities of each series affected by such amendment, supplement or waiver. However, without the consent of each holder affected, no amendment, supplement or waiver may;</w:t>
      </w:r>
    </w:p>
    <w:p>
      <w:pPr>
        <w:spacing w:after="0" w:line="76" w:lineRule="exact"/>
        <w:rPr>
          <w:sz w:val="20"/>
          <w:szCs w:val="20"/>
          <w:color w:val="auto"/>
        </w:rPr>
      </w:pPr>
    </w:p>
    <w:p>
      <w:pPr>
        <w:ind w:left="1260" w:right="619" w:hanging="330"/>
        <w:spacing w:after="0" w:line="272"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debt securities whose holders must consent to an amendment, supplement or waiver;</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on any debt security, including default interest;</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change the stated maturity of any debt security, or reduce the amount of, or postpone the date fixed for, any sinking fund payment or analogous obligation;</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the maturity thereof;</w:t>
      </w:r>
    </w:p>
    <w:p>
      <w:pPr>
        <w:spacing w:after="0" w:line="105"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event of default in the payment of principal of or interest on any debt security (except a rescission of acceleration by the holders of at least of majority in principal of the then-outstanding debt securities of such series and a waiver of the related payment default);</w:t>
      </w:r>
    </w:p>
    <w:p>
      <w:pPr>
        <w:spacing w:after="0" w:line="68"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interest on (if any), any debt security payable in any currency other than that stated in such debt security;</w:t>
      </w:r>
    </w:p>
    <w:p>
      <w:pPr>
        <w:spacing w:after="0" w:line="57"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any holder’s unconditional right to receive payment of the principal of, or interest on (if any), any debt security on its stated maturity and to institute suit for the enforcement of any such payment;</w:t>
      </w:r>
    </w:p>
    <w:p>
      <w:pPr>
        <w:spacing w:after="0" w:line="68"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the right of the holders of at least a majority in aggregate principal amount of the then- outstanding debt securities of each series to waive a past default and its consequences as provided in the indenture;</w:t>
      </w:r>
    </w:p>
    <w:p>
      <w:pPr>
        <w:spacing w:after="0" w:line="68"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the limitations on amendments as provided in the indenture;</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debt security (provided, that such redemption is made at our option); or</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debt securities of a series are entitled to the benefit of a guarantee, release any guarantor other than as provided in the indenture or modify the guarantee in any manner adverse to the holders.</w:t>
      </w:r>
    </w:p>
    <w:p>
      <w:pPr>
        <w:spacing w:after="0" w:line="3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Defeasance; Satisfaction and Discharge</w:t>
      </w:r>
    </w:p>
    <w:p>
      <w:pPr>
        <w:spacing w:after="0" w:line="109"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The prospectus supplement relating to the applicable debt securities will outline the conditions under which we may elect to have certain of our obligations under the indenture discharged and under which the indenture obligations will be deemed to be satisfied.</w:t>
      </w:r>
    </w:p>
    <w:p>
      <w:pPr>
        <w:spacing w:after="0" w:line="6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may provide that we may discharge our obligations under such debt securities and the indenture with respect to such debt securities if:</w:t>
      </w:r>
    </w:p>
    <w:p>
      <w:pPr>
        <w:spacing w:after="0" w:line="58" w:lineRule="exact"/>
        <w:rPr>
          <w:sz w:val="20"/>
          <w:szCs w:val="20"/>
          <w:color w:val="auto"/>
        </w:rPr>
      </w:pPr>
    </w:p>
    <w:p>
      <w:pPr>
        <w:jc w:val="both"/>
        <w:ind w:left="1260" w:right="619" w:hanging="330"/>
        <w:spacing w:after="0" w:line="268" w:lineRule="auto"/>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(A) there shall have been canceled by the trustee under the indenture, or delivered to the trustee for cancellation, all debt securities of such series theretofore authenticated and delivered (other than debt securities that have been destroyed, lost or stolen and that have been replaced or paid); or (B) all such debt securities not theretofore delivered to the trustee for cancellation (i) have become due and payable (ii) will become due and payable within one year, (iii) have been called for redemption, (iv) are to be called for redemption within one year under arrangements satisfactory to the trustee, for the giving of notice of redemption by the trustee, or (v) have been deemed paid and discharged pursuant to the indenture;</w:t>
      </w:r>
    </w:p>
    <w:p>
      <w:pPr>
        <w:spacing w:after="0" w:line="64" w:lineRule="exact"/>
        <w:rPr>
          <w:rFonts w:ascii="Times New Roman" w:cs="Times New Roman" w:eastAsia="Times New Roman" w:hAnsi="Times New Roman"/>
          <w:sz w:val="16"/>
          <w:szCs w:val="16"/>
          <w:color w:val="auto"/>
        </w:rPr>
      </w:pPr>
    </w:p>
    <w:p>
      <w:pPr>
        <w:jc w:val="both"/>
        <w:ind w:left="1260" w:right="619" w:hanging="330"/>
        <w:spacing w:after="0" w:line="259" w:lineRule="auto"/>
        <w:tabs>
          <w:tab w:leader="none" w:pos="1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irrevocably deposited or caused to be deposited with the trustee funds in an amount sufficient to pay and discharge the entire indebtedness on the debt securities not theretofore delivered to the trustee for cancellation, for principal, premium, if any, and interest to the maturity or date of redemption;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1" w:lineRule="exact"/>
        <w:rPr>
          <w:sz w:val="20"/>
          <w:szCs w:val="20"/>
          <w:color w:val="auto"/>
        </w:rPr>
      </w:pPr>
    </w:p>
    <w:p>
      <w:pPr>
        <w:ind w:left="1260" w:right="619" w:hanging="330"/>
        <w:spacing w:after="0" w:line="272" w:lineRule="auto"/>
        <w:tabs>
          <w:tab w:leader="none" w:pos="12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all other sums payable by us under the indenture or deposited all other required sums with the trustee; and</w:t>
      </w:r>
    </w:p>
    <w:p>
      <w:pPr>
        <w:spacing w:after="0" w:line="57" w:lineRule="exact"/>
        <w:rPr>
          <w:rFonts w:ascii="Times New Roman" w:cs="Times New Roman" w:eastAsia="Times New Roman" w:hAnsi="Times New Roman"/>
          <w:sz w:val="17"/>
          <w:szCs w:val="17"/>
          <w:color w:val="auto"/>
        </w:rPr>
      </w:pPr>
    </w:p>
    <w:p>
      <w:pPr>
        <w:ind w:left="1260" w:right="619" w:hanging="330"/>
        <w:spacing w:after="0" w:line="304" w:lineRule="auto"/>
        <w:tabs>
          <w:tab w:leader="none" w:pos="1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delivered to the trustee an officer’s certificate and an opinion of counsel, each stating that all conditions precedent relating to the satisfaction and discharge of this indenture have been complied with.</w:t>
      </w:r>
    </w:p>
    <w:p>
      <w:pPr>
        <w:spacing w:after="0" w:line="35"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6"/>
          <w:szCs w:val="16"/>
          <w:color w:val="auto"/>
        </w:rPr>
        <w:t>Any indenture that governs our debt securities covered by this prospectus may provide that we may be discharged from our obligations with respect to any debt securities, subject to certain exceptions. Further, any indenture that governs our debt securities covered by this prospectus may provide that we may be released from our obligations under certain sections of such indenture, subject to certain exceptions. In either case, such indenture may provide that certain conditions must be satisfied prior to such discharge or release, including, but not limited to:</w:t>
      </w:r>
    </w:p>
    <w:p>
      <w:pPr>
        <w:spacing w:after="0" w:line="60" w:lineRule="exact"/>
        <w:rPr>
          <w:sz w:val="20"/>
          <w:szCs w:val="20"/>
          <w:color w:val="auto"/>
        </w:rPr>
      </w:pPr>
    </w:p>
    <w:p>
      <w:pPr>
        <w:jc w:val="both"/>
        <w:ind w:left="1260" w:right="619" w:hanging="330"/>
        <w:spacing w:after="0" w:line="269" w:lineRule="auto"/>
        <w:tabs>
          <w:tab w:leader="none" w:pos="12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shall have irrevocably deposited with the trustee, in trust, for the purpose of making the following payments, specifically pledged as security for, and dedicated solely to, the benefit of the holders of the debt securities, (a) money, (b) U.S. or foreign government obligations which through the scheduled payment of principal and interest in respect thereof in accordance with their terms will provide, not later than the due date of any payment, money, or (c) a combination thereof, in an amount sufficient to pay the entire indebtedness on such debt securities in respect of principal, accrued interest and premium, if any;</w:t>
      </w:r>
    </w:p>
    <w:p>
      <w:pPr>
        <w:spacing w:after="0" w:line="65" w:lineRule="exact"/>
        <w:rPr>
          <w:rFonts w:ascii="Times New Roman" w:cs="Times New Roman" w:eastAsia="Times New Roman" w:hAnsi="Times New Roman"/>
          <w:sz w:val="16"/>
          <w:szCs w:val="16"/>
          <w:color w:val="auto"/>
        </w:rPr>
      </w:pPr>
    </w:p>
    <w:p>
      <w:pPr>
        <w:ind w:left="1260" w:right="619" w:hanging="330"/>
        <w:spacing w:after="0" w:line="272" w:lineRule="auto"/>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no continuing default or event of default with respect to such debt securities at the time of the deposit or after giving effect thereto;</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actions shall not result in a breach or violation of, or constitute a default under, any other agreement or instrument to which we are bound; and</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shall have delivered an officer’s certificate and an opinion of counsel relating to certain tax matters and that all conditions precedent relating to the defeasance have been complied with.</w:t>
      </w:r>
    </w:p>
    <w:p>
      <w:pPr>
        <w:spacing w:after="0" w:line="3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Regarding the Trustee</w:t>
      </w:r>
    </w:p>
    <w:p>
      <w:pPr>
        <w:spacing w:after="0" w:line="109" w:lineRule="exact"/>
        <w:rPr>
          <w:sz w:val="20"/>
          <w:szCs w:val="20"/>
          <w:color w:val="auto"/>
        </w:rPr>
      </w:pPr>
    </w:p>
    <w:p>
      <w:pPr>
        <w:jc w:val="both"/>
        <w:ind w:left="600" w:right="619" w:firstLine="334"/>
        <w:spacing w:after="0" w:line="250" w:lineRule="auto"/>
        <w:rPr>
          <w:sz w:val="20"/>
          <w:szCs w:val="20"/>
          <w:color w:val="auto"/>
        </w:rPr>
      </w:pPr>
      <w:r>
        <w:rPr>
          <w:rFonts w:ascii="Times New Roman" w:cs="Times New Roman" w:eastAsia="Times New Roman" w:hAnsi="Times New Roman"/>
          <w:sz w:val="17"/>
          <w:szCs w:val="17"/>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the Company, the indenture and the Trust Indenture Act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it must eliminate such conflict or resign.</w:t>
      </w:r>
    </w:p>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law governing the indenture and the debt securities will be governed by, and construed in accordance with, the internal laws of the State of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OUR WARRANTS</w:t>
      </w:r>
    </w:p>
    <w:p>
      <w:pPr>
        <w:spacing w:after="0" w:line="3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9" w:lineRule="exact"/>
        <w:rPr>
          <w:sz w:val="20"/>
          <w:szCs w:val="20"/>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76"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applicable prospectus supplement will contain, where applicable, the following terms of and other information relating to the warrants:</w:t>
      </w:r>
    </w:p>
    <w:p>
      <w:pPr>
        <w:spacing w:after="0" w:line="58" w:lineRule="exact"/>
        <w:rPr>
          <w:sz w:val="20"/>
          <w:szCs w:val="20"/>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designation and aggregate number of, and the price at which we will issue, the warrants;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currency units in which the offering price, if any, and the exercise price are payable;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amount and terms of the securities purchasable upon exercise of the warrants;</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shares of our common stock and the number of shares of common stock to be received upon exercise of the warrants;</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shares of our preferred stock, the number of shares of preferred stock to be received upon exercise of the warrants and a description of that series of our preferred stock;</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our debt securities, the amount of our debt securities to be received upon exercise of the warrants, and a description of that series of debt securities;</w:t>
      </w:r>
    </w:p>
    <w:p>
      <w:pPr>
        <w:spacing w:after="0" w:line="57"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8" w:lineRule="exact"/>
        <w:rPr>
          <w:rFonts w:ascii="Times New Roman" w:cs="Times New Roman" w:eastAsia="Times New Roman" w:hAnsi="Times New Roman"/>
          <w:sz w:val="17"/>
          <w:szCs w:val="17"/>
          <w:color w:val="auto"/>
        </w:rPr>
      </w:pPr>
    </w:p>
    <w:p>
      <w:pPr>
        <w:jc w:val="both"/>
        <w:ind w:left="1260" w:right="619" w:hanging="330"/>
        <w:spacing w:after="0" w:line="259"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68"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material U.S. federal income tax consequences;</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warrant agent for the warrants and of any other depositaries, execution or paying agents, transfer agents, registrars or other agents;</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listing, if any, of the warrants or any securities purchasable upon exercise of the warrants on any securities exchange or market;</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from and after which the warrants and the common stock, preferred stock and/or debt securities will be separately transferable;</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the warrants that may be exercised at any one time;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with respect to book-entry procedures, if any;</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anti-dilution provisions of the warrants, if any;</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call provisions;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are to be sold separately or with other securities as parts of units; and</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and exercise of the warrants.</w:t>
      </w:r>
    </w:p>
    <w:p>
      <w:pPr>
        <w:spacing w:after="0" w:line="3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transfer agent and registrar for any warrants will be set forth in the applicable prospectus supplement.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1" w:name="page52"/>
    <w:bookmarkEnd w:id="5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UNITS</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debt securities, warrants and/or subscription rights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81"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6"/>
          <w:szCs w:val="16"/>
          <w:color w:val="auto"/>
        </w:rPr>
        <w:t>We may issue units comprised of one or more shares of common stock or preferred stock, debt securities, warrants and/or subscription rights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units, including:</w:t>
      </w:r>
    </w:p>
    <w:p>
      <w:pPr>
        <w:spacing w:after="0" w:line="105" w:lineRule="exact"/>
        <w:rPr>
          <w:sz w:val="20"/>
          <w:szCs w:val="20"/>
          <w:color w:val="auto"/>
        </w:rPr>
      </w:pPr>
    </w:p>
    <w:p>
      <w:pPr>
        <w:ind w:left="1260" w:right="619" w:hanging="330"/>
        <w:spacing w:after="0" w:line="272" w:lineRule="auto"/>
        <w:tabs>
          <w:tab w:leader="none" w:pos="12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the units and of the securities comprising the units, including whether, and under what circumstances, those securities may be held or transferred separately;</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and obligations of the unit agent, if any;</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of the governing unit agreement that differ from those described below; and</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the issuance, payment, settlement, transfer or exchange of the units or of the securities comprising the units.</w:t>
      </w:r>
    </w:p>
    <w:p>
      <w:pPr>
        <w:spacing w:after="0" w:line="54" w:lineRule="exact"/>
        <w:rPr>
          <w:sz w:val="20"/>
          <w:szCs w:val="20"/>
          <w:color w:val="auto"/>
        </w:rPr>
      </w:pPr>
    </w:p>
    <w:p>
      <w:pPr>
        <w:jc w:val="both"/>
        <w:ind w:left="600" w:right="619" w:firstLine="334"/>
        <w:spacing w:after="0" w:line="256"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w:t>
      </w:r>
      <w:r>
        <w:rPr>
          <w:rFonts w:ascii="Times New Roman" w:cs="Times New Roman" w:eastAsia="Times New Roman" w:hAnsi="Times New Roman"/>
          <w:sz w:val="17"/>
          <w:szCs w:val="17"/>
          <w:i w:val="1"/>
          <w:iCs w:val="1"/>
          <w:color w:val="auto"/>
        </w:rPr>
        <w:t>Description of Our Common Stock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Description of Our Preferred Stock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Description of Our Debt Securities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Description of Our Warrants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Description of Our Subscription Rights</w:t>
      </w:r>
      <w:r>
        <w:rPr>
          <w:rFonts w:ascii="Times New Roman" w:cs="Times New Roman" w:eastAsia="Times New Roman" w:hAnsi="Times New Roman"/>
          <w:sz w:val="17"/>
          <w:szCs w:val="17"/>
          <w:color w:val="auto"/>
        </w:rPr>
        <w:t>,” will apply to each unit and to any common stock, preferred stock, debt securities, warrants or subscription rights included in each unit, respectively.</w:t>
      </w:r>
    </w:p>
    <w:p>
      <w:pPr>
        <w:spacing w:after="0" w:line="3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Issuance in Series</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We may issue units in such amounts and in numerous distinct series as we determine.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2" w:name="page53"/>
    <w:bookmarkEnd w:id="5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OUR SUBSCRIPTION RIGHTS</w:t>
      </w:r>
    </w:p>
    <w:p>
      <w:pPr>
        <w:spacing w:after="0" w:line="109" w:lineRule="exact"/>
        <w:rPr>
          <w:sz w:val="20"/>
          <w:szCs w:val="20"/>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We may issue subscription rights to purchase shares of our common stock, preferred stock or debt securities in one or more series together with other securities or separately, as described in each applicable prospectus supplement. Below is a description of certain general terms and provisions of the subscription rights that we may offer. Particular terms of the subscription rights will be described in the applicable subscription rights certificate or subscription rights agreement and the applicable prospectus supplement for the subscription rights.</w:t>
      </w:r>
    </w:p>
    <w:p>
      <w:pPr>
        <w:spacing w:after="0" w:line="76"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applicable prospectus supplement will contain, where applicable, the following terms of and other information relating to the subscription rights:</w:t>
      </w:r>
    </w:p>
    <w:p>
      <w:pPr>
        <w:spacing w:after="0" w:line="58" w:lineRule="exact"/>
        <w:rPr>
          <w:sz w:val="20"/>
          <w:szCs w:val="20"/>
          <w:color w:val="auto"/>
        </w:rPr>
      </w:pPr>
    </w:p>
    <w:p>
      <w:pPr>
        <w:ind w:left="1260" w:hanging="330"/>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if any, for the subscription rights;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shares of our common stock, preferred stock or debt securities;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subscription rights issued to each securityholder;</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terms of the shares of our common stock, preferred stock or debt securities which may be purchased per each subscription right;</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subscription rights are transferable;</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adjustment of the number or amount of securities receivable upon exercise of the subscription rights or the exercise price of the subscription rights;</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subscription rights, including the terms, procedures and limitations relating to the exchange and exercise of the subscription rights;</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subscription rights shall commence, and the date on which the subscription rights shall expire;</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subscription rights may include an over-subscription privilege with respect to unsubscribed securities;</w:t>
      </w:r>
    </w:p>
    <w:p>
      <w:pPr>
        <w:spacing w:after="0" w:line="57"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material terms of any standby underwriting or purchase arrangement entered into by us in connection with the offering of subscription rights; and</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U.S. federal income tax considerations applicable to the subscription rights.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3" w:name="page54"/>
    <w:bookmarkEnd w:id="5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09"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We may sell the offered securities from time to time in one or more of the following ways, or in any combination thereof, or in any other way set forth in an applicable prospectus supplement:</w:t>
      </w:r>
    </w:p>
    <w:p>
      <w:pPr>
        <w:spacing w:after="0" w:line="58" w:lineRule="exact"/>
        <w:rPr>
          <w:sz w:val="20"/>
          <w:szCs w:val="20"/>
          <w:color w:val="auto"/>
        </w:rPr>
      </w:pPr>
    </w:p>
    <w:p>
      <w:pPr>
        <w:ind w:left="1260" w:hanging="330"/>
        <w:spacing w:after="0"/>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dealers;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one or more agents;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purchasers or to a single purchaser;</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stockholders;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block trades;</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forward contracts, hedging transactions or other derivative transactions; or</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distribution of the securities may be effected from time to time in one or more transactions:</w:t>
      </w:r>
    </w:p>
    <w:p>
      <w:pPr>
        <w:spacing w:after="0" w:line="105" w:lineRule="exact"/>
        <w:rPr>
          <w:sz w:val="20"/>
          <w:szCs w:val="20"/>
          <w:color w:val="auto"/>
        </w:rPr>
      </w:pPr>
    </w:p>
    <w:p>
      <w:pPr>
        <w:ind w:left="1260" w:hanging="330"/>
        <w:spacing w:after="0"/>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 from time to time;</w:t>
      </w:r>
    </w:p>
    <w:p>
      <w:pPr>
        <w:spacing w:after="0" w:line="105"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including in “at the market offerings” within the meaning of Rule 415(a)(4) of the Securities Act; or</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05"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In connection with each offering, a prospectus supplement will describe the method of distribution of the securities and any applicable restrictions. Such prospectus supplement will also describe the specific terms of the offering of the securities, including the following:</w:t>
      </w:r>
    </w:p>
    <w:p>
      <w:pPr>
        <w:spacing w:after="0" w:line="69" w:lineRule="exact"/>
        <w:rPr>
          <w:sz w:val="20"/>
          <w:szCs w:val="20"/>
          <w:color w:val="auto"/>
        </w:rPr>
      </w:pPr>
    </w:p>
    <w:p>
      <w:pPr>
        <w:ind w:left="1260" w:right="619" w:hanging="330"/>
        <w:spacing w:after="0" w:line="272" w:lineRule="auto"/>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any underwriters, dealers or agents and the amounts of securities underwritten or purchased by each of them;</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offering price of the securities and the proceeds to us from the sale of the securities;</w:t>
      </w:r>
    </w:p>
    <w:p>
      <w:pPr>
        <w:spacing w:after="0" w:line="105" w:lineRule="exact"/>
        <w:rPr>
          <w:rFonts w:ascii="Times New Roman" w:cs="Times New Roman" w:eastAsia="Times New Roman" w:hAnsi="Times New Roman"/>
          <w:sz w:val="17"/>
          <w:szCs w:val="17"/>
          <w:color w:val="auto"/>
        </w:rPr>
      </w:pPr>
    </w:p>
    <w:p>
      <w:pPr>
        <w:ind w:left="1260" w:right="619" w:hanging="330"/>
        <w:spacing w:after="0" w:line="272" w:lineRule="auto"/>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underwriting discounts, agency fees or other items constituting underwriters’ or agents’ compensation, and any discounts or concessions allowed, reallowed or paid to dealers; and</w:t>
      </w:r>
    </w:p>
    <w:p>
      <w:pPr>
        <w:spacing w:after="0" w:line="57" w:lineRule="exact"/>
        <w:rPr>
          <w:rFonts w:ascii="Times New Roman" w:cs="Times New Roman" w:eastAsia="Times New Roman" w:hAnsi="Times New Roman"/>
          <w:sz w:val="17"/>
          <w:szCs w:val="17"/>
          <w:color w:val="auto"/>
        </w:rPr>
      </w:pPr>
    </w:p>
    <w:p>
      <w:pPr>
        <w:ind w:left="1260" w:hanging="330"/>
        <w:spacing w:after="0"/>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exchanges on which the securities may be listed.</w:t>
      </w:r>
    </w:p>
    <w:p>
      <w:pPr>
        <w:spacing w:after="0" w:line="105" w:lineRule="exact"/>
        <w:rPr>
          <w:sz w:val="20"/>
          <w:szCs w:val="20"/>
          <w:color w:val="auto"/>
        </w:rPr>
      </w:pPr>
    </w:p>
    <w:p>
      <w:pPr>
        <w:jc w:val="both"/>
        <w:ind w:left="600" w:right="599" w:firstLine="334"/>
        <w:spacing w:after="0" w:line="254" w:lineRule="auto"/>
        <w:rPr>
          <w:sz w:val="20"/>
          <w:szCs w:val="20"/>
          <w:color w:val="auto"/>
        </w:rPr>
      </w:pPr>
      <w:r>
        <w:rPr>
          <w:rFonts w:ascii="Times New Roman" w:cs="Times New Roman" w:eastAsia="Times New Roman" w:hAnsi="Times New Roman"/>
          <w:sz w:val="17"/>
          <w:szCs w:val="17"/>
          <w:color w:val="auto"/>
        </w:rPr>
        <w:t>Any offering price and any discounts or concessions allowed, reallowed or paid to dealers may be changed from time to time. The maximum compensation to underwriters or dealers in connection with any offering pursuant to this prospectus and the accompanying prospectus supplement may not exceed the limits specified in the applicable guidelines of the Financial Industry Regulatory Authority.</w:t>
      </w:r>
    </w:p>
    <w:p>
      <w:pPr>
        <w:spacing w:after="0" w:line="74"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Only the agents or underwriters named in each prospectus supplement are agents or underwriters in connection with the securities being offered thereby.</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By Underwriters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If underwriters are used in the sale, the securities will be acquired by the underwriters for their own account and may be resold from time to time in one or more transactions, including negotiated transactions, at a fixed public offering price, at market prices prevailing at the time of sale, at prices related to prevailing market prices or at negotiated prices. Underwriters may offer the securities directly or through underwriting syndicates represented by one or more managing underwriters. Unless otherwise set forth in the applicable prospectus supplement, the obligations of the underwriters to purchase the securities will be subject to certain conditions precedent.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By Dealers</w:t>
      </w:r>
    </w:p>
    <w:p>
      <w:pPr>
        <w:spacing w:after="0" w:line="109" w:lineRule="exact"/>
        <w:rPr>
          <w:sz w:val="20"/>
          <w:szCs w:val="20"/>
          <w:color w:val="auto"/>
        </w:rPr>
      </w:pPr>
    </w:p>
    <w:p>
      <w:pPr>
        <w:jc w:val="both"/>
        <w:ind w:left="600" w:right="599" w:firstLine="334"/>
        <w:spacing w:after="0" w:line="254" w:lineRule="auto"/>
        <w:rPr>
          <w:sz w:val="20"/>
          <w:szCs w:val="20"/>
          <w:color w:val="auto"/>
        </w:rPr>
      </w:pPr>
      <w:r>
        <w:rPr>
          <w:rFonts w:ascii="Times New Roman" w:cs="Times New Roman" w:eastAsia="Times New Roman" w:hAnsi="Times New Roman"/>
          <w:sz w:val="17"/>
          <w:szCs w:val="17"/>
          <w:color w:val="auto"/>
        </w:rPr>
        <w:t>If dealers are used in the sale, unless otherwise specified in the applicable prospectus supplement, we will sell the securities to the dealers as principals. The dealers may then resell the securities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4" w:name="page55"/>
    <w:bookmarkEnd w:id="5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By Agents and Direct Sales</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We may sell the securities directly to the public, without the use of underwriters, dealers or agents. We may also sell the securities through agents designated by us from time to time. Any agent involved in the offer or sale of the securities will be named, and any commissions payable by us to such agents will be set forth, in the applicable prospectus supplement. Agents will be acting on a best efforts basis to solicit purchases for the period of their appointment, unless otherwise stated in the applicable prospectus supplement.</w:t>
      </w:r>
    </w:p>
    <w:p>
      <w:pPr>
        <w:spacing w:after="0" w:line="76" w:lineRule="exact"/>
        <w:rPr>
          <w:sz w:val="20"/>
          <w:szCs w:val="20"/>
          <w:color w:val="auto"/>
        </w:rPr>
      </w:pPr>
    </w:p>
    <w:p>
      <w:pPr>
        <w:jc w:val="both"/>
        <w:ind w:left="600" w:right="599" w:firstLine="334"/>
        <w:spacing w:after="0" w:line="265" w:lineRule="auto"/>
        <w:rPr>
          <w:sz w:val="20"/>
          <w:szCs w:val="20"/>
          <w:color w:val="auto"/>
        </w:rPr>
      </w:pPr>
      <w:r>
        <w:rPr>
          <w:rFonts w:ascii="Times New Roman" w:cs="Times New Roman" w:eastAsia="Times New Roman" w:hAnsi="Times New Roman"/>
          <w:sz w:val="16"/>
          <w:szCs w:val="16"/>
          <w:color w:val="auto"/>
        </w:rPr>
        <w:t>We also may engage a broker-dealer from time to time to act as agent or principal for the offer of the securities in one or more placements pursuant to a distribution agreement. If we and the broker-dealer agree, we will sell to the broker-dealer as agent or as principal, and the broker-dealer will seek to solicit offers to purchase on an agency basis and/or will purchase on a principal basis, the securities. The number and purchase price (less an underwriting discount) of the securities we sell to the broker-dealer will be mutually agreed on the relevant trading day. The securities sold under the distribution agreement will be sold at prices related to the prevailing market price for such securities, and therefore exact figures regarding the price, proceeds that will be raised or commissions to be paid will be described in a prospectus supplement to this prospectus or in other filings made in accordance with and as permitted by the Securities Act and the Exchange Act. The broker-dealer may make sales of the securities pursuant to the distribution agreement in privately negotiated transactions and/or any other method permitted by law deemed to be an “at-the-market” offering as defined in Rule 415 promulgated under the Securities Act including sales made on the New York Stock Exchange, the current trading market for our common stock.</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Underwriters, dealers and agents that participate in the distribution of the securities may be deemed underwriters as defined in the Securities Act, and any discounts or commissions we pay to them and any profit made by them on the resale of the securities may be treated as underwriting discounts and commissions under the Securities Act. Any underwriters, dealers or agents will be identified and their compensation from us will be described in the applicable prospectus supplement. Any initial public offering price and any discounts or concessions allowed or reallowed or paid to dealers may be changed from time to time.</w:t>
      </w:r>
    </w:p>
    <w:p>
      <w:pPr>
        <w:spacing w:after="0" w:line="76"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may agree with the underwriters, dealers and agents to indemnify them against certain civil liabilities, including liabilities under the Securities Act, or to contribute with respect to payments which the underwriters, dealers or agents may be required to make.</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Trading Market</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Underwriters, dealers and agents may be customers of, engage in transactions with or perform services for, us in the ordinary course of their businesses. We will describe in the applicable prospectus supplement naming the underwriters, dealers or agents, the nature of any material relationship between us and the underwriters, dealers or agents, respectively. Unless otherwise specified in the applicable prospectus supplement, each class or series of securities will be a new issue with no established trading market, other than our common stock, which is listed on the New York Stock Exchange.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116840</wp:posOffset>
            </wp:positionV>
            <wp:extent cx="649033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5" w:name="page56"/>
    <w:bookmarkEnd w:id="5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9" w:lineRule="exact"/>
        <w:rPr>
          <w:sz w:val="20"/>
          <w:szCs w:val="20"/>
          <w:color w:val="auto"/>
        </w:rPr>
      </w:pPr>
    </w:p>
    <w:p>
      <w:pPr>
        <w:jc w:val="both"/>
        <w:ind w:left="600" w:right="619" w:firstLine="334"/>
        <w:spacing w:after="0" w:line="254"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the securities offered by the Company will be passed upon for us by Troutman Pepper Locke LLP, Philadelphia, Pennsylvania. As appropriate, legal counsel representing the underwriters, dealers or agents will be named in the accompanying prospectus supplement and may opine to certain legal matters.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 Because the prospectus may not contain all the information that you may find important, you should review the full text of these documents.</w:t>
      </w:r>
    </w:p>
    <w:p>
      <w:pPr>
        <w:spacing w:after="0" w:line="78" w:lineRule="exact"/>
        <w:rPr>
          <w:sz w:val="20"/>
          <w:szCs w:val="20"/>
          <w:color w:val="auto"/>
        </w:rPr>
      </w:pPr>
    </w:p>
    <w:p>
      <w:pPr>
        <w:jc w:val="both"/>
        <w:ind w:left="600" w:right="619" w:firstLine="334"/>
        <w:spacing w:after="0" w:line="251"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You can read our SEC filings, including the registration statement, over the Internet at the SEC’s website at www.sec.gov. We also maintain a website at www.vishay.com,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does not constitute part of this prospectus.</w:t>
      </w:r>
    </w:p>
    <w:p>
      <w:pPr>
        <w:spacing w:after="0" w:line="76"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In addition, you may request copies of these filings at no cost, by writing or telephoning us at the following address or telephone number: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Office of the Corporate Secretary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Vishay Intertechnology,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 Lancaster Avenue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Malvern, Pennsylvania 19355</w:t>
      </w:r>
    </w:p>
    <w:p>
      <w:pPr>
        <w:spacing w:after="0" w:line="5" w:lineRule="exact"/>
        <w:rPr>
          <w:sz w:val="20"/>
          <w:szCs w:val="20"/>
          <w:color w:val="auto"/>
        </w:rPr>
      </w:pPr>
    </w:p>
    <w:p>
      <w:pPr>
        <w:ind w:left="4380" w:hanging="398"/>
        <w:spacing w:after="0"/>
        <w:tabs>
          <w:tab w:leader="none" w:pos="43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644-1300</w:t>
      </w:r>
    </w:p>
    <w:p>
      <w:pPr>
        <w:spacing w:after="0" w:line="188" w:lineRule="exact"/>
        <w:rPr>
          <w:rFonts w:ascii="Times New Roman" w:cs="Times New Roman" w:eastAsia="Times New Roman" w:hAnsi="Times New Roman"/>
          <w:sz w:val="17"/>
          <w:szCs w:val="17"/>
          <w:color w:val="auto"/>
        </w:rPr>
      </w:pPr>
    </w:p>
    <w:p>
      <w:pPr>
        <w:ind w:left="4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6" w:name="page57"/>
    <w:bookmarkEnd w:id="5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09" w:lineRule="exact"/>
        <w:rPr>
          <w:sz w:val="20"/>
          <w:szCs w:val="20"/>
          <w:color w:val="auto"/>
        </w:rPr>
      </w:pPr>
    </w:p>
    <w:p>
      <w:pPr>
        <w:jc w:val="both"/>
        <w:ind w:left="600" w:right="619" w:firstLine="334"/>
        <w:spacing w:after="0" w:line="275" w:lineRule="auto"/>
        <w:rPr>
          <w:sz w:val="20"/>
          <w:szCs w:val="20"/>
          <w:color w:val="auto"/>
        </w:rPr>
      </w:pPr>
      <w:r>
        <w:rPr>
          <w:rFonts w:ascii="Times New Roman" w:cs="Times New Roman" w:eastAsia="Times New Roman" w:hAnsi="Times New Roman"/>
          <w:sz w:val="16"/>
          <w:szCs w:val="16"/>
          <w:color w:val="auto"/>
        </w:rPr>
        <w:t>The SEC allows us to incorporate by reference information into this document. This means that we can disclose important information to you by referring you to another document filed separately with the SEC. Our Commission filing number is 011-07416. The information incorporated by reference is considered a part of this prospectus, and information that we file later with the SEC will automatically update and supersede this information.</w:t>
      </w:r>
    </w:p>
    <w:p>
      <w:pPr>
        <w:spacing w:after="0" w:line="59" w:lineRule="exact"/>
        <w:rPr>
          <w:sz w:val="20"/>
          <w:szCs w:val="20"/>
          <w:color w:val="auto"/>
        </w:rPr>
      </w:pPr>
    </w:p>
    <w:p>
      <w:pPr>
        <w:jc w:val="both"/>
        <w:ind w:left="600" w:right="599" w:firstLine="334"/>
        <w:spacing w:after="0" w:line="254" w:lineRule="auto"/>
        <w:rPr>
          <w:sz w:val="20"/>
          <w:szCs w:val="20"/>
          <w:color w:val="auto"/>
        </w:rPr>
      </w:pPr>
      <w:r>
        <w:rPr>
          <w:rFonts w:ascii="Times New Roman" w:cs="Times New Roman" w:eastAsia="Times New Roman" w:hAnsi="Times New Roman"/>
          <w:sz w:val="17"/>
          <w:szCs w:val="17"/>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4" w:lineRule="exact"/>
        <w:rPr>
          <w:sz w:val="20"/>
          <w:szCs w:val="20"/>
          <w:color w:val="auto"/>
        </w:rPr>
      </w:pPr>
    </w:p>
    <w:p>
      <w:pPr>
        <w:ind w:left="1260" w:right="619" w:hanging="330"/>
        <w:spacing w:after="0" w:line="272" w:lineRule="auto"/>
        <w:tabs>
          <w:tab w:leader="none" w:pos="1260" w:val="left"/>
        </w:tabs>
        <w:numPr>
          <w:ilvl w:val="0"/>
          <w:numId w:val="4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our Annual Report on Form 10-K for the year ended December 31, 2025, filed with the SEC on </w:t>
      </w:r>
      <w:hyperlink r:id="rId44">
        <w:r>
          <w:rPr>
            <w:rFonts w:ascii="Times New Roman" w:cs="Times New Roman" w:eastAsia="Times New Roman" w:hAnsi="Times New Roman"/>
            <w:sz w:val="17"/>
            <w:szCs w:val="17"/>
            <w:u w:val="single" w:color="auto"/>
            <w:color w:val="0000EE"/>
          </w:rPr>
          <w:t>February 13, 2026;</w:t>
        </w:r>
      </w:hyperlink>
    </w:p>
    <w:p>
      <w:pPr>
        <w:spacing w:after="0" w:line="57" w:lineRule="exact"/>
        <w:rPr>
          <w:rFonts w:ascii="Times New Roman" w:cs="Times New Roman" w:eastAsia="Times New Roman" w:hAnsi="Times New Roman"/>
          <w:sz w:val="17"/>
          <w:szCs w:val="17"/>
          <w:u w:val="single" w:color="auto"/>
          <w:color w:val="0000EE"/>
        </w:rPr>
      </w:pPr>
    </w:p>
    <w:p>
      <w:pPr>
        <w:jc w:val="both"/>
        <w:ind w:left="1260" w:right="619" w:hanging="330"/>
        <w:spacing w:after="0" w:line="259" w:lineRule="auto"/>
        <w:tabs>
          <w:tab w:leader="none" w:pos="1260" w:val="left"/>
        </w:tabs>
        <w:numPr>
          <w:ilvl w:val="0"/>
          <w:numId w:val="43"/>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portions of our Definitive Proxy Statement on Schedule 14A, filed with the SEC on </w:t>
      </w:r>
      <w:hyperlink r:id="rId45">
        <w:r>
          <w:rPr>
            <w:rFonts w:ascii="Times New Roman" w:cs="Times New Roman" w:eastAsia="Times New Roman" w:hAnsi="Times New Roman"/>
            <w:sz w:val="17"/>
            <w:szCs w:val="17"/>
            <w:u w:val="single" w:color="auto"/>
            <w:color w:val="0000EE"/>
          </w:rPr>
          <w:t>April 8,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that were incorporated by reference into Part III of our Annual Report on Form 10-K for the fiscal year ended </w:t>
      </w:r>
      <w:hyperlink r:id="rId44">
        <w:r>
          <w:rPr>
            <w:rFonts w:ascii="Times New Roman" w:cs="Times New Roman" w:eastAsia="Times New Roman" w:hAnsi="Times New Roman"/>
            <w:sz w:val="17"/>
            <w:szCs w:val="17"/>
            <w:u w:val="single" w:color="auto"/>
            <w:color w:val="0000EE"/>
          </w:rPr>
          <w:t>December 31, 2025</w:t>
        </w:r>
      </w:hyperlink>
      <w:r>
        <w:rPr>
          <w:rFonts w:ascii="Times New Roman" w:cs="Times New Roman" w:eastAsia="Times New Roman" w:hAnsi="Times New Roman"/>
          <w:sz w:val="17"/>
          <w:szCs w:val="17"/>
          <w:color w:val="000000"/>
        </w:rPr>
        <w:t>;</w:t>
      </w:r>
    </w:p>
    <w:p>
      <w:pPr>
        <w:spacing w:after="0" w:line="68" w:lineRule="exact"/>
        <w:rPr>
          <w:rFonts w:ascii="Times New Roman" w:cs="Times New Roman" w:eastAsia="Times New Roman" w:hAnsi="Times New Roman"/>
          <w:sz w:val="17"/>
          <w:szCs w:val="17"/>
          <w:color w:val="0000EE"/>
        </w:rPr>
      </w:pPr>
    </w:p>
    <w:p>
      <w:pPr>
        <w:ind w:left="1260" w:right="619" w:hanging="330"/>
        <w:spacing w:after="0" w:line="272" w:lineRule="auto"/>
        <w:tabs>
          <w:tab w:leader="none" w:pos="1260" w:val="left"/>
        </w:tabs>
        <w:numPr>
          <w:ilvl w:val="0"/>
          <w:numId w:val="43"/>
        </w:numPr>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auto"/>
          </w:rPr>
          <w:t xml:space="preserve">our Quarterly Report on Form 10-Q for the quarter ended April 4, 2026, filed with the SEC on </w:t>
        </w:r>
        <w:r>
          <w:rPr>
            <w:rFonts w:ascii="Times New Roman" w:cs="Times New Roman" w:eastAsia="Times New Roman" w:hAnsi="Times New Roman"/>
            <w:sz w:val="17"/>
            <w:szCs w:val="17"/>
            <w:u w:val="single" w:color="auto"/>
            <w:color w:val="0000EE"/>
          </w:rPr>
          <w:t>May 13,</w:t>
        </w:r>
      </w:hyperlink>
      <w:r>
        <w:rPr>
          <w:rFonts w:ascii="Times New Roman" w:cs="Times New Roman" w:eastAsia="Times New Roman" w:hAnsi="Times New Roman"/>
          <w:sz w:val="17"/>
          <w:szCs w:val="17"/>
          <w:color w:val="auto"/>
        </w:rPr>
        <w:t xml:space="preserve"> </w:t>
      </w:r>
      <w:hyperlink r:id="rId47">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hyperlink>
    </w:p>
    <w:p>
      <w:pPr>
        <w:spacing w:after="0" w:line="57" w:lineRule="exact"/>
        <w:rPr>
          <w:rFonts w:ascii="Times New Roman" w:cs="Times New Roman" w:eastAsia="Times New Roman" w:hAnsi="Times New Roman"/>
          <w:sz w:val="17"/>
          <w:szCs w:val="17"/>
          <w:color w:val="0000EE"/>
        </w:rPr>
      </w:pPr>
    </w:p>
    <w:p>
      <w:pPr>
        <w:jc w:val="both"/>
        <w:ind w:left="1260" w:right="619" w:hanging="330"/>
        <w:spacing w:after="0" w:line="259" w:lineRule="auto"/>
        <w:tabs>
          <w:tab w:leader="none" w:pos="1260" w:val="left"/>
        </w:tabs>
        <w:numPr>
          <w:ilvl w:val="0"/>
          <w:numId w:val="43"/>
        </w:numPr>
        <w:rPr>
          <w:rFonts w:ascii="Times New Roman" w:cs="Times New Roman" w:eastAsia="Times New Roman" w:hAnsi="Times New Roman"/>
          <w:sz w:val="17"/>
          <w:szCs w:val="17"/>
          <w:color w:val="0000EE"/>
        </w:rPr>
      </w:pPr>
      <w:hyperlink r:id="rId48">
        <w:r>
          <w:rPr>
            <w:rFonts w:ascii="Times New Roman" w:cs="Times New Roman" w:eastAsia="Times New Roman" w:hAnsi="Times New Roman"/>
            <w:sz w:val="17"/>
            <w:szCs w:val="17"/>
            <w:color w:val="auto"/>
          </w:rPr>
          <w:t xml:space="preserve">our Current Reports on Form 8-K filed with the SEC on </w:t>
        </w:r>
        <w:r>
          <w:rPr>
            <w:rFonts w:ascii="Times New Roman" w:cs="Times New Roman" w:eastAsia="Times New Roman" w:hAnsi="Times New Roman"/>
            <w:sz w:val="17"/>
            <w:szCs w:val="17"/>
            <w:u w:val="single" w:color="auto"/>
            <w:color w:val="0000EE"/>
          </w:rPr>
          <w:t>January 9,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12,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25,</w:t>
        </w:r>
      </w:hyperlink>
      <w:r>
        <w:rPr>
          <w:rFonts w:ascii="Times New Roman" w:cs="Times New Roman" w:eastAsia="Times New Roman" w:hAnsi="Times New Roman"/>
          <w:sz w:val="17"/>
          <w:szCs w:val="17"/>
          <w:color w:val="auto"/>
        </w:rPr>
        <w:t xml:space="preserve"> </w:t>
      </w:r>
      <w:hyperlink r:id="rId48">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49">
        <w:r>
          <w:rPr>
            <w:rFonts w:ascii="Times New Roman" w:cs="Times New Roman" w:eastAsia="Times New Roman" w:hAnsi="Times New Roman"/>
            <w:sz w:val="17"/>
            <w:szCs w:val="17"/>
            <w:u w:val="single" w:color="auto"/>
            <w:color w:val="0000EE"/>
          </w:rPr>
          <w:t>May 18, 2026</w:t>
        </w:r>
      </w:hyperlink>
      <w:hyperlink r:id="rId48">
        <w:r>
          <w:rPr>
            <w:rFonts w:ascii="Times New Roman" w:cs="Times New Roman" w:eastAsia="Times New Roman" w:hAnsi="Times New Roman"/>
            <w:sz w:val="17"/>
            <w:szCs w:val="17"/>
            <w:color w:val="000000"/>
          </w:rPr>
          <w:t>, in each case only to the extent the information in such report is filed and not</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furnished; and</w:t>
      </w:r>
    </w:p>
    <w:p>
      <w:pPr>
        <w:spacing w:after="0" w:line="68" w:lineRule="exact"/>
        <w:rPr>
          <w:rFonts w:ascii="Times New Roman" w:cs="Times New Roman" w:eastAsia="Times New Roman" w:hAnsi="Times New Roman"/>
          <w:sz w:val="17"/>
          <w:szCs w:val="17"/>
          <w:color w:val="0000EE"/>
        </w:rPr>
      </w:pPr>
    </w:p>
    <w:p>
      <w:pPr>
        <w:jc w:val="both"/>
        <w:ind w:left="1260" w:right="619" w:hanging="330"/>
        <w:spacing w:after="0" w:line="254" w:lineRule="auto"/>
        <w:tabs>
          <w:tab w:leader="none" w:pos="1260" w:val="left"/>
        </w:tabs>
        <w:numPr>
          <w:ilvl w:val="0"/>
          <w:numId w:val="43"/>
        </w:numPr>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the description of our common stock registered under Section 12 of the Exchange Act contained in </w:t>
      </w:r>
      <w:hyperlink r:id="rId50">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our Quarterly Report on Form 10-Q for the quarter ended October 1, 2022, filed with the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SEC on </w:t>
      </w:r>
      <w:hyperlink r:id="rId83">
        <w:r>
          <w:rPr>
            <w:rFonts w:ascii="Times New Roman" w:cs="Times New Roman" w:eastAsia="Times New Roman" w:hAnsi="Times New Roman"/>
            <w:sz w:val="17"/>
            <w:szCs w:val="17"/>
            <w:u w:val="single" w:color="auto"/>
            <w:color w:val="0000EE"/>
          </w:rPr>
          <w:t>November 2, 2022</w:t>
        </w:r>
      </w:hyperlink>
      <w:r>
        <w:rPr>
          <w:rFonts w:ascii="Times New Roman" w:cs="Times New Roman" w:eastAsia="Times New Roman" w:hAnsi="Times New Roman"/>
          <w:sz w:val="17"/>
          <w:szCs w:val="17"/>
          <w:color w:val="000000"/>
        </w:rPr>
        <w:t>, including any amendment or report filed for the purpose of updating such description.</w:t>
      </w:r>
    </w:p>
    <w:p>
      <w:pPr>
        <w:spacing w:after="0" w:line="74" w:lineRule="exact"/>
        <w:rPr>
          <w:rFonts w:ascii="Times New Roman" w:cs="Times New Roman" w:eastAsia="Times New Roman" w:hAnsi="Times New Roman"/>
          <w:sz w:val="17"/>
          <w:szCs w:val="17"/>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In addition, we also incorporate by reference additional documents that we may file with the SEC under Sections 13(a), 13(c), 14 or 15(d) of the Exchange Act after the date of this prospectus and until the termination of this offering. These documents include periodic reports, such as Annual Reports on Form 10-K, Quarterly Reports on Form 10-Q and Current Reports on Form 8-K, as well as proxy statements. Nothing in this prospectus shall be deemed to incorporate information furnished but not filed with the SEC pursuant to Item 2.02 or Item 7.01 (or corresponding information furnished under Item 9.01 or included as an exhibit) of Form 8-K, unless such Form 8-K expressly provides to the contrary.</w:t>
      </w:r>
    </w:p>
    <w:p>
      <w:pPr>
        <w:spacing w:after="0" w:line="78" w:lineRule="exact"/>
        <w:rPr>
          <w:rFonts w:ascii="Times New Roman" w:cs="Times New Roman" w:eastAsia="Times New Roman" w:hAnsi="Times New Roman"/>
          <w:sz w:val="17"/>
          <w:szCs w:val="17"/>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We encourage you to read our periodic and current reports. We believe these reports provide additional information about our company which prudent investors find important. You may request a copy of these filings as well as any future filings incorporated by reference, at no cost, by writing or telephoning us at our principal executive offices. To obtain copies of these filings, see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EE"/>
        </w:rPr>
        <w:t>23</w:t>
      </w:r>
      <w:r>
        <w:rPr>
          <w:rFonts w:ascii="Times New Roman" w:cs="Times New Roman" w:eastAsia="Times New Roman" w:hAnsi="Times New Roman"/>
          <w:sz w:val="17"/>
          <w:szCs w:val="17"/>
          <w:color w:val="auto"/>
        </w:rPr>
        <w:t xml:space="preserve"> of this prospectus.</w:t>
      </w:r>
    </w:p>
    <w:p>
      <w:pPr>
        <w:spacing w:after="0" w:line="76" w:lineRule="exact"/>
        <w:rPr>
          <w:rFonts w:ascii="Times New Roman" w:cs="Times New Roman" w:eastAsia="Times New Roman" w:hAnsi="Times New Roman"/>
          <w:sz w:val="17"/>
          <w:szCs w:val="17"/>
          <w:color w:val="auto"/>
        </w:rPr>
      </w:pPr>
    </w:p>
    <w:p>
      <w:pPr>
        <w:jc w:val="both"/>
        <w:ind w:left="600" w:right="619" w:firstLine="334"/>
        <w:spacing w:after="0" w:line="252" w:lineRule="auto"/>
        <w:rPr>
          <w:sz w:val="20"/>
          <w:szCs w:val="20"/>
          <w:color w:val="auto"/>
        </w:rPr>
      </w:pPr>
      <w:r>
        <w:rPr>
          <w:rFonts w:ascii="Times New Roman" w:cs="Times New Roman" w:eastAsia="Times New Roman" w:hAnsi="Times New Roman"/>
          <w:sz w:val="17"/>
          <w:szCs w:val="17"/>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jurisdiction where the offer or sale is not permitted. You should not assume that the information in this prospectus or any prospectus supplement is accurate as of any date other than the date on the front of those documents.</w:t>
      </w:r>
    </w:p>
    <w:p>
      <w:pPr>
        <w:spacing w:after="0" w:line="76" w:lineRule="exact"/>
        <w:rPr>
          <w:rFonts w:ascii="Times New Roman" w:cs="Times New Roman" w:eastAsia="Times New Roman" w:hAnsi="Times New Roman"/>
          <w:sz w:val="17"/>
          <w:szCs w:val="17"/>
          <w:color w:val="auto"/>
        </w:rPr>
      </w:pPr>
    </w:p>
    <w:p>
      <w:pPr>
        <w:jc w:val="both"/>
        <w:ind w:left="600" w:right="599" w:firstLine="334"/>
        <w:spacing w:after="0" w:line="254" w:lineRule="auto"/>
        <w:rPr>
          <w:sz w:val="20"/>
          <w:szCs w:val="20"/>
          <w:color w:val="auto"/>
        </w:rPr>
      </w:pPr>
      <w:r>
        <w:rPr>
          <w:rFonts w:ascii="Times New Roman" w:cs="Times New Roman" w:eastAsia="Times New Roman" w:hAnsi="Times New Roman"/>
          <w:sz w:val="17"/>
          <w:szCs w:val="17"/>
          <w:color w:val="auto"/>
        </w:rPr>
        <w:t>Any statement contained herein or in a document incorporated or deemed to be incorporated by reference into this prospectus supplement will be deemed to be modified or superseded for purposes of the document to the extent that a statement contained in this prospectus supplement or any other subsequently filed document that is deemed to be incorporated by reference into this prospectus supplement modifies or supersedes the statement.</w:t>
      </w:r>
    </w:p>
    <w:p>
      <w:pPr>
        <w:spacing w:after="0" w:line="17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033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490335"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7" w:name="page58"/>
    <w:bookmarkEnd w:id="57"/>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95250</wp:posOffset>
            </wp:positionV>
            <wp:extent cx="483552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4835525" cy="1587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159385</wp:posOffset>
            </wp:positionV>
            <wp:extent cx="4835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4835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15,000,000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485775</wp:posOffset>
            </wp:positionV>
            <wp:extent cx="898525" cy="7556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898525" cy="75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Vishay Intertechnology,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541655</wp:posOffset>
            </wp:positionV>
            <wp:extent cx="10179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 Book-Running Manager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J.P. Morgan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65" w:lineRule="exact"/>
        <w:rPr>
          <w:sz w:val="20"/>
          <w:szCs w:val="20"/>
          <w:color w:val="auto"/>
        </w:rPr>
      </w:pPr>
    </w:p>
    <w:tbl>
      <w:tblPr>
        <w:tblLayout w:type="fixed"/>
        <w:tblInd w:w="700" w:type="dxa"/>
        <w:tblCellMar>
          <w:top w:w="0" w:type="dxa"/>
          <w:left w:w="0" w:type="dxa"/>
          <w:bottom w:w="0" w:type="dxa"/>
          <w:right w:w="0" w:type="dxa"/>
        </w:tblCellMar>
      </w:tblPr>
      <w:tr>
        <w:trPr>
          <w:trHeight w:val="265"/>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Needham &amp; Company</w:t>
            </w:r>
          </w:p>
        </w:tc>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16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Oppenheimer &amp; Co.</w:t>
            </w:r>
          </w:p>
        </w:tc>
      </w:tr>
      <w:tr>
        <w:trPr>
          <w:trHeight w:val="539"/>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Raymond James</w:t>
            </w:r>
          </w:p>
        </w:tc>
        <w:tc>
          <w:tcPr>
            <w:tcW w:w="960" w:type="dxa"/>
            <w:vAlign w:val="bottom"/>
          </w:tcPr>
          <w:p>
            <w:pPr>
              <w:spacing w:after="0"/>
              <w:rPr>
                <w:sz w:val="24"/>
                <w:szCs w:val="24"/>
                <w:color w:val="auto"/>
              </w:rPr>
            </w:pPr>
          </w:p>
        </w:tc>
        <w:tc>
          <w:tcPr>
            <w:tcW w:w="23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TD Cowen</w:t>
            </w:r>
          </w:p>
        </w:tc>
        <w:tc>
          <w:tcPr>
            <w:tcW w:w="216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Truist Securities</w:t>
            </w:r>
          </w:p>
        </w:tc>
      </w:tr>
      <w:tr>
        <w:trPr>
          <w:trHeight w:val="647"/>
        </w:trPr>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jc w:val="center"/>
              <w:ind w:right="890"/>
              <w:spacing w:after="0"/>
              <w:rPr>
                <w:sz w:val="20"/>
                <w:szCs w:val="20"/>
                <w:color w:val="auto"/>
              </w:rPr>
            </w:pPr>
            <w:r>
              <w:rPr>
                <w:rFonts w:ascii="Times New Roman" w:cs="Times New Roman" w:eastAsia="Times New Roman" w:hAnsi="Times New Roman"/>
                <w:sz w:val="18"/>
                <w:szCs w:val="18"/>
                <w:i w:val="1"/>
                <w:iCs w:val="1"/>
                <w:color w:val="auto"/>
              </w:rPr>
              <w:t>Co-Managers</w:t>
            </w:r>
          </w:p>
        </w:tc>
        <w:tc>
          <w:tcPr>
            <w:tcW w:w="2160" w:type="dxa"/>
            <w:vAlign w:val="bottom"/>
          </w:tcPr>
          <w:p>
            <w:pPr>
              <w:spacing w:after="0"/>
              <w:rPr>
                <w:sz w:val="24"/>
                <w:szCs w:val="24"/>
                <w:color w:val="auto"/>
              </w:rPr>
            </w:pPr>
          </w:p>
        </w:tc>
      </w:tr>
      <w:tr>
        <w:trPr>
          <w:trHeight w:val="470"/>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Fifth Third Securities</w:t>
            </w:r>
          </w:p>
        </w:tc>
        <w:tc>
          <w:tcPr>
            <w:tcW w:w="96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MUFG</w:t>
            </w:r>
          </w:p>
        </w:tc>
        <w:tc>
          <w:tcPr>
            <w:tcW w:w="2320" w:type="dxa"/>
            <w:vAlign w:val="bottom"/>
          </w:tcPr>
          <w:p>
            <w:pPr>
              <w:ind w:left="1200"/>
              <w:spacing w:after="0"/>
              <w:rPr>
                <w:sz w:val="20"/>
                <w:szCs w:val="20"/>
                <w:color w:val="auto"/>
              </w:rPr>
            </w:pPr>
            <w:r>
              <w:rPr>
                <w:rFonts w:ascii="Times New Roman" w:cs="Times New Roman" w:eastAsia="Times New Roman" w:hAnsi="Times New Roman"/>
                <w:sz w:val="17"/>
                <w:szCs w:val="17"/>
                <w:b w:val="1"/>
                <w:bCs w:val="1"/>
                <w:color w:val="auto"/>
              </w:rPr>
              <w:t>Santander</w:t>
            </w:r>
          </w:p>
        </w:tc>
        <w:tc>
          <w:tcPr>
            <w:tcW w:w="2160" w:type="dxa"/>
            <w:vAlign w:val="bottom"/>
          </w:tcPr>
          <w:p>
            <w:pPr>
              <w:ind w:left="1440"/>
              <w:spacing w:after="0"/>
              <w:rPr>
                <w:sz w:val="20"/>
                <w:szCs w:val="20"/>
                <w:color w:val="auto"/>
              </w:rPr>
            </w:pPr>
            <w:r>
              <w:rPr>
                <w:rFonts w:ascii="Times New Roman" w:cs="Times New Roman" w:eastAsia="Times New Roman" w:hAnsi="Times New Roman"/>
                <w:sz w:val="17"/>
                <w:szCs w:val="17"/>
                <w:b w:val="1"/>
                <w:bCs w:val="1"/>
                <w:color w:val="auto"/>
                <w:w w:val="94"/>
              </w:rPr>
              <w:t>UniCredit</w:t>
            </w:r>
          </w:p>
        </w:tc>
      </w:tr>
      <w:tr>
        <w:trPr>
          <w:trHeight w:val="852"/>
        </w:trPr>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jc w:val="center"/>
              <w:ind w:right="890"/>
              <w:spacing w:after="0"/>
              <w:rPr>
                <w:sz w:val="20"/>
                <w:szCs w:val="20"/>
                <w:color w:val="auto"/>
              </w:rPr>
            </w:pPr>
            <w:r>
              <w:rPr>
                <w:rFonts w:ascii="Times New Roman" w:cs="Times New Roman" w:eastAsia="Times New Roman" w:hAnsi="Times New Roman"/>
                <w:sz w:val="17"/>
                <w:szCs w:val="17"/>
                <w:color w:val="auto"/>
                <w:w w:val="98"/>
              </w:rPr>
              <w:t>June 29, 2026</w:t>
            </w:r>
          </w:p>
        </w:tc>
        <w:tc>
          <w:tcPr>
            <w:tcW w:w="2160" w:type="dxa"/>
            <w:vAlign w:val="bottom"/>
          </w:tcPr>
          <w:p>
            <w:pPr>
              <w:spacing w:after="0"/>
              <w:rPr>
                <w:sz w:val="24"/>
                <w:szCs w:val="24"/>
                <w:color w:val="auto"/>
              </w:rPr>
            </w:pPr>
          </w:p>
        </w:tc>
      </w:tr>
      <w:tr>
        <w:trPr>
          <w:trHeight w:val="213"/>
        </w:trPr>
        <w:tc>
          <w:tcPr>
            <w:tcW w:w="2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60"/>
        </w:trPr>
        <w:tc>
          <w:tcPr>
            <w:tcW w:w="2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r>
    </w:tbl>
    <w:p>
      <w:pPr>
        <w:sectPr>
          <w:pgSz w:w="11900" w:h="16838" w:orient="portrait"/>
          <w:cols w:equalWidth="0" w:num="1">
            <w:col w:w="9019"/>
          </w:cols>
          <w:pgMar w:left="1440" w:top="253" w:right="1440" w:bottom="1440" w:gutter="0" w:footer="0" w:header="0"/>
        </w:sectPr>
      </w:pPr>
    </w:p>
    <w:bookmarkStart w:id="58" w:name="page59"/>
    <w:bookmarkEnd w:id="58"/>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107</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(Form Type)</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Vishay Intertechnology,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Filing Fee</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Previously</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Paid in</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Proposed</w:t>
            </w: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Unsold</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 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to be</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Registration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Carried</w:t>
            </w:r>
          </w:p>
        </w:tc>
      </w:tr>
      <w:tr>
        <w:trPr>
          <w:trHeight w:val="246"/>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Rule</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5"/>
              </w:rPr>
              <w:t>Registered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Unit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Offering 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r>
      <w:tr>
        <w:trPr>
          <w:trHeight w:val="193"/>
        </w:trPr>
        <w:tc>
          <w:tcPr>
            <w:tcW w:w="86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center"/>
              <w:ind w:left="197"/>
              <w:spacing w:after="0" w:line="193" w:lineRule="exact"/>
              <w:rPr>
                <w:sz w:val="20"/>
                <w:szCs w:val="20"/>
                <w:color w:val="auto"/>
              </w:rPr>
            </w:pPr>
            <w:r>
              <w:rPr>
                <w:rFonts w:ascii="Times New Roman" w:cs="Times New Roman" w:eastAsia="Times New Roman" w:hAnsi="Times New Roman"/>
                <w:sz w:val="17"/>
                <w:szCs w:val="17"/>
                <w:b w:val="1"/>
                <w:bCs w:val="1"/>
                <w:color w:val="auto"/>
                <w:w w:val="97"/>
              </w:rPr>
              <w:t>Newly Registered Securities</w:t>
            </w:r>
          </w:p>
        </w:tc>
        <w:tc>
          <w:tcPr>
            <w:tcW w:w="10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r>
      <w:tr>
        <w:trPr>
          <w:trHeight w:val="202"/>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$0.10 per</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36"/>
        </w:trPr>
        <w:tc>
          <w:tcPr>
            <w:tcW w:w="8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(1)</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17,250,000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$50.00</w:t>
            </w:r>
          </w:p>
        </w:tc>
        <w:tc>
          <w:tcPr>
            <w:tcW w:w="12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99"/>
              </w:rPr>
              <w:t>$862,500,000.00</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0.00013810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$119,111.25</w:t>
            </w: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8"/>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2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00"/>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8"/>
              </w:rPr>
              <w:t>Previously</w:t>
            </w: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17"/>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193"/>
        </w:trPr>
        <w:tc>
          <w:tcPr>
            <w:tcW w:w="860" w:type="dxa"/>
            <w:vAlign w:val="bottom"/>
            <w:tcBorders>
              <w:left w:val="single" w:sz="8" w:color="auto"/>
              <w:bottom w:val="single" w:sz="8" w:color="auto"/>
              <w:right w:val="single" w:sz="8" w:color="CCEEFF"/>
            </w:tcBorders>
            <w:shd w:val="clear" w:color="auto" w:fill="CCEEFF"/>
          </w:tcPr>
          <w:p>
            <w:pPr>
              <w:spacing w:after="0"/>
              <w:rPr>
                <w:sz w:val="16"/>
                <w:szCs w:val="16"/>
                <w:color w:val="auto"/>
              </w:rPr>
            </w:pPr>
          </w:p>
        </w:tc>
        <w:tc>
          <w:tcPr>
            <w:tcW w:w="240" w:type="dxa"/>
            <w:vAlign w:val="bottom"/>
            <w:tcBorders>
              <w:bottom w:val="single" w:sz="8" w:color="auto"/>
              <w:right w:val="single" w:sz="8" w:color="CCEEFF"/>
            </w:tcBorders>
            <w:shd w:val="clear" w:color="auto" w:fill="CCEEFF"/>
          </w:tcPr>
          <w:p>
            <w:pPr>
              <w:spacing w:after="0"/>
              <w:rPr>
                <w:sz w:val="16"/>
                <w:szCs w:val="16"/>
                <w:color w:val="auto"/>
              </w:rPr>
            </w:pPr>
          </w:p>
        </w:tc>
        <w:tc>
          <w:tcPr>
            <w:tcW w:w="640" w:type="dxa"/>
            <w:vAlign w:val="bottom"/>
            <w:tcBorders>
              <w:bottom w:val="single" w:sz="8" w:color="auto"/>
              <w:right w:val="single" w:sz="8" w:color="CCEEFF"/>
            </w:tcBorders>
            <w:shd w:val="clear" w:color="auto" w:fill="CCEEFF"/>
          </w:tcPr>
          <w:p>
            <w:pPr>
              <w:spacing w:after="0"/>
              <w:rPr>
                <w:sz w:val="16"/>
                <w:szCs w:val="16"/>
                <w:color w:val="auto"/>
              </w:rPr>
            </w:pPr>
          </w:p>
        </w:tc>
        <w:tc>
          <w:tcPr>
            <w:tcW w:w="680" w:type="dxa"/>
            <w:vAlign w:val="bottom"/>
            <w:tcBorders>
              <w:bottom w:val="single" w:sz="8" w:color="auto"/>
              <w:right w:val="single" w:sz="8" w:color="CCEEFF"/>
            </w:tcBorders>
            <w:shd w:val="clear" w:color="auto" w:fill="CCEEFF"/>
          </w:tcPr>
          <w:p>
            <w:pPr>
              <w:spacing w:after="0"/>
              <w:rPr>
                <w:sz w:val="16"/>
                <w:szCs w:val="16"/>
                <w:color w:val="auto"/>
              </w:rPr>
            </w:pPr>
          </w:p>
        </w:tc>
        <w:tc>
          <w:tcPr>
            <w:tcW w:w="88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spacing w:after="0"/>
              <w:rPr>
                <w:sz w:val="16"/>
                <w:szCs w:val="16"/>
                <w:color w:val="auto"/>
              </w:rPr>
            </w:pPr>
          </w:p>
        </w:tc>
        <w:tc>
          <w:tcPr>
            <w:tcW w:w="2820" w:type="dxa"/>
            <w:vAlign w:val="bottom"/>
            <w:tcBorders>
              <w:bottom w:val="single" w:sz="8" w:color="auto"/>
              <w:right w:val="single" w:sz="8" w:color="CCEEFF"/>
            </w:tcBorders>
            <w:gridSpan w:val="3"/>
            <w:shd w:val="clear" w:color="auto" w:fill="CCEEFF"/>
          </w:tcPr>
          <w:p>
            <w:pPr>
              <w:jc w:val="center"/>
              <w:ind w:left="197"/>
              <w:spacing w:after="0" w:line="193" w:lineRule="exact"/>
              <w:rPr>
                <w:sz w:val="20"/>
                <w:szCs w:val="20"/>
                <w:color w:val="auto"/>
              </w:rPr>
            </w:pPr>
            <w:r>
              <w:rPr>
                <w:rFonts w:ascii="Times New Roman" w:cs="Times New Roman" w:eastAsia="Times New Roman" w:hAnsi="Times New Roman"/>
                <w:sz w:val="17"/>
                <w:szCs w:val="17"/>
                <w:b w:val="1"/>
                <w:bCs w:val="1"/>
                <w:color w:val="auto"/>
                <w:w w:val="98"/>
              </w:rPr>
              <w:t>Carry Forward Securities</w:t>
            </w:r>
          </w:p>
        </w:tc>
        <w:tc>
          <w:tcPr>
            <w:tcW w:w="106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spacing w:after="0"/>
              <w:rPr>
                <w:sz w:val="16"/>
                <w:szCs w:val="16"/>
                <w:color w:val="auto"/>
              </w:rPr>
            </w:pPr>
          </w:p>
        </w:tc>
        <w:tc>
          <w:tcPr>
            <w:tcW w:w="88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2"/>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0"/>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2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17"/>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2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48"/>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2380" w:type="dxa"/>
            <w:vAlign w:val="bottom"/>
            <w:tcBorders>
              <w:bottom w:val="single" w:sz="8" w:color="CCEEFF"/>
              <w:right w:val="single" w:sz="8" w:color="auto"/>
            </w:tcBorders>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$862,500,000.00</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$119,111.25</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18"/>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380" w:type="dxa"/>
            <w:vAlign w:val="bottom"/>
            <w:tcBorders>
              <w:top w:val="single" w:sz="8" w:color="auto"/>
              <w:right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78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48"/>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700" w:type="dxa"/>
            <w:vAlign w:val="bottom"/>
            <w:tcBorders>
              <w:bottom w:val="single" w:sz="8" w:color="CCEEFF"/>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18"/>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78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$119,111.25</w:t>
            </w: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bl>
    <w:p>
      <w:pPr>
        <w:spacing w:after="0" w:line="9" w:lineRule="exact"/>
        <w:rPr>
          <w:sz w:val="20"/>
          <w:szCs w:val="20"/>
          <w:color w:val="auto"/>
        </w:rPr>
      </w:pPr>
    </w:p>
    <w:p>
      <w:pPr>
        <w:ind w:left="300" w:right="480" w:hanging="300"/>
        <w:spacing w:after="0" w:line="251" w:lineRule="auto"/>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2,250,000 shares of common stock, $0.10 par value per share, of the registrant that may be offered and sold pursuant to the exercise in full of the underwriters’ over-allotment option to purchase additional shares of common stock. Payment of the registration fee at the time of filing of the registrant's registration statement on Form S-3ASR (File No. 333-297116), filed with the Securities and Exchange Commission on June 29, 2026 (the “Registration Statement”), was deferred pursuant to Rules 456(b) and 457(r) under the Securities Act of 1933, as amended, and is paid herewith. This “Calculation of Filing Fee” table shall be deemed to update the “Calculation of Filing Fee” table in the Registration Statement. The prospectus supplement to which this exhibit is attached is a final prospectus supplement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14248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sectPr>
      <w:pgSz w:w="11900" w:h="16838" w:orient="portrait"/>
      <w:cols w:equalWidth="0" w:num="1">
        <w:col w:w="11340"/>
      </w:cols>
      <w:pgMar w:left="320" w:top="2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lvl w:ilvl="1">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Roman"/>
      <w:start w:val="2"/>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Roman"/>
      <w:start w:val="4"/>
    </w:lvl>
  </w:abstractNum>
  <w:abstractNum w:abstractNumId="13">
    <w:nsid w:val="2901D82"/>
    <w:multiLevelType w:val="hybridMultilevel"/>
    <w:lvl w:ilvl="0">
      <w:lvlJc w:val="left"/>
      <w:lvlText w:val="(%1)"/>
      <w:numFmt w:val="lowerLetter"/>
      <w:start w:val="2"/>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decimal"/>
      <w:start w:val="610"/>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Roman"/>
      <w:start w:val="3"/>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610"/>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jpe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jpe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44" Type="http://schemas.openxmlformats.org/officeDocument/2006/relationships/hyperlink" Target="https://www.sec.gov/ix?doc=/Archives/edgar/data/0000103730/000010373026000019/form10k.htm" TargetMode="External"/><Relationship Id="rId45" Type="http://schemas.openxmlformats.org/officeDocument/2006/relationships/hyperlink" Target="https://www.sec.gov/ix?doc=/Archives/edgar/data/0000103730/000010373026000029/vishay_def14a.htm" TargetMode="External"/><Relationship Id="rId46" Type="http://schemas.openxmlformats.org/officeDocument/2006/relationships/hyperlink" Target="https://www.sec.gov/ix?doc=/Archives/edgar/data/103730/000010373026000019/form10k.htm" TargetMode="External"/><Relationship Id="rId47" Type="http://schemas.openxmlformats.org/officeDocument/2006/relationships/hyperlink" Target="https://www.sec.gov/ix?doc=/Archives/edgar/data/0000103730/000010373026000038/vishayintertech_10q.htm" TargetMode="External"/><Relationship Id="rId48" Type="http://schemas.openxmlformats.org/officeDocument/2006/relationships/hyperlink" Target="https://www.sec.gov/ix?doc=/Archives/edgar/data/0000103730/000010373026000023/form8-k.htm" TargetMode="External"/><Relationship Id="rId49" Type="http://schemas.openxmlformats.org/officeDocument/2006/relationships/hyperlink" Target="https://www.sec.gov/ix?doc=/Archives/edgar/data/0000103730/000010373026000043/form8-k.htm" TargetMode="External"/><Relationship Id="rId50" Type="http://schemas.openxmlformats.org/officeDocument/2006/relationships/hyperlink" Target="https://www.sec.gov/Archives/edgar/data/103730/000010373022000072/exhibit4-1.htm" TargetMode="External"/><Relationship Id="rId51" Type="http://schemas.openxmlformats.org/officeDocument/2006/relationships/hyperlink" Target="https://www.sec.gov/ix?doc=/Archives/edgar/data/103730/000010373022000072/vishayintertech_10q.htm" TargetMode="External"/><Relationship Id="rId60" Type="http://schemas.openxmlformats.org/officeDocument/2006/relationships/hyperlink" Target="https://www.sec.gov/ix?doc=/Archives/edgar/data/103730/000010373026000038/vishayintertech_10q.htm" TargetMode="External"/><Relationship Id="rId83" Type="http://schemas.openxmlformats.org/officeDocument/2006/relationships/hyperlink" Target="https://www.sec.gov/ix?doc=/Archives/edgar/data/0000103730/000010373022000072/vishayintertech_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2026-06-30T16:43:26Z</dcterms:created>
  <dcterms:modified xsi:type="dcterms:W3CDTF">2026-06-30T16:43:26Z</dcterms:modified>
</cp:coreProperties>
</file>