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08"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29, 2026.</w:t>
      </w:r>
    </w:p>
    <w:p>
      <w:pPr>
        <w:spacing w:after="0" w:line="36" w:lineRule="exact"/>
        <w:rPr>
          <w:sz w:val="24"/>
          <w:szCs w:val="24"/>
          <w:color w:val="auto"/>
        </w:rPr>
      </w:pPr>
    </w:p>
    <w:p>
      <w:pPr>
        <w:ind w:left="71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58743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92710</wp:posOffset>
            </wp:positionV>
            <wp:extent cx="5874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4385" cy="8255"/>
                    </a:xfrm>
                    <a:prstGeom prst="rect">
                      <a:avLst/>
                    </a:prstGeom>
                    <a:noFill/>
                  </pic:spPr>
                </pic:pic>
              </a:graphicData>
            </a:graphic>
          </wp:anchor>
        </w:drawing>
      </w:r>
    </w:p>
    <w:p>
      <w:pPr>
        <w:spacing w:after="0" w:line="27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52705</wp:posOffset>
            </wp:positionV>
            <wp:extent cx="1044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spacing w:after="0" w:line="229"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52705</wp:posOffset>
            </wp:positionV>
            <wp:extent cx="1044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VISHAY INTERTECHNOLOGY,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54610</wp:posOffset>
            </wp:positionV>
            <wp:extent cx="1044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58" w:lineRule="exact"/>
        <w:rPr>
          <w:sz w:val="24"/>
          <w:szCs w:val="24"/>
          <w:color w:val="auto"/>
        </w:rPr>
      </w:pPr>
    </w:p>
    <w:tbl>
      <w:tblPr>
        <w:tblLayout w:type="fixed"/>
        <w:tblInd w:w="1200" w:type="dxa"/>
        <w:tblCellMar>
          <w:top w:w="0" w:type="dxa"/>
          <w:left w:w="0" w:type="dxa"/>
          <w:bottom w:w="0" w:type="dxa"/>
          <w:right w:w="0" w:type="dxa"/>
        </w:tblCellMar>
      </w:tblPr>
      <w:tr>
        <w:trPr>
          <w:trHeight w:val="213"/>
        </w:trPr>
        <w:tc>
          <w:tcPr>
            <w:tcW w:w="3640" w:type="dxa"/>
            <w:vAlign w:val="bottom"/>
          </w:tcPr>
          <w:p>
            <w:pPr>
              <w:jc w:val="center"/>
              <w:ind w:right="14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80" w:type="dxa"/>
            <w:vAlign w:val="bottom"/>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38-1686453</w:t>
            </w:r>
          </w:p>
        </w:tc>
      </w:tr>
      <w:tr>
        <w:trPr>
          <w:trHeight w:val="198"/>
        </w:trPr>
        <w:tc>
          <w:tcPr>
            <w:tcW w:w="364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780" w:type="dxa"/>
            <w:vAlign w:val="bottom"/>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3"/>
        </w:trPr>
        <w:tc>
          <w:tcPr>
            <w:tcW w:w="3640" w:type="dxa"/>
            <w:vAlign w:val="bottom"/>
          </w:tcPr>
          <w:p>
            <w:pPr>
              <w:jc w:val="center"/>
              <w:ind w:right="14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780" w:type="dxa"/>
            <w:vAlign w:val="bottom"/>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63 Lancaster Avenue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Malvern, Pennsylvania 19355-2143</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(610) 644-1300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66040</wp:posOffset>
            </wp:positionV>
            <wp:extent cx="1044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Joel Smejkal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Vishay Intertechnology,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63 Lancaster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Malvern, Pennsylvania 19355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(610) 644-1300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57785</wp:posOffset>
            </wp:positionV>
            <wp:extent cx="1044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3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color w:val="auto"/>
        </w:rPr>
        <w:t> </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Brian M. Katz</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David S. Wolpa</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Betty Linkenauger Segaar</w:t>
      </w:r>
    </w:p>
    <w:p>
      <w:pPr>
        <w:spacing w:after="0" w:line="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Troutman Pepper Locke LLP</w:t>
      </w:r>
    </w:p>
    <w:p>
      <w:pPr>
        <w:spacing w:after="0" w:line="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3000 Two Logan Square</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Eighteenth and Arch Streets</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Philadelphia, PA 19103-2799</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(215) 981-4000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66040</wp:posOffset>
            </wp:positionV>
            <wp:extent cx="1044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47"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w:t>
      </w:r>
    </w:p>
    <w:p>
      <w:pPr>
        <w:spacing w:after="0" w:line="235"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3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9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3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3"/>
        </w:trPr>
        <w:tc>
          <w:tcPr>
            <w:tcW w:w="18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38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8"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587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587438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1651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296545</wp:posOffset>
            </wp:positionV>
            <wp:extent cx="665734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240"/>
          </w:cols>
          <w:pgMar w:left="1320" w:top="218" w:right="1339" w:bottom="1028" w:gutter="0" w:footer="0" w:header="0"/>
        </w:sectPr>
      </w:pPr>
    </w:p>
    <w:bookmarkStart w:id="1" w:name="page2"/>
    <w:bookmarkEnd w:id="1"/>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174625</wp:posOffset>
            </wp:positionV>
            <wp:extent cx="922020" cy="775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2020" cy="77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Vishay Intertechnology, Inc.</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jc w:val="center"/>
        <w:spacing w:after="0" w:line="229" w:lineRule="auto"/>
        <w:rPr>
          <w:sz w:val="20"/>
          <w:szCs w:val="20"/>
          <w:color w:val="auto"/>
        </w:rPr>
      </w:pPr>
      <w:r>
        <w:rPr>
          <w:rFonts w:ascii="Times New Roman" w:cs="Times New Roman" w:eastAsia="Times New Roman" w:hAnsi="Times New Roman"/>
          <w:sz w:val="21"/>
          <w:szCs w:val="21"/>
          <w:b w:val="1"/>
          <w:bCs w:val="1"/>
          <w:color w:val="auto"/>
        </w:rPr>
        <w:t>Preferred Stock</w:t>
      </w:r>
    </w:p>
    <w:p>
      <w:pPr>
        <w:jc w:val="center"/>
        <w:spacing w:after="0" w:line="230" w:lineRule="auto"/>
        <w:rPr>
          <w:sz w:val="20"/>
          <w:szCs w:val="20"/>
          <w:color w:val="auto"/>
        </w:rPr>
      </w:pPr>
      <w:r>
        <w:rPr>
          <w:rFonts w:ascii="Times New Roman" w:cs="Times New Roman" w:eastAsia="Times New Roman" w:hAnsi="Times New Roman"/>
          <w:sz w:val="21"/>
          <w:szCs w:val="21"/>
          <w:b w:val="1"/>
          <w:bCs w:val="1"/>
          <w:color w:val="auto"/>
        </w:rPr>
        <w:t>Debt Securities</w:t>
      </w:r>
    </w:p>
    <w:p>
      <w:pPr>
        <w:jc w:val="center"/>
        <w:ind w:right="19"/>
        <w:spacing w:after="0" w:line="230" w:lineRule="auto"/>
        <w:rPr>
          <w:sz w:val="20"/>
          <w:szCs w:val="20"/>
          <w:color w:val="auto"/>
        </w:rPr>
      </w:pPr>
      <w:r>
        <w:rPr>
          <w:rFonts w:ascii="Times New Roman" w:cs="Times New Roman" w:eastAsia="Times New Roman" w:hAnsi="Times New Roman"/>
          <w:sz w:val="21"/>
          <w:szCs w:val="21"/>
          <w:b w:val="1"/>
          <w:bCs w:val="1"/>
          <w:color w:val="auto"/>
        </w:rPr>
        <w:t>Warrants</w:t>
      </w:r>
    </w:p>
    <w:p>
      <w:pPr>
        <w:jc w:val="center"/>
        <w:ind w:right="19"/>
        <w:spacing w:after="0" w:line="230" w:lineRule="auto"/>
        <w:rPr>
          <w:sz w:val="20"/>
          <w:szCs w:val="20"/>
          <w:color w:val="auto"/>
        </w:rPr>
      </w:pPr>
      <w:r>
        <w:rPr>
          <w:rFonts w:ascii="Times New Roman" w:cs="Times New Roman" w:eastAsia="Times New Roman" w:hAnsi="Times New Roman"/>
          <w:sz w:val="21"/>
          <w:szCs w:val="21"/>
          <w:b w:val="1"/>
          <w:bCs w:val="1"/>
          <w:color w:val="auto"/>
        </w:rPr>
        <w:t>Units</w:t>
      </w:r>
    </w:p>
    <w:p>
      <w:pPr>
        <w:jc w:val="center"/>
        <w:spacing w:after="0"/>
        <w:rPr>
          <w:sz w:val="20"/>
          <w:szCs w:val="20"/>
          <w:color w:val="auto"/>
        </w:rPr>
      </w:pPr>
      <w:r>
        <w:rPr>
          <w:rFonts w:ascii="Times New Roman" w:cs="Times New Roman" w:eastAsia="Times New Roman" w:hAnsi="Times New Roman"/>
          <w:sz w:val="21"/>
          <w:szCs w:val="21"/>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69215</wp:posOffset>
            </wp:positionV>
            <wp:extent cx="1044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2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We may, from time to time, offer and sell in one or more series or issuances:</w:t>
      </w:r>
    </w:p>
    <w:p>
      <w:pPr>
        <w:spacing w:after="0" w:line="87" w:lineRule="exact"/>
        <w:rPr>
          <w:sz w:val="20"/>
          <w:szCs w:val="20"/>
          <w:color w:val="auto"/>
        </w:rPr>
      </w:pPr>
    </w:p>
    <w:p>
      <w:pPr>
        <w:ind w:left="1280" w:hanging="339"/>
        <w:spacing w:after="0"/>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common stock;</w:t>
      </w:r>
    </w:p>
    <w:p>
      <w:pPr>
        <w:spacing w:after="0" w:line="74" w:lineRule="exact"/>
        <w:rPr>
          <w:rFonts w:ascii="Times New Roman" w:cs="Times New Roman" w:eastAsia="Times New Roman" w:hAnsi="Times New Roman"/>
          <w:sz w:val="17"/>
          <w:szCs w:val="17"/>
          <w:color w:val="auto"/>
        </w:rPr>
      </w:pPr>
    </w:p>
    <w:p>
      <w:pPr>
        <w:ind w:left="1280" w:hanging="339"/>
        <w:spacing w:after="0"/>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preferred stock;</w:t>
      </w:r>
    </w:p>
    <w:p>
      <w:pPr>
        <w:spacing w:after="0" w:line="74" w:lineRule="exact"/>
        <w:rPr>
          <w:rFonts w:ascii="Times New Roman" w:cs="Times New Roman" w:eastAsia="Times New Roman" w:hAnsi="Times New Roman"/>
          <w:sz w:val="17"/>
          <w:szCs w:val="17"/>
          <w:color w:val="auto"/>
        </w:rPr>
      </w:pPr>
    </w:p>
    <w:p>
      <w:pPr>
        <w:ind w:left="1280" w:hanging="339"/>
        <w:spacing w:after="0"/>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to purchase shares of our common stock, preferred stock and/or debt securities;</w:t>
      </w:r>
    </w:p>
    <w:p>
      <w:pPr>
        <w:spacing w:after="0" w:line="87" w:lineRule="exact"/>
        <w:rPr>
          <w:rFonts w:ascii="Times New Roman" w:cs="Times New Roman" w:eastAsia="Times New Roman" w:hAnsi="Times New Roman"/>
          <w:sz w:val="17"/>
          <w:szCs w:val="17"/>
          <w:color w:val="auto"/>
        </w:rPr>
      </w:pPr>
    </w:p>
    <w:p>
      <w:pPr>
        <w:ind w:left="1280" w:right="619" w:hanging="339"/>
        <w:spacing w:after="0" w:line="281" w:lineRule="auto"/>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securities consisting of debentures, notes or other evidences of indebtedness (which may be issued as convertible or exchangeable debt securities);</w:t>
      </w:r>
    </w:p>
    <w:p>
      <w:pPr>
        <w:spacing w:after="0" w:line="17" w:lineRule="exact"/>
        <w:rPr>
          <w:rFonts w:ascii="Times New Roman" w:cs="Times New Roman" w:eastAsia="Times New Roman" w:hAnsi="Times New Roman"/>
          <w:sz w:val="17"/>
          <w:szCs w:val="17"/>
          <w:color w:val="auto"/>
        </w:rPr>
      </w:pPr>
    </w:p>
    <w:p>
      <w:pPr>
        <w:ind w:left="1280" w:hanging="339"/>
        <w:spacing w:after="0"/>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consisting of a combination of the foregoing securities;</w:t>
      </w:r>
    </w:p>
    <w:p>
      <w:pPr>
        <w:spacing w:after="0" w:line="74" w:lineRule="exact"/>
        <w:rPr>
          <w:rFonts w:ascii="Times New Roman" w:cs="Times New Roman" w:eastAsia="Times New Roman" w:hAnsi="Times New Roman"/>
          <w:sz w:val="17"/>
          <w:szCs w:val="17"/>
          <w:color w:val="auto"/>
        </w:rPr>
      </w:pPr>
    </w:p>
    <w:p>
      <w:pPr>
        <w:ind w:left="1280" w:hanging="339"/>
        <w:spacing w:after="0"/>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rights to purchase common stock, preferred stock or debt securities; or</w:t>
      </w:r>
    </w:p>
    <w:p>
      <w:pPr>
        <w:spacing w:after="0" w:line="87" w:lineRule="exact"/>
        <w:rPr>
          <w:rFonts w:ascii="Times New Roman" w:cs="Times New Roman" w:eastAsia="Times New Roman" w:hAnsi="Times New Roman"/>
          <w:sz w:val="17"/>
          <w:szCs w:val="17"/>
          <w:color w:val="auto"/>
        </w:rPr>
      </w:pPr>
    </w:p>
    <w:p>
      <w:pPr>
        <w:ind w:left="1280" w:hanging="339"/>
        <w:spacing w:after="0"/>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these securities.</w:t>
      </w:r>
    </w:p>
    <w:p>
      <w:pPr>
        <w:spacing w:after="0" w:line="113" w:lineRule="exact"/>
        <w:rPr>
          <w:sz w:val="20"/>
          <w:szCs w:val="20"/>
          <w:color w:val="auto"/>
        </w:rPr>
      </w:pPr>
    </w:p>
    <w:p>
      <w:pPr>
        <w:jc w:val="both"/>
        <w:ind w:left="600" w:right="599" w:firstLine="343"/>
        <w:spacing w:after="0" w:line="255" w:lineRule="auto"/>
        <w:rPr>
          <w:sz w:val="20"/>
          <w:szCs w:val="20"/>
          <w:color w:val="auto"/>
        </w:rPr>
      </w:pPr>
      <w:r>
        <w:rPr>
          <w:rFonts w:ascii="Times New Roman" w:cs="Times New Roman" w:eastAsia="Times New Roman" w:hAnsi="Times New Roman"/>
          <w:sz w:val="17"/>
          <w:szCs w:val="17"/>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We may also authorize one or more free writing prospectuses to be provided to you in connection with any offering. Any prospectus supplement may add to, update or change information contained in this prospectus. If information in any prospectus supplement or any related free writing prospectus is inconsistent with the information in this prospectus, then the information in that prospectus supplement or any related free writing prospectus will apply and will supersede the information in this prospectus. In addition, we may supplement, update or change any information contained in this prospectus by incorporating information by reference. You should read this prospectus, any applicable prospectus supplement and any related free writing prospectus, together with any additional information described under the headings “</w:t>
      </w:r>
      <w:r>
        <w:rPr>
          <w:rFonts w:ascii="Times New Roman" w:cs="Times New Roman" w:eastAsia="Times New Roman" w:hAnsi="Times New Roman"/>
          <w:sz w:val="17"/>
          <w:szCs w:val="17"/>
          <w:i w:val="1"/>
          <w:iCs w:val="1"/>
          <w:color w:val="auto"/>
        </w:rPr>
        <w:t>Where You Can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carefully before you make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decision.</w:t>
      </w:r>
    </w:p>
    <w:p>
      <w:pPr>
        <w:spacing w:after="0" w:line="77" w:lineRule="exact"/>
        <w:rPr>
          <w:sz w:val="20"/>
          <w:szCs w:val="20"/>
          <w:color w:val="auto"/>
        </w:rPr>
      </w:pPr>
    </w:p>
    <w:p>
      <w:pPr>
        <w:jc w:val="both"/>
        <w:ind w:left="600" w:right="619" w:firstLine="343"/>
        <w:spacing w:after="0" w:line="256" w:lineRule="auto"/>
        <w:rPr>
          <w:sz w:val="20"/>
          <w:szCs w:val="20"/>
          <w:color w:val="auto"/>
        </w:rPr>
      </w:pPr>
      <w:r>
        <w:rPr>
          <w:rFonts w:ascii="Times New Roman" w:cs="Times New Roman" w:eastAsia="Times New Roman" w:hAnsi="Times New Roman"/>
          <w:sz w:val="17"/>
          <w:szCs w:val="17"/>
          <w:color w:val="auto"/>
        </w:rPr>
        <w:t>The securities offered pursuant to this prospectus may be sold at prevailing market prices or at prices different than prevailing market prices. We may offer or sell these securities to or through underwriters or dealers, directly to purchasers or through agents designated from time to time, or a combination of such methods, on a continuous or delayed basis. For additional information on the methods of sale, you should refer to the section titled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w:t>
      </w:r>
      <w:r>
        <w:rPr>
          <w:rFonts w:ascii="Times New Roman" w:cs="Times New Roman" w:eastAsia="Times New Roman" w:hAnsi="Times New Roman"/>
          <w:sz w:val="17"/>
          <w:szCs w:val="17"/>
          <w:color w:val="auto"/>
        </w:rPr>
        <w:t>” in this prospectus and the comparable section of any applicable prospectus supplement. If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underwriters are involved in the sale of the securities with respect to which this prospectus is being delivered, the names of such underwriters and any applicable discounts or commissions and over-allotment options will be set forth in the applicable prospectus supplement.</w:t>
      </w:r>
    </w:p>
    <w:p>
      <w:pPr>
        <w:spacing w:after="0" w:line="79" w:lineRule="exact"/>
        <w:rPr>
          <w:sz w:val="20"/>
          <w:szCs w:val="20"/>
          <w:color w:val="auto"/>
        </w:rPr>
      </w:pPr>
    </w:p>
    <w:p>
      <w:pPr>
        <w:jc w:val="both"/>
        <w:ind w:left="600" w:right="619" w:firstLine="343"/>
        <w:spacing w:after="0" w:line="281" w:lineRule="auto"/>
        <w:rPr>
          <w:sz w:val="20"/>
          <w:szCs w:val="20"/>
          <w:color w:val="auto"/>
        </w:rPr>
      </w:pPr>
      <w:r>
        <w:rPr>
          <w:rFonts w:ascii="Times New Roman" w:cs="Times New Roman" w:eastAsia="Times New Roman" w:hAnsi="Times New Roman"/>
          <w:sz w:val="17"/>
          <w:szCs w:val="17"/>
          <w:color w:val="auto"/>
        </w:rPr>
        <w:t>This prospectus may not be used to offer or sell any securities unless accompanied by a prospectus supplement.</w:t>
      </w:r>
    </w:p>
    <w:p>
      <w:pPr>
        <w:spacing w:after="0" w:line="56" w:lineRule="exact"/>
        <w:rPr>
          <w:sz w:val="20"/>
          <w:szCs w:val="20"/>
          <w:color w:val="auto"/>
        </w:rPr>
      </w:pPr>
    </w:p>
    <w:p>
      <w:pPr>
        <w:jc w:val="both"/>
        <w:ind w:left="600" w:right="619" w:firstLine="343"/>
        <w:spacing w:after="0" w:line="262" w:lineRule="auto"/>
        <w:rPr>
          <w:sz w:val="20"/>
          <w:szCs w:val="20"/>
          <w:color w:val="auto"/>
        </w:rPr>
      </w:pPr>
      <w:r>
        <w:rPr>
          <w:rFonts w:ascii="Times New Roman" w:cs="Times New Roman" w:eastAsia="Times New Roman" w:hAnsi="Times New Roman"/>
          <w:sz w:val="17"/>
          <w:szCs w:val="17"/>
          <w:color w:val="auto"/>
        </w:rPr>
        <w:t>Our common stock is listed on the New York Stock Exchange under the symbol “VSH.” On June 26, 2026, the last reported sale price of our common stock was $56.35 per share. If we decide to list or seek a quotation for any other securities offered hereunder, the applicable prospectus supplement or free writing prospectus will disclose the exchange or market on which those securities will be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2341880</wp:posOffset>
            </wp:positionH>
            <wp:positionV relativeFrom="paragraph">
              <wp:posOffset>38735</wp:posOffset>
            </wp:positionV>
            <wp:extent cx="1044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37" w:lineRule="exact"/>
        <w:rPr>
          <w:sz w:val="20"/>
          <w:szCs w:val="20"/>
          <w:color w:val="auto"/>
        </w:rPr>
      </w:pPr>
    </w:p>
    <w:p>
      <w:pPr>
        <w:jc w:val="both"/>
        <w:ind w:left="600" w:right="619" w:firstLine="343"/>
        <w:spacing w:after="0" w:line="263"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you should carefully consider the risks described under “</w:t>
      </w:r>
      <w:r>
        <w:rPr>
          <w:rFonts w:ascii="Times New Roman" w:cs="Times New Roman" w:eastAsia="Times New Roman" w:hAnsi="Times New Roman"/>
          <w:sz w:val="17"/>
          <w:szCs w:val="17"/>
          <w:b w:val="1"/>
          <w:bCs w:val="1"/>
          <w:i w:val="1"/>
          <w:iCs w:val="1"/>
          <w:color w:val="auto"/>
        </w:rPr>
        <w:t>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Factors</w:t>
      </w:r>
      <w:r>
        <w:rPr>
          <w:rFonts w:ascii="Times New Roman" w:cs="Times New Roman" w:eastAsia="Times New Roman" w:hAnsi="Times New Roman"/>
          <w:sz w:val="17"/>
          <w:szCs w:val="17"/>
          <w:b w:val="1"/>
          <w:bCs w:val="1"/>
          <w:color w:val="auto"/>
        </w:rPr>
        <w:t>” 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u w:val="single" w:color="auto"/>
          <w:color w:val="0000EE"/>
        </w:rPr>
        <w:t>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of this prospectus, as well as the other information contained or incorporated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reference in this prospectus, any applicable prospectus supplement and any related free writing prospectus, before making a decision to invest in our securities.</w:t>
      </w:r>
    </w:p>
    <w:p>
      <w:pPr>
        <w:spacing w:after="0" w:line="68" w:lineRule="exact"/>
        <w:rPr>
          <w:sz w:val="20"/>
          <w:szCs w:val="20"/>
          <w:color w:val="auto"/>
        </w:rPr>
      </w:pPr>
    </w:p>
    <w:p>
      <w:pPr>
        <w:jc w:val="both"/>
        <w:ind w:left="600" w:right="619" w:firstLine="343"/>
        <w:spacing w:after="0" w:line="26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59690</wp:posOffset>
            </wp:positionV>
            <wp:extent cx="1044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132715</wp:posOffset>
            </wp:positionV>
            <wp:extent cx="665734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 w:name="page3"/>
    <w:bookmarkEnd w:id="2"/>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86" w:lineRule="exact"/>
        <w:rPr>
          <w:sz w:val="20"/>
          <w:szCs w:val="20"/>
          <w:color w:val="auto"/>
        </w:rPr>
      </w:pPr>
    </w:p>
    <w:tbl>
      <w:tblPr>
        <w:tblLayout w:type="fixed"/>
        <w:tblInd w:w="5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00" w:type="dxa"/>
            <w:vAlign w:val="bottom"/>
            <w:gridSpan w:val="7"/>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8"/>
              </w:rPr>
              <w:t>ABOUT THIS PROSPECTUS</w:t>
            </w:r>
          </w:p>
        </w:tc>
        <w:tc>
          <w:tcPr>
            <w:tcW w:w="4500" w:type="dxa"/>
            <w:vAlign w:val="bottom"/>
            <w:gridSpan w:val="10"/>
            <w:shd w:val="clear" w:color="auto" w:fill="CCEEFF"/>
          </w:tcPr>
          <w:p>
            <w:pPr>
              <w:spacing w:after="0"/>
              <w:rPr>
                <w:sz w:val="16"/>
                <w:szCs w:val="16"/>
                <w:color w:val="auto"/>
              </w:rPr>
            </w:pPr>
          </w:p>
        </w:tc>
        <w:tc>
          <w:tcPr>
            <w:tcW w:w="1240" w:type="dxa"/>
            <w:vAlign w:val="bottom"/>
            <w:gridSpan w:val="3"/>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600" w:type="dxa"/>
            <w:vAlign w:val="bottom"/>
            <w:gridSpan w:val="17"/>
          </w:tcPr>
          <w:p>
            <w:pPr>
              <w:spacing w:after="0" w:line="180"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34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7"/>
                <w:szCs w:val="17"/>
                <w:color w:val="0000EE"/>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600" w:type="dxa"/>
            <w:vAlign w:val="bottom"/>
            <w:gridSpan w:val="17"/>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OUR COMPANY</w:t>
            </w:r>
          </w:p>
        </w:tc>
        <w:tc>
          <w:tcPr>
            <w:tcW w:w="1340" w:type="dxa"/>
            <w:vAlign w:val="bottom"/>
            <w:tcBorders>
              <w:right w:val="single" w:sz="8" w:color="CCEEFF"/>
            </w:tcBorders>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1220" w:type="dxa"/>
            <w:vAlign w:val="bottom"/>
            <w:gridSpan w:val="3"/>
          </w:tcPr>
          <w:p>
            <w:pPr>
              <w:spacing w:after="0" w:line="180" w:lineRule="exact"/>
              <w:rPr>
                <w:sz w:val="20"/>
                <w:szCs w:val="20"/>
                <w:color w:val="auto"/>
              </w:rPr>
            </w:pPr>
            <w:r>
              <w:rPr>
                <w:rFonts w:ascii="Times New Roman" w:cs="Times New Roman" w:eastAsia="Times New Roman" w:hAnsi="Times New Roman"/>
                <w:sz w:val="17"/>
                <w:szCs w:val="17"/>
                <w:color w:val="0000EE"/>
              </w:rPr>
              <w:t>RISK FACTORS</w:t>
            </w:r>
          </w:p>
        </w:tc>
        <w:tc>
          <w:tcPr>
            <w:tcW w:w="5380" w:type="dxa"/>
            <w:vAlign w:val="bottom"/>
            <w:gridSpan w:val="14"/>
          </w:tcPr>
          <w:p>
            <w:pPr>
              <w:spacing w:after="0"/>
              <w:rPr>
                <w:sz w:val="15"/>
                <w:szCs w:val="15"/>
                <w:color w:val="auto"/>
              </w:rPr>
            </w:pPr>
          </w:p>
        </w:tc>
        <w:tc>
          <w:tcPr>
            <w:tcW w:w="1240" w:type="dxa"/>
            <w:vAlign w:val="bottom"/>
            <w:gridSpan w:val="3"/>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1480" w:type="dxa"/>
            <w:vAlign w:val="bottom"/>
            <w:gridSpan w:val="5"/>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USE OF PROCEEDS</w:t>
            </w:r>
          </w:p>
        </w:tc>
        <w:tc>
          <w:tcPr>
            <w:tcW w:w="5120" w:type="dxa"/>
            <w:vAlign w:val="bottom"/>
            <w:gridSpan w:val="12"/>
            <w:shd w:val="clear" w:color="auto" w:fill="CCEEFF"/>
          </w:tcPr>
          <w:p>
            <w:pPr>
              <w:spacing w:after="0"/>
              <w:rPr>
                <w:sz w:val="15"/>
                <w:szCs w:val="15"/>
                <w:color w:val="auto"/>
              </w:rPr>
            </w:pPr>
          </w:p>
        </w:tc>
        <w:tc>
          <w:tcPr>
            <w:tcW w:w="1240" w:type="dxa"/>
            <w:vAlign w:val="bottom"/>
            <w:gridSpan w:val="3"/>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600" w:type="dxa"/>
            <w:vAlign w:val="bottom"/>
            <w:gridSpan w:val="17"/>
          </w:tcPr>
          <w:p>
            <w:pPr>
              <w:spacing w:after="0" w:line="180" w:lineRule="exact"/>
              <w:rPr>
                <w:sz w:val="20"/>
                <w:szCs w:val="20"/>
                <w:color w:val="auto"/>
              </w:rPr>
            </w:pPr>
            <w:r>
              <w:rPr>
                <w:rFonts w:ascii="Times New Roman" w:cs="Times New Roman" w:eastAsia="Times New Roman" w:hAnsi="Times New Roman"/>
                <w:sz w:val="17"/>
                <w:szCs w:val="17"/>
                <w:color w:val="0000EE"/>
              </w:rPr>
              <w:t>DESCRIPTION OF OUR COMMON STOCK</w:t>
            </w:r>
          </w:p>
        </w:tc>
        <w:tc>
          <w:tcPr>
            <w:tcW w:w="134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7"/>
                <w:szCs w:val="17"/>
                <w:color w:val="0000EE"/>
              </w:rPr>
              <w:t>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600" w:type="dxa"/>
            <w:vAlign w:val="bottom"/>
            <w:gridSpan w:val="17"/>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DESCRIPTION OF OUR PREFERRED STOCK</w:t>
            </w:r>
          </w:p>
        </w:tc>
        <w:tc>
          <w:tcPr>
            <w:tcW w:w="1400" w:type="dxa"/>
            <w:vAlign w:val="bottom"/>
            <w:gridSpan w:val="5"/>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7"/>
                <w:szCs w:val="17"/>
                <w:color w:val="0000EE"/>
              </w:rPr>
              <w:t>10</w:t>
            </w:r>
          </w:p>
        </w:tc>
        <w:tc>
          <w:tcPr>
            <w:tcW w:w="0" w:type="dxa"/>
            <w:vAlign w:val="bottom"/>
          </w:tcPr>
          <w:p>
            <w:pPr>
              <w:spacing w:after="0"/>
              <w:rPr>
                <w:sz w:val="1"/>
                <w:szCs w:val="1"/>
                <w:color w:val="auto"/>
              </w:rPr>
            </w:pPr>
          </w:p>
        </w:tc>
      </w:tr>
      <w:tr>
        <w:trPr>
          <w:trHeight w:val="180"/>
        </w:trPr>
        <w:tc>
          <w:tcPr>
            <w:tcW w:w="20" w:type="dxa"/>
            <w:vAlign w:val="bottom"/>
            <w:tcBorders>
              <w:top w:val="single" w:sz="8" w:color="0000EE"/>
            </w:tcBorders>
          </w:tcPr>
          <w:p>
            <w:pPr>
              <w:spacing w:after="0"/>
              <w:rPr>
                <w:sz w:val="15"/>
                <w:szCs w:val="15"/>
                <w:color w:val="auto"/>
              </w:rPr>
            </w:pPr>
          </w:p>
        </w:tc>
        <w:tc>
          <w:tcPr>
            <w:tcW w:w="3360" w:type="dxa"/>
            <w:vAlign w:val="bottom"/>
            <w:tcBorders>
              <w:top w:val="single" w:sz="8" w:color="0000EE"/>
            </w:tcBorders>
            <w:gridSpan w:val="12"/>
          </w:tcPr>
          <w:p>
            <w:pPr>
              <w:spacing w:after="0" w:line="180" w:lineRule="exact"/>
              <w:rPr>
                <w:sz w:val="20"/>
                <w:szCs w:val="20"/>
                <w:color w:val="auto"/>
              </w:rPr>
            </w:pPr>
            <w:r>
              <w:rPr>
                <w:rFonts w:ascii="Times New Roman" w:cs="Times New Roman" w:eastAsia="Times New Roman" w:hAnsi="Times New Roman"/>
                <w:sz w:val="17"/>
                <w:szCs w:val="17"/>
                <w:color w:val="0000EE"/>
              </w:rPr>
              <w:t>DESCRIPTION OF OUR DEBT SECURITIES</w:t>
            </w:r>
          </w:p>
        </w:tc>
        <w:tc>
          <w:tcPr>
            <w:tcW w:w="3240" w:type="dxa"/>
            <w:vAlign w:val="bottom"/>
            <w:tcBorders>
              <w:top w:val="single" w:sz="8" w:color="CCEEFF"/>
            </w:tcBorders>
            <w:gridSpan w:val="5"/>
          </w:tcPr>
          <w:p>
            <w:pPr>
              <w:spacing w:after="0"/>
              <w:rPr>
                <w:sz w:val="15"/>
                <w:szCs w:val="15"/>
                <w:color w:val="auto"/>
              </w:rPr>
            </w:pPr>
          </w:p>
        </w:tc>
        <w:tc>
          <w:tcPr>
            <w:tcW w:w="116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12</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Borders>
              <w:bottom w:val="single" w:sz="8" w:color="0000EE"/>
            </w:tcBorders>
            <w:vMerge w:val="continue"/>
          </w:tcPr>
          <w:p>
            <w:pPr>
              <w:spacing w:after="0"/>
              <w:rPr>
                <w:sz w:val="18"/>
                <w:szCs w:val="18"/>
                <w:color w:val="auto"/>
              </w:rPr>
            </w:pPr>
          </w:p>
        </w:tc>
        <w:tc>
          <w:tcPr>
            <w:tcW w:w="2740" w:type="dxa"/>
            <w:vAlign w:val="bottom"/>
            <w:tcBorders>
              <w:bottom w:val="single" w:sz="8" w:color="0000EE"/>
            </w:tcBorders>
            <w:gridSpan w:val="9"/>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8"/>
              </w:rPr>
              <w:t>DESCRIPTION OF OUR WARRANTS</w:t>
            </w:r>
          </w:p>
        </w:tc>
        <w:tc>
          <w:tcPr>
            <w:tcW w:w="3860" w:type="dxa"/>
            <w:vAlign w:val="bottom"/>
            <w:tcBorders>
              <w:bottom w:val="single" w:sz="8" w:color="CCEEFF"/>
            </w:tcBorders>
            <w:gridSpan w:val="8"/>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18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0" w:type="dxa"/>
            <w:vAlign w:val="bottom"/>
            <w:gridSpan w:val="17"/>
          </w:tcPr>
          <w:p>
            <w:pPr>
              <w:spacing w:after="0" w:line="180" w:lineRule="exact"/>
              <w:rPr>
                <w:sz w:val="20"/>
                <w:szCs w:val="20"/>
                <w:color w:val="auto"/>
              </w:rPr>
            </w:pPr>
            <w:r>
              <w:rPr>
                <w:rFonts w:ascii="Times New Roman" w:cs="Times New Roman" w:eastAsia="Times New Roman" w:hAnsi="Times New Roman"/>
                <w:sz w:val="17"/>
                <w:szCs w:val="17"/>
                <w:color w:val="0000EE"/>
              </w:rPr>
              <w:t>DESCRIPTION OF OUR UNITS</w:t>
            </w:r>
          </w:p>
        </w:tc>
        <w:tc>
          <w:tcPr>
            <w:tcW w:w="1400" w:type="dxa"/>
            <w:vAlign w:val="bottom"/>
            <w:gridSpan w:val="5"/>
          </w:tcPr>
          <w:p>
            <w:pPr>
              <w:jc w:val="right"/>
              <w:ind w:right="60"/>
              <w:spacing w:after="0" w:line="180" w:lineRule="exact"/>
              <w:rPr>
                <w:sz w:val="20"/>
                <w:szCs w:val="20"/>
                <w:color w:val="auto"/>
              </w:rPr>
            </w:pPr>
            <w:r>
              <w:rPr>
                <w:rFonts w:ascii="Times New Roman" w:cs="Times New Roman" w:eastAsia="Times New Roman" w:hAnsi="Times New Roman"/>
                <w:sz w:val="17"/>
                <w:szCs w:val="17"/>
                <w:color w:val="0000EE"/>
              </w:rPr>
              <w:t>19</w:t>
            </w: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Borders>
              <w:bottom w:val="single" w:sz="8" w:color="0000EE"/>
            </w:tcBorders>
            <w:vMerge w:val="continue"/>
          </w:tcPr>
          <w:p>
            <w:pPr>
              <w:spacing w:after="0"/>
              <w:rPr>
                <w:sz w:val="18"/>
                <w:szCs w:val="18"/>
                <w:color w:val="auto"/>
              </w:rPr>
            </w:pPr>
          </w:p>
        </w:tc>
        <w:tc>
          <w:tcPr>
            <w:tcW w:w="3680" w:type="dxa"/>
            <w:vAlign w:val="bottom"/>
            <w:tcBorders>
              <w:bottom w:val="single" w:sz="8" w:color="0000EE"/>
            </w:tcBorders>
            <w:gridSpan w:val="1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9"/>
              </w:rPr>
              <w:t>DESCRIPTION OF OUR SUBSCRIPTION RIGHTS</w:t>
            </w:r>
          </w:p>
        </w:tc>
        <w:tc>
          <w:tcPr>
            <w:tcW w:w="2920" w:type="dxa"/>
            <w:vAlign w:val="bottom"/>
            <w:tcBorders>
              <w:bottom w:val="single" w:sz="8" w:color="CCEEFF"/>
            </w:tcBorders>
            <w:gridSpan w:val="3"/>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20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0" w:type="dxa"/>
            <w:vAlign w:val="bottom"/>
            <w:gridSpan w:val="17"/>
          </w:tcPr>
          <w:p>
            <w:pPr>
              <w:spacing w:after="0" w:line="180" w:lineRule="exact"/>
              <w:rPr>
                <w:sz w:val="20"/>
                <w:szCs w:val="20"/>
                <w:color w:val="auto"/>
              </w:rPr>
            </w:pPr>
            <w:r>
              <w:rPr>
                <w:rFonts w:ascii="Times New Roman" w:cs="Times New Roman" w:eastAsia="Times New Roman" w:hAnsi="Times New Roman"/>
                <w:sz w:val="17"/>
                <w:szCs w:val="17"/>
                <w:color w:val="0000EE"/>
              </w:rPr>
              <w:t>PLAN OF DISTRIBUTION</w:t>
            </w:r>
          </w:p>
        </w:tc>
        <w:tc>
          <w:tcPr>
            <w:tcW w:w="1400" w:type="dxa"/>
            <w:vAlign w:val="bottom"/>
            <w:gridSpan w:val="5"/>
          </w:tcPr>
          <w:p>
            <w:pPr>
              <w:jc w:val="right"/>
              <w:ind w:right="60"/>
              <w:spacing w:after="0" w:line="180" w:lineRule="exact"/>
              <w:rPr>
                <w:sz w:val="20"/>
                <w:szCs w:val="20"/>
                <w:color w:val="auto"/>
              </w:rPr>
            </w:pPr>
            <w:r>
              <w:rPr>
                <w:rFonts w:ascii="Times New Roman" w:cs="Times New Roman" w:eastAsia="Times New Roman" w:hAnsi="Times New Roman"/>
                <w:sz w:val="17"/>
                <w:szCs w:val="17"/>
                <w:color w:val="0000EE"/>
              </w:rPr>
              <w:t>21</w:t>
            </w: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Borders>
              <w:bottom w:val="single" w:sz="8" w:color="0000EE"/>
            </w:tcBorders>
            <w:vMerge w:val="continue"/>
          </w:tcPr>
          <w:p>
            <w:pPr>
              <w:spacing w:after="0"/>
              <w:rPr>
                <w:sz w:val="18"/>
                <w:szCs w:val="18"/>
                <w:color w:val="auto"/>
              </w:rPr>
            </w:pPr>
          </w:p>
        </w:tc>
        <w:tc>
          <w:tcPr>
            <w:tcW w:w="1360" w:type="dxa"/>
            <w:vAlign w:val="bottom"/>
            <w:tcBorders>
              <w:bottom w:val="single" w:sz="8" w:color="0000EE"/>
            </w:tcBorders>
            <w:gridSpan w:val="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6"/>
              </w:rPr>
              <w:t>LEGAL MATTERS</w:t>
            </w:r>
          </w:p>
        </w:tc>
        <w:tc>
          <w:tcPr>
            <w:tcW w:w="5240" w:type="dxa"/>
            <w:vAlign w:val="bottom"/>
            <w:tcBorders>
              <w:bottom w:val="single" w:sz="8" w:color="CCEEFF"/>
            </w:tcBorders>
            <w:gridSpan w:val="13"/>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23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0" w:type="dxa"/>
            <w:vAlign w:val="bottom"/>
            <w:gridSpan w:val="17"/>
          </w:tcPr>
          <w:p>
            <w:pPr>
              <w:spacing w:after="0" w:line="180" w:lineRule="exact"/>
              <w:rPr>
                <w:sz w:val="20"/>
                <w:szCs w:val="20"/>
                <w:color w:val="auto"/>
              </w:rPr>
            </w:pPr>
            <w:r>
              <w:rPr>
                <w:rFonts w:ascii="Times New Roman" w:cs="Times New Roman" w:eastAsia="Times New Roman" w:hAnsi="Times New Roman"/>
                <w:sz w:val="17"/>
                <w:szCs w:val="17"/>
                <w:color w:val="0000EE"/>
              </w:rPr>
              <w:t>EXPERTS</w:t>
            </w:r>
          </w:p>
        </w:tc>
        <w:tc>
          <w:tcPr>
            <w:tcW w:w="1400" w:type="dxa"/>
            <w:vAlign w:val="bottom"/>
            <w:gridSpan w:val="5"/>
          </w:tcPr>
          <w:p>
            <w:pPr>
              <w:jc w:val="right"/>
              <w:ind w:right="60"/>
              <w:spacing w:after="0" w:line="180" w:lineRule="exact"/>
              <w:rPr>
                <w:sz w:val="20"/>
                <w:szCs w:val="20"/>
                <w:color w:val="auto"/>
              </w:rPr>
            </w:pPr>
            <w:r>
              <w:rPr>
                <w:rFonts w:ascii="Times New Roman" w:cs="Times New Roman" w:eastAsia="Times New Roman" w:hAnsi="Times New Roman"/>
                <w:sz w:val="17"/>
                <w:szCs w:val="17"/>
                <w:color w:val="0000EE"/>
              </w:rPr>
              <w:t>23</w:t>
            </w: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600" w:type="dxa"/>
            <w:vAlign w:val="bottom"/>
            <w:gridSpan w:val="17"/>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400" w:type="dxa"/>
            <w:vAlign w:val="bottom"/>
            <w:gridSpan w:val="5"/>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7"/>
                <w:szCs w:val="17"/>
                <w:color w:val="0000EE"/>
              </w:rPr>
              <w:t>23</w:t>
            </w: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600" w:type="dxa"/>
            <w:vAlign w:val="bottom"/>
            <w:gridSpan w:val="17"/>
          </w:tcPr>
          <w:p>
            <w:pPr>
              <w:spacing w:after="0" w:line="180"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1400" w:type="dxa"/>
            <w:vAlign w:val="bottom"/>
            <w:gridSpan w:val="5"/>
          </w:tcPr>
          <w:p>
            <w:pPr>
              <w:jc w:val="right"/>
              <w:ind w:right="60"/>
              <w:spacing w:after="0" w:line="180" w:lineRule="exact"/>
              <w:rPr>
                <w:sz w:val="20"/>
                <w:szCs w:val="20"/>
                <w:color w:val="auto"/>
              </w:rPr>
            </w:pPr>
            <w:r>
              <w:rPr>
                <w:rFonts w:ascii="Times New Roman" w:cs="Times New Roman" w:eastAsia="Times New Roman" w:hAnsi="Times New Roman"/>
                <w:sz w:val="17"/>
                <w:szCs w:val="17"/>
                <w:color w:val="0000EE"/>
              </w:rPr>
              <w:t>24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3" w:name="page4"/>
    <w:bookmarkEnd w:id="3"/>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7"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This prospectus is part of an automatic shelf registration statement on Form S-3 that we filed with the U.S. Securities and Exchange Commission (the “SEC”) as a “well-known seasoned issuer,” as defined in Rule 405 under the Securities Act of 1933, as amended (the “Securities Act”), utilizing a “shelf” registration process. Under this shelf registration process, we may offer and sell, from time to time in one or more offerings, any combination of the securities described in this prospectus. Because we are a “well-known seasoned issuer,” we may also add to and offer additional securities by filing a prospectus supplement with the SEC at the time of any such offer.</w:t>
      </w:r>
    </w:p>
    <w:p>
      <w:pPr>
        <w:spacing w:after="0" w:line="70" w:lineRule="exact"/>
        <w:rPr>
          <w:sz w:val="20"/>
          <w:szCs w:val="20"/>
          <w:color w:val="auto"/>
        </w:rPr>
      </w:pPr>
    </w:p>
    <w:p>
      <w:pPr>
        <w:jc w:val="both"/>
        <w:ind w:left="500" w:right="499" w:firstLine="343"/>
        <w:spacing w:after="0" w:line="254"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may offer. It does not contain all of the information set forth in the registration statement, certain parts of which are omitted in accordance with the rules and regulations of the SEC. Each time we offer and sell securities under this shelf registration statement, we will provide a prospectus supplement. We may also authorize one or more free writing prospectuses to be provided to you in connection with the offering. For the purposes of the discussion in this prospectus, the term “prospectus supplement” shall also include any related free writing prospectus. The prospectus supplement will contain specific information about the terms of the securities being offered and the terms of that offering, including the type and amount of securities being offered, the offering price, and the names of any underwriters, dealers or agents and any applicable commissions, discounts or over-allotment options. A prospectus supplement may also include a discussion of any risk factors or other special considerations applicable to those securities or to us. Any prospectus supplement may also add, update or change information contained or incorporated by reference in this prospectus. If there is any inconsistency between the information in this prospectus and the applicable prospectus supplement, you should rely on the information in the document with the most recent date. 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 this prospectus, or by any other method as may then be permitted under applicable law, rules or regulations.</w:t>
      </w:r>
    </w:p>
    <w:p>
      <w:pPr>
        <w:spacing w:after="0" w:line="79"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We have not authorized any other person to provide you with any information other than what is contained or incorporated by reference in this prospectus, any applicable prospectus supplement or any free writing prospectus prepared by or on behalf of us or to which we have referred you. We take no responsibility for, and provide no assurance as to, the reliability of any other information that others may give you. You should not assume that the information contained or incorporated by reference in this prospectus or any applicable prospectus supplement is accurate as of any date subsequent to the date set forth on the front of the document, or that any information we have incorporated by reference is correct on any date subsequent to the date of the document incorporated by reference, even though this prospectus or any accompanying prospectus supplement is delivered or securities are sold on a later date. Our business, financial condition, results of operations and prospects may have changed since those dates. This prospectus and any accompanying prospectus supplement do not constitute an offer to sell or the solicitation of an offer to buy any securities other than the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pacing w:after="0" w:line="75" w:lineRule="exact"/>
        <w:rPr>
          <w:sz w:val="20"/>
          <w:szCs w:val="20"/>
          <w:color w:val="auto"/>
        </w:rPr>
      </w:pPr>
    </w:p>
    <w:p>
      <w:pPr>
        <w:jc w:val="both"/>
        <w:ind w:left="500" w:right="519" w:firstLine="343"/>
        <w:spacing w:after="0" w:line="257" w:lineRule="auto"/>
        <w:rPr>
          <w:sz w:val="20"/>
          <w:szCs w:val="20"/>
          <w:color w:val="auto"/>
        </w:rPr>
      </w:pPr>
      <w:r>
        <w:rPr>
          <w:rFonts w:ascii="Times New Roman" w:cs="Times New Roman" w:eastAsia="Times New Roman" w:hAnsi="Times New Roman"/>
          <w:sz w:val="17"/>
          <w:szCs w:val="17"/>
          <w:color w:val="auto"/>
        </w:rPr>
        <w:t>You should read this prospectus, any applicable prospectus supplement, the related exhibits filed with the SEC, and the documents incorporated by reference herein and therein carefully and in their entirety before making an investment decision. In particular, you should carefully consider the risks and uncertainties described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any applicable prospectus supplement or incorporated by reference in this prospectus before deciding whether to purchase any securities. Please also refer to the additional information described under the headings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this prospectus.</w:t>
      </w:r>
    </w:p>
    <w:p>
      <w:pPr>
        <w:spacing w:after="0" w:line="77"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References in this prospectus to the terms “we,” “us,” “our,” the “Company” and “Vishay” or other similar terms refer to Vishay Intertechnology, Inc. and its consolidated subsidiaries, unless expressly stated or the context otherwise indicates.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4" w:name="page5"/>
    <w:bookmarkEnd w:id="4"/>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7"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This prospectus and the documents incorporated herein by reference contain forward-looking statements within the meaning of Section 27A of the Securities Act and Section 21E of the Securities Exchange Act of 1934, as amended (the “Exchange Act”) that are based on our management’s beliefs and assumptions and on information available to our management as of the date hereof or as of the date of any such document incorporated herein by reference, as the case may be. Forward-looking statements are inherently subject to risks and uncertainties, some of which cannot be predicted or quantified. All statements other than present and historical facts and conditions contained in this prospectus and the documents incorporated herein by reference, including statements regarding our future results of operations and financial position, business strategy, plans and our objectives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77"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prospectus and the documents incorporated herein by reference primarily on our expectations and projections about future events and trends as of the date hereof or as of the date of the applicable document incorporated herein by reference, as the case may be, that we believe may affect our business, financial condition, results of operations, prospects, business strategy and financial needs.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w:t>
      </w:r>
    </w:p>
    <w:p>
      <w:pPr>
        <w:spacing w:after="0" w:line="76" w:lineRule="exact"/>
        <w:rPr>
          <w:sz w:val="20"/>
          <w:szCs w:val="20"/>
          <w:color w:val="auto"/>
        </w:rPr>
      </w:pPr>
    </w:p>
    <w:p>
      <w:pPr>
        <w:ind w:left="1180" w:right="519" w:hanging="342"/>
        <w:spacing w:after="0" w:line="285"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business and economic conditions; manufacturing or supply chain interruptions or changes in customer demand;</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implementing our cost reduction strategies;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expanding our manufacturing capacities;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attract and retain highly qualified personnel;</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uncertainty related to the effects of changes in foreign currency exchange rates;</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technological changes in our industries;</w:t>
      </w:r>
    </w:p>
    <w:p>
      <w:pPr>
        <w:spacing w:after="0" w:line="112"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new product development; difficulties in identifying suitable acquisition candidates, consummating a transaction on terms which we consider acceptable, and integration and performance of acquired businesses;</w:t>
      </w:r>
    </w:p>
    <w:p>
      <w:pPr>
        <w:spacing w:after="0" w:line="6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and foreign trade regulations and tariffs, and uncertainty regarding the same;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prices for metals and materials;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domestic and foreign tax regulations, and uncertainty regarding the same;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accounting standards; and</w:t>
      </w:r>
    </w:p>
    <w:p>
      <w:pPr>
        <w:spacing w:after="0" w:line="108" w:lineRule="exact"/>
        <w:rPr>
          <w:rFonts w:ascii="Times New Roman" w:cs="Times New Roman" w:eastAsia="Times New Roman" w:hAnsi="Times New Roman"/>
          <w:sz w:val="17"/>
          <w:szCs w:val="17"/>
          <w:color w:val="auto"/>
        </w:rPr>
      </w:pPr>
    </w:p>
    <w:p>
      <w:pPr>
        <w:jc w:val="both"/>
        <w:ind w:left="1180" w:right="519" w:hanging="342"/>
        <w:spacing w:after="0" w:line="271" w:lineRule="auto"/>
        <w:tabs>
          <w:tab w:leader="none" w:pos="1180" w:val="left"/>
        </w:tabs>
        <w:numPr>
          <w:ilvl w:val="0"/>
          <w:numId w:val="2"/>
        </w:numPr>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auto"/>
          </w:rPr>
          <w:t>other factors described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this prospectus, our </w:t>
        </w:r>
        <w:r>
          <w:rPr>
            <w:rFonts w:ascii="Times New Roman" w:cs="Times New Roman" w:eastAsia="Times New Roman" w:hAnsi="Times New Roman"/>
            <w:sz w:val="17"/>
            <w:szCs w:val="17"/>
            <w:u w:val="single" w:color="auto"/>
            <w:color w:val="0000EE"/>
          </w:rPr>
          <w:t>Annual Report on</w:t>
        </w:r>
      </w:hyperlink>
      <w:r>
        <w:rPr>
          <w:rFonts w:ascii="Times New Roman" w:cs="Times New Roman" w:eastAsia="Times New Roman" w:hAnsi="Times New Roman"/>
          <w:sz w:val="17"/>
          <w:szCs w:val="17"/>
          <w:color w:val="auto"/>
        </w:rPr>
        <w:t xml:space="preserve"> </w:t>
      </w:r>
      <w:hyperlink r:id="rId27">
        <w:r>
          <w:rPr>
            <w:rFonts w:ascii="Times New Roman" w:cs="Times New Roman" w:eastAsia="Times New Roman" w:hAnsi="Times New Roman"/>
            <w:sz w:val="17"/>
            <w:szCs w:val="17"/>
            <w:u w:val="single" w:color="auto"/>
            <w:color w:val="0000EE"/>
          </w:rPr>
          <w:t>Form 10-K for the year ended December 31, 2025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 our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Quarterly Report on Form 10-Q for the quarter</w:t>
        </w:r>
      </w:hyperlink>
      <w:r>
        <w:rPr>
          <w:rFonts w:ascii="Times New Roman" w:cs="Times New Roman" w:eastAsia="Times New Roman" w:hAnsi="Times New Roman"/>
          <w:sz w:val="17"/>
          <w:szCs w:val="17"/>
          <w:color w:val="0000EE"/>
        </w:rPr>
        <w:t xml:space="preserve"> </w:t>
      </w:r>
      <w:hyperlink r:id="rId27">
        <w:r>
          <w:rPr>
            <w:rFonts w:ascii="Times New Roman" w:cs="Times New Roman" w:eastAsia="Times New Roman" w:hAnsi="Times New Roman"/>
            <w:sz w:val="17"/>
            <w:szCs w:val="17"/>
            <w:u w:val="single" w:color="auto"/>
            <w:color w:val="0000EE"/>
          </w:rPr>
          <w:t>ended April 4, 2026</w:t>
        </w:r>
        <w:r>
          <w:rPr>
            <w:rFonts w:ascii="Times New Roman" w:cs="Times New Roman" w:eastAsia="Times New Roman" w:hAnsi="Times New Roman"/>
            <w:sz w:val="17"/>
            <w:szCs w:val="17"/>
            <w:color w:val="000000"/>
          </w:rPr>
          <w:t>.</w:t>
        </w:r>
      </w:hyperlink>
    </w:p>
    <w:p>
      <w:pPr>
        <w:spacing w:after="0" w:line="61" w:lineRule="exact"/>
        <w:rPr>
          <w:rFonts w:ascii="Times New Roman" w:cs="Times New Roman" w:eastAsia="Times New Roman" w:hAnsi="Times New Roman"/>
          <w:sz w:val="17"/>
          <w:szCs w:val="17"/>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Additionally, we operate in a very competitive and rapidly changing environment. New risks and uncertainties emerge from time to time and it is not possible for us to predict all risks and uncertainties that could have an impact on the forward-looking statements contained in this prospectus and the documents incorporated herein by reference.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73" w:lineRule="exact"/>
        <w:rPr>
          <w:rFonts w:ascii="Times New Roman" w:cs="Times New Roman" w:eastAsia="Times New Roman" w:hAnsi="Times New Roman"/>
          <w:sz w:val="17"/>
          <w:szCs w:val="17"/>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or the applicable</w:t>
      </w:r>
    </w:p>
    <w:p>
      <w:pPr>
        <w:spacing w:after="0" w:line="165"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5" w:name="page6"/>
    <w:bookmarkEnd w:id="5"/>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499"/>
        <w:spacing w:after="0" w:line="260" w:lineRule="auto"/>
        <w:rPr>
          <w:sz w:val="20"/>
          <w:szCs w:val="20"/>
          <w:color w:val="auto"/>
        </w:rPr>
      </w:pPr>
      <w:r>
        <w:rPr>
          <w:rFonts w:ascii="Times New Roman" w:cs="Times New Roman" w:eastAsia="Times New Roman" w:hAnsi="Times New Roman"/>
          <w:sz w:val="17"/>
          <w:szCs w:val="17"/>
          <w:color w:val="auto"/>
        </w:rPr>
        <w:t>document incorporated herein by reference,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2" w:lineRule="exact"/>
        <w:rPr>
          <w:sz w:val="20"/>
          <w:szCs w:val="20"/>
          <w:color w:val="auto"/>
        </w:rPr>
      </w:pPr>
    </w:p>
    <w:p>
      <w:pPr>
        <w:jc w:val="both"/>
        <w:ind w:left="500" w:right="519" w:firstLine="343"/>
        <w:spacing w:after="0" w:line="260" w:lineRule="auto"/>
        <w:rPr>
          <w:sz w:val="20"/>
          <w:szCs w:val="20"/>
          <w:color w:val="auto"/>
        </w:rPr>
      </w:pPr>
      <w:r>
        <w:rPr>
          <w:rFonts w:ascii="Times New Roman" w:cs="Times New Roman" w:eastAsia="Times New Roman" w:hAnsi="Times New Roman"/>
          <w:sz w:val="17"/>
          <w:szCs w:val="17"/>
          <w:color w:val="auto"/>
        </w:rPr>
        <w:t>The forward-looking statements made in this prospectus and the documents incorporated herein by reference relate only to events as of the date on which such statements are made. We undertake no obligation to update any forward-looking statements after the date of this prospectus or to conform such statements to actual results or revised expectations, except as required by law. All forward-looking statements attributable to us are expressly qualified by these cautionary statements.</w:t>
      </w:r>
    </w:p>
    <w:p>
      <w:pPr>
        <w:spacing w:after="0" w:line="72" w:lineRule="exact"/>
        <w:rPr>
          <w:sz w:val="20"/>
          <w:szCs w:val="20"/>
          <w:color w:val="auto"/>
        </w:rPr>
      </w:pPr>
    </w:p>
    <w:p>
      <w:pPr>
        <w:jc w:val="both"/>
        <w:ind w:left="500" w:right="519" w:firstLine="343"/>
        <w:spacing w:after="0" w:line="263" w:lineRule="auto"/>
        <w:rPr>
          <w:sz w:val="20"/>
          <w:szCs w:val="20"/>
          <w:color w:val="auto"/>
        </w:rPr>
      </w:pPr>
      <w:r>
        <w:rPr>
          <w:rFonts w:ascii="Times New Roman" w:cs="Times New Roman" w:eastAsia="Times New Roman" w:hAnsi="Times New Roman"/>
          <w:sz w:val="17"/>
          <w:szCs w:val="17"/>
          <w:color w:val="auto"/>
        </w:rPr>
        <w:t>This prospectus and the documents incorporated herein by reference may contain market data and industry forecasts that were obtained from industry publications. Any such data and forecasts involve a number of assumptions and limitations, and you are cautioned not to give undue weight to such information. We have not independently verified any third-party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3"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or incorporated by reference in this prospectus and may not contain all the information that you need to consider in making your investment decision. You should read the entire prospectus, any applicable prospectus supplement and the information incorporated herein by reference before making an investment decision. You should pay special attention to the “Risk factors” contained in this prospectus, the applicable prospectus supplement and under similar headings in the other documents that are incorporated into this prospectus to determine whether an investment in the common stock is appropriate for you. References in the offering memorandum to “the Company,” “we,” “us,” “our” and “Vishay” refer to Vishay Intertechnology, Inc. and its consolidated subsidiaries, except where the context otherwise requires or as otherwise indicated. You should read the following summary together with the more detailed information and consolidated financial statements and the notes to those statements included in the documents filed by us with the SEC, which are incorporated herein by reference.</w:t>
      </w:r>
    </w:p>
    <w:p>
      <w:pPr>
        <w:spacing w:after="0" w:line="3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jc w:val="both"/>
        <w:ind w:left="500" w:right="519" w:firstLine="343"/>
        <w:spacing w:after="0" w:line="263" w:lineRule="auto"/>
        <w:rPr>
          <w:sz w:val="20"/>
          <w:szCs w:val="20"/>
          <w:color w:val="auto"/>
        </w:rPr>
      </w:pPr>
      <w:r>
        <w:rPr>
          <w:rFonts w:ascii="Times New Roman" w:cs="Times New Roman" w:eastAsia="Times New Roman" w:hAnsi="Times New Roman"/>
          <w:sz w:val="17"/>
          <w:szCs w:val="17"/>
          <w:color w:val="auto"/>
        </w:rPr>
        <w:t>Vishay manufactures one of the world’s largest portfolios of discrete semiconductors and passive electronic components that support innovative designs in the automotive, industrial, computing, consumer, telecommunications, military, aerospace, and healthcare markets. Serving customers worldwide, Vishay brands itself as The DNA of tech.®</w:t>
      </w:r>
    </w:p>
    <w:p>
      <w:pPr>
        <w:spacing w:after="0" w:line="68"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Semiconductors include MOSFETs, diodes, and optoelectronic components. Passive components include resistors, inductors, and capacitors. 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and voltage, filter out unwanted electrical signals, and perform other functions.</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7" w:lineRule="exact"/>
        <w:rPr>
          <w:sz w:val="20"/>
          <w:szCs w:val="20"/>
          <w:color w:val="auto"/>
        </w:rPr>
      </w:pPr>
    </w:p>
    <w:p>
      <w:pPr>
        <w:jc w:val="both"/>
        <w:ind w:left="500" w:right="519" w:firstLine="343"/>
        <w:spacing w:after="0" w:line="260" w:lineRule="auto"/>
        <w:rPr>
          <w:sz w:val="20"/>
          <w:szCs w:val="20"/>
          <w:color w:val="auto"/>
        </w:rPr>
      </w:pPr>
      <w:r>
        <w:rPr>
          <w:rFonts w:ascii="Times New Roman" w:cs="Times New Roman" w:eastAsia="Times New Roman" w:hAnsi="Times New Roman"/>
          <w:sz w:val="17"/>
          <w:szCs w:val="17"/>
          <w:color w:val="auto"/>
        </w:rPr>
        <w:t>Vishay is a Delaware corporation founded in 1962 by the late Dr. Felix Zandman. Our principal executive offices are located at 63 Lancaster Avenue, Malvern, Pennsylvania 19355, and our main telephone number is (610) 644-1300. We maintain a website at www.vishay.com where general information about us is available. The information contained on or accessible through our website is not incorporated herein by reference and does not constitute a part of this prospectus.</w:t>
      </w:r>
    </w:p>
    <w:p>
      <w:pPr>
        <w:spacing w:after="0" w:line="68" w:lineRule="exact"/>
        <w:rPr>
          <w:sz w:val="20"/>
          <w:szCs w:val="20"/>
          <w:color w:val="auto"/>
        </w:rPr>
      </w:pPr>
    </w:p>
    <w:p>
      <w:pPr>
        <w:jc w:val="both"/>
        <w:ind w:left="500" w:right="499" w:firstLine="343"/>
        <w:spacing w:after="0" w:line="290" w:lineRule="auto"/>
        <w:rPr>
          <w:sz w:val="20"/>
          <w:szCs w:val="20"/>
          <w:color w:val="auto"/>
        </w:rPr>
      </w:pPr>
      <w:r>
        <w:rPr>
          <w:rFonts w:ascii="Times New Roman" w:cs="Times New Roman" w:eastAsia="Times New Roman" w:hAnsi="Times New Roman"/>
          <w:sz w:val="17"/>
          <w:szCs w:val="17"/>
          <w:color w:val="auto"/>
        </w:rPr>
        <w:t>To find more information about us, please see the sections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making an investment decision, you should carefully consider the risks and uncertainties described under the heading “Risk Factors” in Item 1A of our Annual Report on Form 10-K for the fiscal year ended December 31, 2025, which is incorporated by reference into this prospectus, as well as the risk factors and other information described in any accompanying prospectus supplement and any other filings with the SEC or other documents we incorporate by reference herein or therein (including future filings we make with the SEC that are also incorporated by reference in this prospectus). Each of the risks described in these documents could materially and adversely affect our business, financial condition, results of operations, cash flows and prospects, and could result in a partial or complete loss of your investment. The risks and uncertainties we have described are not the only risks we face. Additional risks and uncertainties not presently known to us or that we currently deem immaterial may also affect our business and operations. See “</w:t>
      </w:r>
      <w:r>
        <w:rPr>
          <w:rFonts w:ascii="Times New Roman" w:cs="Times New Roman" w:eastAsia="Times New Roman" w:hAnsi="Times New Roman"/>
          <w:sz w:val="17"/>
          <w:szCs w:val="17"/>
          <w:i w:val="1"/>
          <w:iCs w:val="1"/>
          <w:color w:val="auto"/>
        </w:rPr>
        <w:t>Where You Can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8" w:name="page9"/>
    <w:bookmarkEnd w:id="8"/>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7"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Unless we otherwise specify in the applicable prospectus supplement, we currently intend to use the net proceeds from the sale of the securities offered by this prospectus for general corporate purposes, which may include working capital, capital expenditures, manufacturing expenditures, commercial expenditures, repayment and refinancing of debt, acquisitions of new technologies or businesses, investments and other corporate purposes. Additional information on the use of net proceeds from the sale of any securities by us under this prospectus shall be set forth in the prospectus supplement relating to the specific offering.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COMMON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7" w:lineRule="exact"/>
        <w:rPr>
          <w:sz w:val="20"/>
          <w:szCs w:val="20"/>
          <w:color w:val="auto"/>
        </w:rPr>
      </w:pPr>
    </w:p>
    <w:p>
      <w:pPr>
        <w:jc w:val="both"/>
        <w:ind w:left="500" w:right="519" w:firstLine="343"/>
        <w:spacing w:after="0" w:line="257" w:lineRule="auto"/>
        <w:rPr>
          <w:sz w:val="20"/>
          <w:szCs w:val="20"/>
          <w:color w:val="auto"/>
        </w:rPr>
      </w:pPr>
      <w:r>
        <w:rPr>
          <w:rFonts w:ascii="Times New Roman" w:cs="Times New Roman" w:eastAsia="Times New Roman" w:hAnsi="Times New Roman"/>
          <w:sz w:val="17"/>
          <w:szCs w:val="17"/>
          <w:color w:val="auto"/>
        </w:rPr>
        <w:t>The following description of our common stock is a summary and does not purport to be complete. It is subject to and qualified in its entirety by reference to our Corrected Amended and Restated Certificate of Incorporation (the “Certificate of Incorporation”) and our Amended and Restated Bylaws (the “Bylaws”), in each case, as may be amended from time to time, copies of which are incorporated by reference as exhibits to the registration statement of which this prospectus is a part. Please refer to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below for directions on obtaining these documents. We encourage you to read our Certificate of Incorporation, our Bylaws and the applicable provisions of the Delaware General Corporation Law (the “DGCL”) for additional information.</w:t>
      </w:r>
    </w:p>
    <w:p>
      <w:pPr>
        <w:spacing w:after="0" w:line="1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Authorized Shares</w:t>
      </w:r>
    </w:p>
    <w:p>
      <w:pPr>
        <w:spacing w:after="0" w:line="119"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As of June 26, 2026, pursuant to our Certificate of Incorporation, we are authorized to issue up to 341,000,000 shares of capital stock, consisting of 1,000,000 shares of preferred stock, par value $1.00 per share, 300,000,000 shares of common stock, par value $0.10 per share, and 40,000,000 shares of Class B common stock, par value $0.10 per share.</w:t>
      </w:r>
    </w:p>
    <w:p>
      <w:pPr>
        <w:spacing w:after="0" w:line="68"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As of June 26, 2026, we had 124,030,756 shares of common stock issued and outstanding, 12,097,148 shares of Class B common stock issued and outstanding, and no shares of preferred stock issued and outstanding.</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19"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held. Holders of Class B common stock are entitled to 10 votes for each share held. The common stock and the Class B common stock vote together as one class on all matters subject to stockholder approval, except as set forth in the following sentence. The approval of the holders of common stock and of Class B common stock, each voting separately as a class, is required to authorize issuances of additional shares of Class B common stock other than in connection with stock splits and stock dividends.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119"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After any required payment on shares of preferred stock, holders of common stock and Class B common stock are entitled to receive, and share ratably on a per share basis in, all dividends and other distributions declared by the board of directors of Vishay. In the event of a stock dividend or stock split, holders of common stock will receive shares of common stock and holders of Class B common stock will receive shares of Class B common stock. Neither the common stock nor the Class B common stock may be split, divided or combined unless the other is split, divided or combined equally.</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Liquidation Rights</w:t>
      </w:r>
    </w:p>
    <w:p>
      <w:pPr>
        <w:spacing w:after="0" w:line="119" w:lineRule="exact"/>
        <w:rPr>
          <w:sz w:val="20"/>
          <w:szCs w:val="20"/>
          <w:color w:val="auto"/>
        </w:rPr>
      </w:pPr>
    </w:p>
    <w:p>
      <w:pPr>
        <w:jc w:val="both"/>
        <w:ind w:left="500" w:right="519" w:firstLine="343"/>
        <w:spacing w:after="0" w:line="260" w:lineRule="auto"/>
        <w:rPr>
          <w:sz w:val="20"/>
          <w:szCs w:val="20"/>
          <w:color w:val="auto"/>
        </w:rPr>
      </w:pPr>
      <w:r>
        <w:rPr>
          <w:rFonts w:ascii="Times New Roman" w:cs="Times New Roman" w:eastAsia="Times New Roman" w:hAnsi="Times New Roman"/>
          <w:sz w:val="17"/>
          <w:szCs w:val="17"/>
          <w:color w:val="auto"/>
        </w:rPr>
        <w:t>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Except as otherwise required by the DGCL or as otherwise described herein and provided in our Certificate of Incorporation, each share of common stock and each share of Class B common stock shall have identical powers, preferences and rights, including rights in liquidation.</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Class B Common Stock Conversion Rights</w:t>
      </w:r>
    </w:p>
    <w:p>
      <w:pPr>
        <w:spacing w:after="0" w:line="119"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Holders of common stock have no conversion rights. Shares of Class B common stock are convertible into shares of our common stock on a one-for-one basis at any time at the option of the holder thereof. The Class B common stock is not transferable except to the holder’s spouse, certain of such holder’s relatives, certain trusts established for the benefit of the holder, the holder’s spouse or relatives, corporations and partnerships beneficially owned and controlled by such holder, such holder’s spouse or relatives, charitable organizations and such holder’s estate. Upon any transfer made in violation of those restrictions, shares of Class B common stock will be automatically converted into shares of our common stock on a one-for-one basis.</w:t>
      </w:r>
    </w:p>
    <w:p>
      <w:pPr>
        <w:spacing w:after="0" w:line="1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Preemptive Rights</w:t>
      </w:r>
    </w:p>
    <w:p>
      <w:pPr>
        <w:spacing w:after="0" w:line="119" w:lineRule="exact"/>
        <w:rPr>
          <w:sz w:val="20"/>
          <w:szCs w:val="20"/>
          <w:color w:val="auto"/>
        </w:rPr>
      </w:pPr>
    </w:p>
    <w:p>
      <w:pPr>
        <w:jc w:val="both"/>
        <w:ind w:left="500" w:right="499" w:firstLine="343"/>
        <w:spacing w:after="0" w:line="285" w:lineRule="auto"/>
        <w:rPr>
          <w:sz w:val="20"/>
          <w:szCs w:val="20"/>
          <w:color w:val="auto"/>
        </w:rPr>
      </w:pPr>
      <w:r>
        <w:rPr>
          <w:rFonts w:ascii="Times New Roman" w:cs="Times New Roman" w:eastAsia="Times New Roman" w:hAnsi="Times New Roman"/>
          <w:sz w:val="17"/>
          <w:szCs w:val="17"/>
          <w:color w:val="auto"/>
        </w:rPr>
        <w:t>Neither the holders of common stock nor the holders of Class B common stock have any preemptive rights to subscribe for additional shares of our capital stock.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Listing</w:t>
      </w:r>
    </w:p>
    <w:p>
      <w:pPr>
        <w:spacing w:after="0" w:line="119"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Our common stock is listed on the New York Stock Exchange under the trading symbol “VSH.” There is no public market for shares of our Class B common stock.</w:t>
      </w: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1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Computershare Limited is the transfer agent and registrar of our common stock and Class B common stock.</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Anti-takeover Provisions Contained in Our Certificate of Incorporation and Bylaws</w:t>
      </w:r>
    </w:p>
    <w:p>
      <w:pPr>
        <w:spacing w:after="0" w:line="117" w:lineRule="exact"/>
        <w:rPr>
          <w:sz w:val="20"/>
          <w:szCs w:val="20"/>
          <w:color w:val="auto"/>
        </w:rPr>
      </w:pPr>
    </w:p>
    <w:p>
      <w:pPr>
        <w:jc w:val="both"/>
        <w:ind w:left="500" w:right="499" w:firstLine="343"/>
        <w:spacing w:after="0" w:line="260" w:lineRule="auto"/>
        <w:rPr>
          <w:sz w:val="20"/>
          <w:szCs w:val="20"/>
          <w:color w:val="auto"/>
        </w:rPr>
      </w:pPr>
      <w:r>
        <w:rPr>
          <w:rFonts w:ascii="Times New Roman" w:cs="Times New Roman" w:eastAsia="Times New Roman" w:hAnsi="Times New Roman"/>
          <w:sz w:val="17"/>
          <w:szCs w:val="17"/>
          <w:color w:val="auto"/>
        </w:rPr>
        <w:t>Certain provisions of our Certificate of Incorporation and Bylaws may make it less likely that our management would be changed or someone would acquire control of our Company without the board of directors’ consent. These provisions may delay, defer, or prevent a change in control or takeover attempts that stockholders may consider to be in their best interests, including tender offers or attempts that might allow stockholders to receive premiums over the market price of our common stock.</w:t>
      </w:r>
    </w:p>
    <w:p>
      <w:pPr>
        <w:spacing w:after="0" w:line="2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Dual-Class Capital Structure</w:t>
      </w:r>
    </w:p>
    <w:p>
      <w:pPr>
        <w:spacing w:after="0" w:line="119"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authorizes two classes of common stock: common stock, each share of which is entitled to one vote, and Class B common stock, each share of which is entitled to ten votes. This dual-class structure concentrates voting power in the holders of Class B common stock, which may make it more difficult for third parties to acquire control of our company without the consent of those holders, even if they acquire a majority of the economic interest represented by our outstanding common stock. Transfers of Class B common stock are restricted to “Permitted Transferees” as defined in our Certificate of Incorporation, which include certain family members, trusts, and entities controlled by Class B holders. Any transfer to a non-Permitted Transferee results in automatic conversion of the transferred shares into common stock. In addition, if the number of outstanding shares of Class B common stock falls below 300,000 shares (as adjusted for stock splits and stock dividends), all outstanding shares of Class B common stock will automatically convert into shares of common stock.</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 of Directors</w:t>
      </w:r>
    </w:p>
    <w:p>
      <w:pPr>
        <w:spacing w:after="0" w:line="119"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Our Certificate of Incorporation provides that the Board of Directors is divided into three classes of directors, as nearly equal in number as possible, with each class serving a staggered three-year term. As a result, approximately one-third of the board of directors is elected at each annual meeting of stockholders. The staggered board makes it more difficult for a third party to gain control of our board of directors through a single proxy contest, since only one class of directors is up for election at any given annual meeting. As a consequence, directors may not be removed other than for cause.</w:t>
      </w:r>
    </w:p>
    <w:p>
      <w:pPr>
        <w:spacing w:after="0" w:line="2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Director Nomination and Election Procedures</w:t>
      </w:r>
    </w:p>
    <w:p>
      <w:pPr>
        <w:spacing w:after="0" w:line="119"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color w:val="auto"/>
        </w:rPr>
        <w:t>In order to nominate candidates for the Board of Directors, a stockholder must follow the advance notice procedures described in our Bylaws. In general, a stockholder must give written notice of such nomination to our Secretary at least 90 calendar days prior to the first anniversary of the preceding year’s annual meeting of stockholders, together with required information regarding the stockholder proponent and the nominee and the written consent of the nominee to serve as director. Directors are elected by a plurality of the voting power of the shares present and entitled to vote on the election of directors at a meeting at which a quorum is present, meaning that the candidates receiving the greatest number of votes are elected, regardless of whether or not they receive a majority of the votes cast. As a result, “vote no” campaigns to unseat incumbent directors may be ineffective in uncontested elections.</w:t>
      </w:r>
    </w:p>
    <w:p>
      <w:pPr>
        <w:spacing w:after="0" w:line="2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Stockholder Proposal Procedures</w:t>
      </w:r>
    </w:p>
    <w:p>
      <w:pPr>
        <w:spacing w:after="0" w:line="119"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Stockholders can propose that business other than nominations to the Board of Directors be considered at an annual meeting of stockholders only if a stockholder follows the advance notice procedures described in our Bylaws. In general, a stockholder must submit a written notice of the proposal together with required information regarding the stockholder and the stockholder’s interest in the proposal to the Board of Directors or our secretary at least 90 calendar days prior to the first anniversary of the preceding year’s annual meeting of stockholders. Stockholders seeking to have a proposal, other than director nominations, considered for inclusion in our annual proxy statement must comply with the requirements of Rule 14a-8 of the proxy rules under the federal securities laws.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Exclusive Forum</w:t>
      </w:r>
    </w:p>
    <w:p>
      <w:pPr>
        <w:spacing w:after="0" w:line="119"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Our Bylaws designate the Court of Chancery of the State of Delaware as the sole and exclusive forum for: (i) any derivative action or proceeding brought on behalf of the Company; (ii) any action asserting a claim of breach of fiduciary duty owed by any director, officer or other employee of the Company to the Company or its stockholders;</w:t>
      </w:r>
    </w:p>
    <w:p>
      <w:pPr>
        <w:spacing w:after="0" w:line="1" w:lineRule="exact"/>
        <w:rPr>
          <w:sz w:val="20"/>
          <w:szCs w:val="20"/>
          <w:color w:val="auto"/>
        </w:rPr>
      </w:pPr>
    </w:p>
    <w:p>
      <w:pPr>
        <w:jc w:val="both"/>
        <w:ind w:left="500" w:right="499" w:hanging="5"/>
        <w:spacing w:after="0" w:line="252" w:lineRule="auto"/>
        <w:tabs>
          <w:tab w:leader="none" w:pos="81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the Company or any director, officer or other employee of the Company arising pursuant to the DGCL, our Certificate of Incorporation or our Bylaws; or (iv) any action asserting a claim governed by the internal affairs doctrine, in each case unless the Company determines in writing that it is in the best interests of the Company to select an alternative forum. This exclusive forum provision does not apply to any claim</w:t>
      </w:r>
    </w:p>
    <w:p>
      <w:pPr>
        <w:spacing w:after="0" w:line="1" w:lineRule="exact"/>
        <w:rPr>
          <w:rFonts w:ascii="Times New Roman" w:cs="Times New Roman" w:eastAsia="Times New Roman" w:hAnsi="Times New Roman"/>
          <w:sz w:val="17"/>
          <w:szCs w:val="17"/>
          <w:color w:val="auto"/>
        </w:rPr>
      </w:pPr>
    </w:p>
    <w:p>
      <w:pPr>
        <w:jc w:val="both"/>
        <w:ind w:left="500" w:right="49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as to which the Court of Chancery determines that there is an indispensable party not subject to the jurisdiction of the Court of Chancery (and such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the Court of Chancery dismisses any such action for lack of jurisdiction, the action may be brought in another state court sitting in the State of Delaware or, if no state court located within the State of Delaware has jurisdiction, in the federal district court for the District of Delaware. Although our Bylaws contain this choice of forum provision, it is possible that a court could find the provision to be inapplicable or unenforceable, and our stockholders will not be deemed to have waived our compliance with the federal securities laws and the rules and regulations thereunder.</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Transactions</w:t>
      </w:r>
    </w:p>
    <w:p>
      <w:pPr>
        <w:spacing w:after="0" w:line="119"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Our Certificate of Incorporation provides that no contract or transaction between the Company and one or more of its directors or officers, or between the Company and any other entity in which one or more directors or officers have a financial interest, shall be void or voidable solely for that reason, or solely because the interested director’s or officer’s vote was counted, if: (a) the material facts of the relationship or interest are disclosed to and approved in good faith by a majority of the disinterested members of the board of directors or the relevant committee; (b) the material facts are disclosed to and approved in good faith by the stockholders entitled to vote thereon; or (c) the contract or transaction is fair to the Company at the time it is authorized, approved, or ratified. Interested directors may be counted in determining the presence of a quorum at a meeting authorizing such a contract or transaction.</w:t>
      </w:r>
    </w:p>
    <w:p>
      <w:pPr>
        <w:spacing w:after="0" w:line="73"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In addition to the provisions contained in our Certificate of Incorporation and Bylaws, we are subject to Section 203 of the DGCL. In general, Section 203 prohibits a publicly held Delaware corporation from engaging in a “business combination” with an “interested stockholder” for a period of three years following the date the person became an interested stockholder, unless:</w:t>
      </w:r>
    </w:p>
    <w:p>
      <w:pPr>
        <w:spacing w:after="0" w:line="68" w:lineRule="exact"/>
        <w:rPr>
          <w:sz w:val="20"/>
          <w:szCs w:val="20"/>
          <w:color w:val="auto"/>
        </w:rPr>
      </w:pPr>
    </w:p>
    <w:p>
      <w:pPr>
        <w:jc w:val="both"/>
        <w:ind w:left="1180" w:right="519" w:hanging="342"/>
        <w:spacing w:after="0" w:line="269"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date the person became an interested stockholder, our board of directors approved either the business combination or the transaction that resulted in the stockholder becoming an interested stockholder;</w:t>
      </w:r>
    </w:p>
    <w:p>
      <w:pPr>
        <w:spacing w:after="0" w:line="62" w:lineRule="exact"/>
        <w:rPr>
          <w:rFonts w:ascii="Times New Roman" w:cs="Times New Roman" w:eastAsia="Times New Roman" w:hAnsi="Times New Roman"/>
          <w:sz w:val="17"/>
          <w:szCs w:val="17"/>
          <w:color w:val="auto"/>
        </w:rPr>
      </w:pPr>
    </w:p>
    <w:p>
      <w:pPr>
        <w:jc w:val="both"/>
        <w:ind w:left="1180" w:right="519" w:hanging="342"/>
        <w:spacing w:after="0" w:line="257"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our voting stock outstanding at the time the transaction commenced, excluding for purposes of determining the number of shares of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6" w:lineRule="exact"/>
        <w:rPr>
          <w:rFonts w:ascii="Times New Roman" w:cs="Times New Roman" w:eastAsia="Times New Roman" w:hAnsi="Times New Roman"/>
          <w:sz w:val="17"/>
          <w:szCs w:val="17"/>
          <w:color w:val="auto"/>
        </w:rPr>
      </w:pPr>
    </w:p>
    <w:p>
      <w:pPr>
        <w:jc w:val="both"/>
        <w:ind w:left="1180" w:right="519" w:hanging="342"/>
        <w:spacing w:after="0" w:line="221"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the date the person became an interested stockholder, the business combination is approved by our board of directors and authorized at an annual or special meeting of our stockholders, and not by written consent, by the affirmative vote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7"/>
          <w:szCs w:val="17"/>
          <w:color w:val="auto"/>
        </w:rPr>
        <w:t>% of the outstanding voting stock that is not owned by the interested stockholder.</w:t>
      </w:r>
    </w:p>
    <w:p>
      <w:pPr>
        <w:spacing w:after="0" w:line="89"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For purposes of Section 203, a “business combination” includes, among other things, mergers, asset sales, and other transactions resulting in a financial benefit to the interested stockholder. An “interested stockholder” is generally a person who, together with affiliates and associates, owns, or within the three years prior to the determination of interested stockholder status did own, 15% or more of a corporation’s outstanding voting stock.</w:t>
      </w:r>
    </w:p>
    <w:p>
      <w:pPr>
        <w:spacing w:after="0" w:line="68"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A Delaware corporation may “opt out” of Section 203 with an express provision in its original certificate of incorporation or an amendment thereto duly adopted by stockholders. We have not opted out of Section 203. As a result, Section 203 may make it more difficult and expensive for a third party to acquire control of us, and could discourage attempts to acquire us, even if such an acquisition would be beneficial to our stockholders.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PREFERRED STOCK</w:t>
      </w:r>
    </w:p>
    <w:p>
      <w:pPr>
        <w:spacing w:after="0" w:line="117"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We are authorized, pursuant to our Certificate of Incorporation, to issue, from time to time, up to an aggregate of 1,000,000 shares of preferred stock in one or more series. As of June 26, 2026, there were no shares of our preferred stock outstanding.</w:t>
      </w:r>
    </w:p>
    <w:p>
      <w:pPr>
        <w:spacing w:after="0" w:line="62"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Our board of directors may, without further action by our stockholders, from time to time, direct the issuance of shares of preferred stock in one or more series. Our board of directors may fix or alter the designation, preferences, rights and any qualification, limitations, or restrictions of the shares of any series, including the dividend rights, dividend rates, conversion rights, voting rights, redemption terms and prices, liquidation preferences and the number of shares constituting any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the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75"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62" w:lineRule="exact"/>
        <w:rPr>
          <w:sz w:val="20"/>
          <w:szCs w:val="20"/>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stated value;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offered, the liquidation preference per share and the purchase price;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rate(s), period(s) and/or payment date(s), or method(s) of calculation for such dividends;</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will be cumulative or non-cumulative and, if cumulative, the date from which dividends will accumulate;</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for any auction and remarketing, if any;</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a sinking fund, if any;</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redemption, if applicable;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of the preferred stock on any securities exchange or market;</w:t>
      </w:r>
    </w:p>
    <w:p>
      <w:pPr>
        <w:spacing w:after="0" w:line="112"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convertible into our common stock or other securities of the Company, and, if applicable, the conversion price (or how it will be calculated), the conversion period and any other terms of conversion (including any anti-dilution provisions, if any);</w:t>
      </w:r>
    </w:p>
    <w:p>
      <w:pPr>
        <w:spacing w:after="0" w:line="62"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if any, of the preferred stock;</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U.S. federal income tax considerations applicable to the preferred stock;</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ranking and preferences of the preferred stock as to dividend rights and rights upon liquidation, dissolution or winding up of the affairs of the Company;</w:t>
      </w:r>
    </w:p>
    <w:p>
      <w:pPr>
        <w:spacing w:after="0" w:line="49"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limitations on issuance of any series of preferred stock ranking senior to or on a parity with the series of preferred stock as to dividend rights and rights upon liquidation, dissolution or winding up of the Company; and</w:t>
      </w:r>
    </w:p>
    <w:p>
      <w:pPr>
        <w:spacing w:after="0" w:line="6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affirmative, negative or other covenants or contractual rights which might be attendant with the specific series of preferred stock.</w:t>
      </w:r>
    </w:p>
    <w:p>
      <w:pPr>
        <w:spacing w:after="0" w:line="50" w:lineRule="exact"/>
        <w:rPr>
          <w:sz w:val="20"/>
          <w:szCs w:val="20"/>
          <w:color w:val="auto"/>
        </w:rPr>
      </w:pPr>
    </w:p>
    <w:p>
      <w:pPr>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The preferred stock offered by this prospectus, when issued, will not have, or be subject to, any preemptive or similar rights.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119" w:lineRule="exact"/>
        <w:rPr>
          <w:sz w:val="20"/>
          <w:szCs w:val="20"/>
          <w:color w:val="auto"/>
        </w:rPr>
      </w:pPr>
    </w:p>
    <w:p>
      <w:pPr>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The transfer agent and registrar for any series of preferred stock will be set forth in each applicable prospectus supplement.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DEBT SECURITIES</w:t>
      </w:r>
    </w:p>
    <w:p>
      <w:pPr>
        <w:spacing w:after="0" w:line="117"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77" w:lineRule="exact"/>
        <w:rPr>
          <w:sz w:val="20"/>
          <w:szCs w:val="20"/>
          <w:color w:val="auto"/>
        </w:rPr>
      </w:pPr>
    </w:p>
    <w:p>
      <w:pPr>
        <w:jc w:val="both"/>
        <w:ind w:left="500" w:right="499" w:firstLine="343"/>
        <w:spacing w:after="0" w:line="260" w:lineRule="auto"/>
        <w:rPr>
          <w:sz w:val="20"/>
          <w:szCs w:val="20"/>
          <w:color w:val="auto"/>
        </w:rPr>
      </w:pPr>
      <w:r>
        <w:rPr>
          <w:rFonts w:ascii="Times New Roman" w:cs="Times New Roman" w:eastAsia="Times New Roman" w:hAnsi="Times New Roman"/>
          <w:sz w:val="17"/>
          <w:szCs w:val="17"/>
          <w:color w:val="auto"/>
        </w:rPr>
        <w:t>We will issue any debt securities under an indenture to be entered into between us and the trustee identified in the applicable prospectus supplement. The terms of the debt securities will include those stated in the indenture any amendment or supplement thereto and those made part of the indenture by reference to the Trust Indenture Act of 1939 (the “Trust Indenture Act”), as in effect on the date of the indenture. We have filed or will file a copy of the form of indenture as an exhibit to the registration statement in which this prospectus is included.</w:t>
      </w:r>
    </w:p>
    <w:p>
      <w:pPr>
        <w:spacing w:after="0" w:line="72"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The following statements relating to the debt securities and the indenture are summaries, qualified in their entirety by reference to the detailed provisions of the indenture and the final form indenture which will be filed with a future prospectus supplement and any amendment or supplement thereto.</w:t>
      </w:r>
    </w:p>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7" w:lineRule="exact"/>
        <w:rPr>
          <w:sz w:val="20"/>
          <w:szCs w:val="20"/>
          <w:color w:val="auto"/>
        </w:rPr>
      </w:pPr>
    </w:p>
    <w:p>
      <w:pPr>
        <w:jc w:val="both"/>
        <w:ind w:left="500" w:right="499" w:firstLine="343"/>
        <w:spacing w:after="0" w:line="269" w:lineRule="auto"/>
        <w:rPr>
          <w:sz w:val="20"/>
          <w:szCs w:val="20"/>
          <w:color w:val="auto"/>
        </w:rPr>
      </w:pPr>
      <w:r>
        <w:rPr>
          <w:rFonts w:ascii="Times New Roman" w:cs="Times New Roman" w:eastAsia="Times New Roman" w:hAnsi="Times New Roman"/>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62"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the following terms of the debt securities in respect of which the prospectus supplement is delivered:</w:t>
      </w:r>
    </w:p>
    <w:p>
      <w:pPr>
        <w:spacing w:after="0" w:line="50" w:lineRule="exact"/>
        <w:rPr>
          <w:sz w:val="20"/>
          <w:szCs w:val="20"/>
          <w:color w:val="auto"/>
        </w:rPr>
      </w:pPr>
    </w:p>
    <w:p>
      <w:pPr>
        <w:ind w:left="1180" w:hanging="34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price or prices, expressed as a percentage of the aggregate principal amount of the debt securities;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on the aggregate principal amount;</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principal is payable;</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or rates (which may be fixed or variable) or, if applicable, the method used to determine such rate or rates;</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interest, if any, will be payable and any regular record date for the interest payable;</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principal and, if applicable, premium and interest, is payable;</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upon which we may, or the holders may require us to, redeem or repurchase the debt securities;</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such debt securities may be issuable, if other than denominations of $1,000 or any integral multiple of that number;</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are to be issuable in the form of certificated securities (as described below) or global securities (as described below);</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principal amount that will be payable upon declaration of acceleration of the maturity date if other than the principal amount of the debt securities;</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currency, currencies or currency units in which payment of principal and, if applicable, premium and interest, will be made;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1180" w:right="519" w:hanging="342"/>
        <w:spacing w:after="0" w:line="269"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2"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relating to any collateral provided for such debt securities;</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or change in the covenants and/or the acceleration provisions described in this prospectus or in the indenture;</w:t>
      </w:r>
    </w:p>
    <w:p>
      <w:pPr>
        <w:spacing w:after="0" w:line="45"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events of default, if not otherwise described below under “ </w:t>
      </w:r>
      <w:r>
        <w:rPr>
          <w:rFonts w:ascii="Times New Roman" w:cs="Times New Roman" w:eastAsia="Times New Roman" w:hAnsi="Times New Roman"/>
          <w:sz w:val="17"/>
          <w:szCs w:val="17"/>
          <w:i w:val="1"/>
          <w:iCs w:val="1"/>
          <w:color w:val="auto"/>
        </w:rPr>
        <w:t>- Defaults and Notice</w:t>
      </w:r>
      <w:r>
        <w:rPr>
          <w:rFonts w:ascii="Times New Roman" w:cs="Times New Roman" w:eastAsia="Times New Roman" w:hAnsi="Times New Roman"/>
          <w:sz w:val="17"/>
          <w:szCs w:val="17"/>
          <w:color w:val="auto"/>
        </w:rPr>
        <w:t>”;</w:t>
      </w:r>
    </w:p>
    <w:p>
      <w:pPr>
        <w:spacing w:after="0" w:line="116"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for conversion into or exchange for shares of our common stock or preferred stock;</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depositaries, interest rate calculation agents, exchange rate calculation agents or other agents;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guarantees of the debt securities;</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the debt securities shall be subordinated in right of payment to other indebtedness of the Company; and</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pursuant to which the debt securities, in whole or in part, shall be defeasible.</w:t>
      </w:r>
    </w:p>
    <w:p>
      <w:pPr>
        <w:spacing w:after="0" w:line="50"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All debt securities of one series need not be issued at the same time and, unless otherwise provided, a series may be reopened, without the consent of any holder, for issuances of additional debt securities of that series with the same terms as the original debt securities of that series (other than the issue price and the interest accrued prior to the issue date of the additional debt securities). 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Exchange and/or Conversion Rights</w:t>
      </w:r>
    </w:p>
    <w:p>
      <w:pPr>
        <w:spacing w:after="0" w:line="117"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Transfer and Exchange</w:t>
      </w:r>
    </w:p>
    <w:p>
      <w:pPr>
        <w:spacing w:after="0" w:line="1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We may issue debt securities that will be represented by either:</w:t>
      </w:r>
    </w:p>
    <w:p>
      <w:pPr>
        <w:spacing w:after="0" w:line="113" w:lineRule="exact"/>
        <w:rPr>
          <w:sz w:val="20"/>
          <w:szCs w:val="20"/>
          <w:color w:val="auto"/>
        </w:rPr>
      </w:pPr>
    </w:p>
    <w:p>
      <w:pPr>
        <w:ind w:left="1180" w:right="519" w:hanging="342"/>
        <w:spacing w:after="0" w:line="285"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“book-entry securities,” which means that there will be one or more global securities registered in the name of a depositary or a nominee of a depositary; or</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“certificated securities,” which means that they will be represented by a certificate issued in definitive registered form.</w:t>
      </w:r>
    </w:p>
    <w:p>
      <w:pPr>
        <w:spacing w:after="0" w:line="50"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We will specify in the prospectus supplement applicable to a particular offering whether the debt securities offered will be book-entry or certificated securities.</w:t>
      </w:r>
    </w:p>
    <w:p>
      <w:pPr>
        <w:spacing w:after="0" w:line="50" w:lineRule="exact"/>
        <w:rPr>
          <w:sz w:val="20"/>
          <w:szCs w:val="20"/>
          <w:color w:val="auto"/>
        </w:rPr>
      </w:pPr>
    </w:p>
    <w:p>
      <w:pPr>
        <w:jc w:val="both"/>
        <w:ind w:left="500" w:right="519" w:firstLine="343"/>
        <w:spacing w:after="0" w:line="263" w:lineRule="auto"/>
        <w:rPr>
          <w:sz w:val="20"/>
          <w:szCs w:val="20"/>
          <w:color w:val="auto"/>
        </w:rPr>
      </w:pPr>
      <w:r>
        <w:rPr>
          <w:rFonts w:ascii="Times New Roman" w:cs="Times New Roman" w:eastAsia="Times New Roman" w:hAnsi="Times New Roman"/>
          <w:sz w:val="17"/>
          <w:szCs w:val="17"/>
          <w:color w:val="auto"/>
        </w:rPr>
        <w:t>If you hold debt securities issued under an indenture, you may transfer or exchange such debt securities in accordance with the terms of the indenture. You will not be charged a service charge for any transfer or exchange of debt securities but may be required to pay an amount sufficient to cover any transfer tax or other governmental charge payable in connection with such transfer or exchange.</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17"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The debt securities of a series may be issued in the form of one or more global securities that will be deposited with a depositary or its nominees identified in the prospectus supplement relating to the debt securities. In such a case, one 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499"/>
        <w:spacing w:after="0" w:line="269" w:lineRule="auto"/>
        <w:rPr>
          <w:sz w:val="20"/>
          <w:szCs w:val="20"/>
          <w:color w:val="auto"/>
        </w:rPr>
      </w:pPr>
      <w:r>
        <w:rPr>
          <w:rFonts w:ascii="Times New Roman" w:cs="Times New Roman" w:eastAsia="Times New Roman" w:hAnsi="Times New Roman"/>
          <w:sz w:val="17"/>
          <w:szCs w:val="17"/>
          <w:color w:val="auto"/>
        </w:rPr>
        <w:t>more global securities will be issued in a denomination or aggregate denominations equal to the portion of the aggregate principal amount of outstanding debt securities of the series to be represented by such global security or securities.</w:t>
      </w:r>
    </w:p>
    <w:p>
      <w:pPr>
        <w:spacing w:after="0" w:line="62" w:lineRule="exact"/>
        <w:rPr>
          <w:sz w:val="20"/>
          <w:szCs w:val="20"/>
          <w:color w:val="auto"/>
        </w:rPr>
      </w:pPr>
    </w:p>
    <w:p>
      <w:pPr>
        <w:jc w:val="both"/>
        <w:ind w:left="500" w:right="519" w:firstLine="343"/>
        <w:spacing w:after="0" w:line="260" w:lineRule="auto"/>
        <w:rPr>
          <w:sz w:val="20"/>
          <w:szCs w:val="20"/>
          <w:color w:val="auto"/>
        </w:rPr>
      </w:pPr>
      <w:r>
        <w:rPr>
          <w:rFonts w:ascii="Times New Roman" w:cs="Times New Roman" w:eastAsia="Times New Roman" w:hAnsi="Times New Roman"/>
          <w:sz w:val="17"/>
          <w:szCs w:val="17"/>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Protection in the Event of Change of Control</w:t>
      </w:r>
    </w:p>
    <w:p>
      <w:pPr>
        <w:spacing w:after="0" w:line="117" w:lineRule="exact"/>
        <w:rPr>
          <w:sz w:val="20"/>
          <w:szCs w:val="20"/>
          <w:color w:val="auto"/>
        </w:rPr>
      </w:pPr>
    </w:p>
    <w:p>
      <w:pPr>
        <w:jc w:val="both"/>
        <w:ind w:left="500" w:right="519" w:firstLine="343"/>
        <w:spacing w:after="0" w:line="263" w:lineRule="auto"/>
        <w:rPr>
          <w:sz w:val="20"/>
          <w:szCs w:val="20"/>
          <w:color w:val="auto"/>
        </w:rPr>
      </w:pPr>
      <w:r>
        <w:rPr>
          <w:rFonts w:ascii="Times New Roman" w:cs="Times New Roman" w:eastAsia="Times New Roman" w:hAnsi="Times New Roman"/>
          <w:sz w:val="17"/>
          <w:szCs w:val="17"/>
          <w:color w:val="auto"/>
        </w:rPr>
        <w:t>Any provision in an indenture that governs our debt securities covered by this prospectus that includes any covenant or other provision providing for a put or increased interest or that would otherwise afford holders of our debt securities additional protection in the event of a recapitalization transaction, a change of control of the Company, or a highly leveraged transaction will be described in the applicable prospectus supplement.</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7"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2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Consolidation, Merger and Sale of Assets</w:t>
      </w:r>
    </w:p>
    <w:p>
      <w:pPr>
        <w:spacing w:after="0" w:line="117" w:lineRule="exact"/>
        <w:rPr>
          <w:sz w:val="20"/>
          <w:szCs w:val="20"/>
          <w:color w:val="auto"/>
        </w:rPr>
      </w:pPr>
    </w:p>
    <w:p>
      <w:pPr>
        <w:jc w:val="both"/>
        <w:ind w:left="500" w:right="499" w:firstLine="343"/>
        <w:spacing w:after="0" w:line="269" w:lineRule="auto"/>
        <w:rPr>
          <w:sz w:val="20"/>
          <w:szCs w:val="20"/>
          <w:color w:val="auto"/>
        </w:rPr>
      </w:pPr>
      <w:r>
        <w:rPr>
          <w:rFonts w:ascii="Times New Roman" w:cs="Times New Roman" w:eastAsia="Times New Roman" w:hAnsi="Times New Roman"/>
          <w:sz w:val="17"/>
          <w:szCs w:val="17"/>
          <w:color w:val="auto"/>
        </w:rPr>
        <w:t>We may agree in any indenture that governs the debt securities of any series covered by this prospectus that we will not consolidate with or merge with or into any other person or convey, transfer, sell or lease our properties and assets substantially as an entirety to any person while such debt securities are outstanding, unless:</w:t>
      </w:r>
    </w:p>
    <w:p>
      <w:pPr>
        <w:spacing w:after="0" w:line="62" w:lineRule="exact"/>
        <w:rPr>
          <w:sz w:val="20"/>
          <w:szCs w:val="20"/>
          <w:color w:val="auto"/>
        </w:rPr>
      </w:pPr>
    </w:p>
    <w:p>
      <w:pPr>
        <w:jc w:val="both"/>
        <w:ind w:left="1180" w:right="519" w:hanging="342"/>
        <w:spacing w:after="0" w:line="260"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the surviving entity of any such transaction or the successor entity (if other than the Company) formed by such transaction is a corporation, partnership, trust or other entity organized and validly existing under the laws of the United States of America, or any state thereof or the District of Columbia, and expressly assumes by a supplemental indenture or otherwise all of our obligations related to such debt securities under the indenture; and</w:t>
      </w:r>
    </w:p>
    <w:p>
      <w:pPr>
        <w:spacing w:after="0" w:line="71"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merger or consolidation, no default or event of default shall have occurred and be continuing.</w:t>
      </w:r>
    </w:p>
    <w:p>
      <w:pPr>
        <w:spacing w:after="0" w:line="50" w:lineRule="exact"/>
        <w:rPr>
          <w:sz w:val="20"/>
          <w:szCs w:val="20"/>
          <w:color w:val="auto"/>
        </w:rPr>
      </w:pPr>
    </w:p>
    <w:p>
      <w:pPr>
        <w:jc w:val="both"/>
        <w:ind w:left="500" w:right="499" w:firstLine="343"/>
        <w:spacing w:after="0" w:line="269" w:lineRule="auto"/>
        <w:rPr>
          <w:sz w:val="20"/>
          <w:szCs w:val="20"/>
          <w:color w:val="auto"/>
        </w:rPr>
      </w:pPr>
      <w:r>
        <w:rPr>
          <w:rFonts w:ascii="Times New Roman" w:cs="Times New Roman" w:eastAsia="Times New Roman" w:hAnsi="Times New Roman"/>
          <w:sz w:val="17"/>
          <w:szCs w:val="17"/>
          <w:color w:val="auto"/>
        </w:rPr>
        <w:t>Notwithstanding the foregoing, the indenture may permit any of our subsidiaries to consolidate with, merge into or transfer all or part of its properties to us. Neither an officer’s certificate nor an opinion of counsel will be required to be delivered in connection with any such transaction.</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Defaults and Notice</w:t>
      </w:r>
    </w:p>
    <w:p>
      <w:pPr>
        <w:spacing w:after="0" w:line="117"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The debt securities of any series will contain events of default to be specified in the applicable prospectus supplement, which may include, without limitation:</w:t>
      </w:r>
    </w:p>
    <w:p>
      <w:pPr>
        <w:spacing w:after="0" w:line="50" w:lineRule="exact"/>
        <w:rPr>
          <w:sz w:val="20"/>
          <w:szCs w:val="20"/>
          <w:color w:val="auto"/>
        </w:rPr>
      </w:pPr>
    </w:p>
    <w:p>
      <w:pPr>
        <w:ind w:left="1180" w:right="519" w:hanging="342"/>
        <w:spacing w:after="0" w:line="285" w:lineRule="auto"/>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the principal of, or premium, if any, on any debt security of such series when due and payable (whether at maturity, upon redemption, acceleration or otherwise);</w:t>
      </w:r>
    </w:p>
    <w:p>
      <w:pPr>
        <w:spacing w:after="0" w:line="49"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make a payment of any interest on any debt security of such series when due and payable and such failure continues for a period of 30 days (unless the entire amount of such payment is deposited with the trustee or with a paying agent prior to the expiration of the 30-day period);</w:t>
      </w:r>
    </w:p>
    <w:p>
      <w:pPr>
        <w:spacing w:after="0" w:line="62" w:lineRule="exact"/>
        <w:rPr>
          <w:rFonts w:ascii="Times New Roman" w:cs="Times New Roman" w:eastAsia="Times New Roman" w:hAnsi="Times New Roman"/>
          <w:sz w:val="17"/>
          <w:szCs w:val="17"/>
          <w:color w:val="auto"/>
        </w:rPr>
      </w:pPr>
    </w:p>
    <w:p>
      <w:pPr>
        <w:jc w:val="both"/>
        <w:ind w:left="1180" w:right="519" w:hanging="342"/>
        <w:spacing w:after="0" w:line="259" w:lineRule="auto"/>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perform or observe any other covenant or warranty in the indenture with respect to the debt securities of such series (other than defaults pursuant to a covenant or warranty that has been included in the indenture solely for the benefit of a different series of the debt securities), which failure continues uncured for a period of 60 days after we receive written notice of such failure from the trustee, or from the holders of at least 25% in aggregate principal amount of the then-outstanding debt securities of such series, specifying the default and requiring it to be remedied;</w:t>
      </w:r>
    </w:p>
    <w:p>
      <w:pPr>
        <w:spacing w:after="0" w:line="70"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relating to our or any guarantor’s bankruptcy, insolvency or reorganization;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7" w:name="page18"/>
    <w:bookmarkEnd w:id="17"/>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1180" w:right="519" w:hanging="342"/>
        <w:spacing w:after="0" w:line="269" w:lineRule="auto"/>
        <w:tabs>
          <w:tab w:leader="none" w:pos="11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the debt securities of such series, which is specified in a board resolution, a supplemental indenture thereto or an officer’s certificate delivered in connection therewith.</w:t>
      </w:r>
    </w:p>
    <w:p>
      <w:pPr>
        <w:spacing w:after="0" w:line="62"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(other than an event of default resulting from certain events relating to our or any guarantor’s bankruptcy, insolvency or reorganization) shall occur and be continuing, the trustee or the holders of at least 25% in aggregate principal amount of the then-outstanding debt securities of such series may declare the principal amount of all debt securities of such series (or such lesser amount as may be provided for in the case of discount securities), together with accrued and unpaid interest, if any, thereon, to be due and payable immediately by written notice to us. If an event of default resulting from certain events of our or any guarantor’s bankruptcy, insolvency or reorganization occurs, the principal amount of, and accrued and unpaid interest, if any, on, all outstanding debt securities will become due and payable immediately without any declaration or other act on the part of the trustee or any holder. Any provisions pertaining to events of default and any remedies associated therewith will be described in the applicable prospectus supplement.</w:t>
      </w:r>
    </w:p>
    <w:p>
      <w:pPr>
        <w:spacing w:after="0" w:line="73"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may require that the trustee under such indenture shall, within 90 days after a default occurs with respect to debt securities of any series or, if later, after a responsible officer of the trustee has knowledge of such default, give to holders of debt securities of such series notice of such default known to it. However, except in the case of a default that results from the failure to make any payment of the principal of, or interest or premium, if any, on the debt securities of any series,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73"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will contain a provision entitling the trustee to be indemnified by holders of debt securities before instituting a proceeding or pursuing a remedy under the indenture at the request of such holders. Any such indenture may provide that the holders of at least a majority in aggregate principal amount of the then-outstanding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that the actions or proceedings as directed may not lawfully be taken, would involve the trustee in personal liability or would be unduly prejudicial to the holders of the debt securities of such series not joining in such direction.</w:t>
      </w:r>
    </w:p>
    <w:p>
      <w:pPr>
        <w:spacing w:after="0" w:line="76" w:lineRule="exact"/>
        <w:rPr>
          <w:sz w:val="20"/>
          <w:szCs w:val="20"/>
          <w:color w:val="auto"/>
        </w:rPr>
      </w:pPr>
    </w:p>
    <w:p>
      <w:pPr>
        <w:jc w:val="both"/>
        <w:ind w:left="500" w:right="519" w:firstLine="343"/>
        <w:spacing w:after="0" w:line="256"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may permit the holders of such debt securities to institute a proceeding with respect to such indenture, subject to certain conditions, which will be specified in the applicable prospectus supplement and which may include that the holders of at least 25% in aggregate principal amount of the debt securities of such series then-outstanding make a prior written request upon the trustee to exercise its power under the indenture, and offer reasonable indemnity to the trustee.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Modification of the Indenture</w:t>
      </w:r>
    </w:p>
    <w:p>
      <w:pPr>
        <w:spacing w:after="0" w:line="117" w:lineRule="exact"/>
        <w:rPr>
          <w:sz w:val="20"/>
          <w:szCs w:val="20"/>
          <w:color w:val="auto"/>
        </w:rPr>
      </w:pPr>
    </w:p>
    <w:p>
      <w:pPr>
        <w:jc w:val="both"/>
        <w:ind w:left="500" w:right="499" w:firstLine="343"/>
        <w:spacing w:after="0" w:line="269" w:lineRule="auto"/>
        <w:rPr>
          <w:sz w:val="20"/>
          <w:szCs w:val="20"/>
          <w:color w:val="auto"/>
        </w:rPr>
      </w:pPr>
      <w:r>
        <w:rPr>
          <w:rFonts w:ascii="Times New Roman" w:cs="Times New Roman" w:eastAsia="Times New Roman" w:hAnsi="Times New Roman"/>
          <w:sz w:val="17"/>
          <w:szCs w:val="17"/>
          <w:color w:val="auto"/>
        </w:rPr>
        <w:t>We, any guarantors and the trustee may amend or supplement any indenture that governs our debt securities, or the debt securities of one or more series, without the consent of any holder of any such debt security for certain limited purposes, including, without limitation:</w:t>
      </w:r>
    </w:p>
    <w:p>
      <w:pPr>
        <w:spacing w:after="0" w:line="62" w:lineRule="exact"/>
        <w:rPr>
          <w:sz w:val="20"/>
          <w:szCs w:val="20"/>
          <w:color w:val="auto"/>
        </w:rPr>
      </w:pPr>
    </w:p>
    <w:p>
      <w:pPr>
        <w:ind w:left="1180" w:hanging="342"/>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assumption of our obligations by a successor in the event of merger, consolidation or other transfer of properties or assets;</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our rights or powers under the indenture;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holders of our debt securities;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guarantors or to secure the debt securities;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1180" w:right="519" w:hanging="342"/>
        <w:spacing w:after="0" w:line="285" w:lineRule="auto"/>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of a new series of debt securities as permitted by the indenture; or</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w:t>
      </w:r>
    </w:p>
    <w:p>
      <w:pPr>
        <w:spacing w:after="0" w:line="113" w:lineRule="exact"/>
        <w:rPr>
          <w:sz w:val="20"/>
          <w:szCs w:val="20"/>
          <w:color w:val="auto"/>
        </w:rPr>
      </w:pPr>
    </w:p>
    <w:p>
      <w:pPr>
        <w:jc w:val="both"/>
        <w:ind w:left="500" w:right="499" w:firstLine="343"/>
        <w:spacing w:after="0" w:line="260" w:lineRule="auto"/>
        <w:rPr>
          <w:sz w:val="20"/>
          <w:szCs w:val="20"/>
          <w:color w:val="auto"/>
        </w:rPr>
      </w:pPr>
      <w:r>
        <w:rPr>
          <w:rFonts w:ascii="Times New Roman" w:cs="Times New Roman" w:eastAsia="Times New Roman" w:hAnsi="Times New Roman"/>
          <w:sz w:val="17"/>
          <w:szCs w:val="17"/>
          <w:color w:val="auto"/>
        </w:rPr>
        <w:t>We, any guarantors and the trustee may also amend or supplement any such indenture, and holders may waive compliance with any provision of the indenture or the debt securities, with the written consent of the holders of at least a majority in aggregate principal amount of the then-outstanding debt securities of each series affected by such amendment, supplement or waiver. However, without the consent of each holder affected, no amendment, supplement or waiver may;</w:t>
      </w:r>
    </w:p>
    <w:p>
      <w:pPr>
        <w:spacing w:after="0" w:line="72" w:lineRule="exact"/>
        <w:rPr>
          <w:sz w:val="20"/>
          <w:szCs w:val="20"/>
          <w:color w:val="auto"/>
        </w:rPr>
      </w:pPr>
    </w:p>
    <w:p>
      <w:pPr>
        <w:ind w:left="1180" w:right="519" w:hanging="342"/>
        <w:spacing w:after="0" w:line="28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debt securities whose holders must consent to an amendment, supplement or waiver;</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on any debt security, including default interest;</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change the stated maturity of any debt security, or reduce the amount of, or postpone the date fixed for, any sinking fund payment or analogous obligation;</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the maturity thereof;</w:t>
      </w:r>
    </w:p>
    <w:p>
      <w:pPr>
        <w:spacing w:after="0" w:line="112"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event of default in the payment of principal of or interest on any debt security (except a rescission of acceleration by the holders of at least of majority in principal of the then-outstanding debt securities of such series and a waiver of the related payment default);</w:t>
      </w:r>
    </w:p>
    <w:p>
      <w:pPr>
        <w:spacing w:after="0" w:line="6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interest on (if any), any debt security payable in any currency other than that stated in such debt security;</w:t>
      </w:r>
    </w:p>
    <w:p>
      <w:pPr>
        <w:spacing w:after="0" w:line="49"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any holder’s unconditional right to receive payment of the principal of, or interest on (if any), any debt security on its stated maturity and to institute suit for the enforcement of any such payment;</w:t>
      </w:r>
    </w:p>
    <w:p>
      <w:pPr>
        <w:spacing w:after="0" w:line="62"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the right of the holders of at least a majority in aggregate principal amount of the then- outstanding debt securities of each series to waive a past default and its consequences as provided in the indenture;</w:t>
      </w:r>
    </w:p>
    <w:p>
      <w:pPr>
        <w:spacing w:after="0" w:line="6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the limitations on amendments as provided in the indenture;</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debt security (provided, that such redemption is made at our option); or</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debt securities of a series are entitled to the benefit of a guarantee, release any guarantor other than as provided in the indenture or modify the guarantee in any manner adverse to the holders.</w:t>
      </w: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Defeasance; Satisfaction and Discharge</w:t>
      </w:r>
    </w:p>
    <w:p>
      <w:pPr>
        <w:spacing w:after="0" w:line="117"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The prospectus supplement relating to the applicable debt securities will outline the conditions under which we may elect to have certain of our obligations under the indenture discharged and under which the indenture obligations will be deemed to be satisfied.</w:t>
      </w:r>
    </w:p>
    <w:p>
      <w:pPr>
        <w:spacing w:after="0" w:line="62"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may provide that we may discharge our obligations under such debt securities and the indenture with respect to such debt securities if:</w:t>
      </w:r>
    </w:p>
    <w:p>
      <w:pPr>
        <w:spacing w:after="0" w:line="50" w:lineRule="exact"/>
        <w:rPr>
          <w:sz w:val="20"/>
          <w:szCs w:val="20"/>
          <w:color w:val="auto"/>
        </w:rPr>
      </w:pPr>
    </w:p>
    <w:p>
      <w:pPr>
        <w:jc w:val="both"/>
        <w:ind w:left="1180" w:right="519" w:hanging="342"/>
        <w:spacing w:after="0" w:line="257"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 there shall have been canceled by the trustee under the indenture, or delivered to the trustee for cancellation, all debt securities of such series theretofore authenticated and delivered (other than debt securities that have been destroyed, lost or stolen and that have been replaced or paid); or (B) all such debt securities not theretofore delivered to the trustee for cancellation (i) have become due and payable (ii) will become due and payable within one year, (iii) have been called for redemption, (iv) are to be called for redemption within one year under arrangements satisfactory to the trustee, for the giving of notice of redemption by the trustee, or (v) have been deemed paid and discharged pursuant to the indenture;</w:t>
      </w:r>
    </w:p>
    <w:p>
      <w:pPr>
        <w:spacing w:after="0" w:line="76"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irrevocably deposited or caused to be deposited with the trustee funds in an amount sufficient to pay and discharge the entire indebtedness on the debt securities not theretofore delivered to the trustee for cancellation, for principal, premium, if any, and interest to the maturity or date of redemption;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1180" w:right="519" w:hanging="342"/>
        <w:spacing w:after="0" w:line="285" w:lineRule="auto"/>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all other sums payable by us under the indenture or deposited all other required sums with the trustee; and</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an officer’s certificate and an opinion of counsel, each stating that all conditions precedent relating to the satisfaction and discharge of this indenture have been complied with.</w:t>
      </w:r>
    </w:p>
    <w:p>
      <w:pPr>
        <w:spacing w:after="0" w:line="50" w:lineRule="exact"/>
        <w:rPr>
          <w:sz w:val="20"/>
          <w:szCs w:val="20"/>
          <w:color w:val="auto"/>
        </w:rPr>
      </w:pPr>
    </w:p>
    <w:p>
      <w:pPr>
        <w:jc w:val="both"/>
        <w:ind w:left="500" w:right="499" w:firstLine="343"/>
        <w:spacing w:after="0" w:line="260" w:lineRule="auto"/>
        <w:rPr>
          <w:sz w:val="20"/>
          <w:szCs w:val="20"/>
          <w:color w:val="auto"/>
        </w:rPr>
      </w:pPr>
      <w:r>
        <w:rPr>
          <w:rFonts w:ascii="Times New Roman" w:cs="Times New Roman" w:eastAsia="Times New Roman" w:hAnsi="Times New Roman"/>
          <w:sz w:val="17"/>
          <w:szCs w:val="17"/>
          <w:color w:val="auto"/>
        </w:rPr>
        <w:t>Any indenture that governs our debt securities covered by this prospectus may provide that we may be discharged from our obligations with respect to any debt securities, subject to certain exceptions. Further, any indenture that governs our debt securities covered by this prospectus may provide that we may be released from our obligations under certain sections of such indenture, subject to certain exceptions. In either case, such indenture may provide that certain conditions must be satisfied prior to such discharge or release, including, but not limited to:</w:t>
      </w:r>
    </w:p>
    <w:p>
      <w:pPr>
        <w:spacing w:after="0" w:line="72" w:lineRule="exact"/>
        <w:rPr>
          <w:sz w:val="20"/>
          <w:szCs w:val="20"/>
          <w:color w:val="auto"/>
        </w:rPr>
      </w:pPr>
    </w:p>
    <w:p>
      <w:pPr>
        <w:jc w:val="both"/>
        <w:ind w:left="1180" w:right="519" w:hanging="342"/>
        <w:spacing w:after="0" w:line="259" w:lineRule="auto"/>
        <w:tabs>
          <w:tab w:leader="none" w:pos="1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shall have irrevocably deposited with the trustee, in trust, for the purpose of making the following payments, specifically pledged as security for, and dedicated solely to, the benefit of the holders of the debt securities, (a) money, (b) U.S. or foreign government obligations which through the scheduled payment of principal and interest in respect thereof in accordance with their terms will provide, not later than the due date of any payment, money, or (c) a combination thereof, in an amount sufficient to pay the entire indebtedness on such debt securities in respect of principal, accrued interest and premium, if any;</w:t>
      </w:r>
    </w:p>
    <w:p>
      <w:pPr>
        <w:spacing w:after="0" w:line="70"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no continuing default or event of default with respect to such debt securities at the time of the deposit or after giving effect thereto;</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actions shall not result in a breach or violation of, or constitute a default under, any other agreement or instrument to which we are bound; and</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shall have delivered an officer’s certificate and an opinion of counsel relating to certain tax matters and that all conditions precedent relating to the defeasance have been complied with.</w:t>
      </w: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Regarding the Trustee</w:t>
      </w:r>
    </w:p>
    <w:p>
      <w:pPr>
        <w:spacing w:after="0" w:line="117"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the Company, the indenture and the Trust Indenture Act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it must eliminate such conflict or resign.</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7" w:lineRule="exact"/>
        <w:rPr>
          <w:sz w:val="20"/>
          <w:szCs w:val="20"/>
          <w:color w:val="auto"/>
        </w:rPr>
      </w:pPr>
    </w:p>
    <w:p>
      <w:pPr>
        <w:jc w:val="both"/>
        <w:ind w:left="500" w:right="499" w:firstLine="343"/>
        <w:spacing w:after="0" w:line="285" w:lineRule="auto"/>
        <w:rPr>
          <w:sz w:val="20"/>
          <w:szCs w:val="20"/>
          <w:color w:val="auto"/>
        </w:rPr>
      </w:pPr>
      <w:r>
        <w:rPr>
          <w:rFonts w:ascii="Times New Roman" w:cs="Times New Roman" w:eastAsia="Times New Roman" w:hAnsi="Times New Roman"/>
          <w:sz w:val="17"/>
          <w:szCs w:val="17"/>
          <w:color w:val="auto"/>
        </w:rPr>
        <w:t>The law governing the indenture and the debt securities will be governed by, and construed in accordance with, the internal laws of the State of New York.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OUR WARRANTS</w:t>
      </w:r>
    </w:p>
    <w:p>
      <w:pPr>
        <w:spacing w:after="0" w:line="3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7" w:lineRule="exact"/>
        <w:rPr>
          <w:sz w:val="20"/>
          <w:szCs w:val="20"/>
          <w:color w:val="auto"/>
        </w:rPr>
      </w:pPr>
    </w:p>
    <w:p>
      <w:pPr>
        <w:jc w:val="both"/>
        <w:ind w:left="500" w:right="519" w:firstLine="343"/>
        <w:spacing w:after="0" w:line="260" w:lineRule="auto"/>
        <w:rPr>
          <w:sz w:val="20"/>
          <w:szCs w:val="20"/>
          <w:color w:val="auto"/>
        </w:rPr>
      </w:pPr>
      <w:r>
        <w:rPr>
          <w:rFonts w:ascii="Times New Roman" w:cs="Times New Roman" w:eastAsia="Times New Roman" w:hAnsi="Times New Roman"/>
          <w:sz w:val="17"/>
          <w:szCs w:val="17"/>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72"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The applicable prospectus supplement will contain, where applicable, the following terms of and other information relating to the warrants:</w:t>
      </w:r>
    </w:p>
    <w:p>
      <w:pPr>
        <w:spacing w:after="0" w:line="50" w:lineRule="exact"/>
        <w:rPr>
          <w:sz w:val="20"/>
          <w:szCs w:val="20"/>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designation and aggregate number of, and the price at which we will issue, the warrants;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currency units in which the offering price, if any, and the exercise price are payable;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amount and terms of the securities purchasable upon exercise of the warrants;</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shares of our common stock and the number of shares of common stock to be received upon exercise of the warrants;</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shares of our preferred stock, the number of shares of preferred stock to be received upon exercise of the warrants and a description of that series of our preferred stock;</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our debt securities, the amount of our debt securities to be received upon exercise of the warrants, and a description of that series of debt securities;</w:t>
      </w:r>
    </w:p>
    <w:p>
      <w:pPr>
        <w:spacing w:after="0" w:line="49"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2" w:lineRule="exact"/>
        <w:rPr>
          <w:rFonts w:ascii="Times New Roman" w:cs="Times New Roman" w:eastAsia="Times New Roman" w:hAnsi="Times New Roman"/>
          <w:sz w:val="17"/>
          <w:szCs w:val="17"/>
          <w:color w:val="auto"/>
        </w:rPr>
      </w:pPr>
    </w:p>
    <w:p>
      <w:pPr>
        <w:jc w:val="both"/>
        <w:ind w:left="1180" w:right="519" w:hanging="342"/>
        <w:spacing w:after="0" w:line="269"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6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material U.S. federal income tax consequences;</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warrant agent for the warrants and of any other depositaries, execution or paying agents, transfer agents, registrars or other agents;</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listing, if any, of the warrants or any securities purchasable upon exercise of the warrants on any securities exchange or market;</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from and after which the warrants and the common stock, preferred stock and/or debt securities will be separately transferable;</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the warrants that may be exercised at any one time;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with respect to book-entry procedures, if any;</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anti-dilution provisions of the warrants, if any;</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call provisions;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are to be sold separately or with other securities as parts of units; and</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and exercise of the warrants.</w:t>
      </w: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transfer agent and registrar for any warrants will be set forth in the applicable prospectus supplement.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OUR UNITS</w:t>
      </w:r>
    </w:p>
    <w:p>
      <w:pPr>
        <w:spacing w:after="0" w:line="117"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debt securities, warrants and/or subscription rights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73"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7" w:lineRule="exact"/>
        <w:rPr>
          <w:sz w:val="20"/>
          <w:szCs w:val="20"/>
          <w:color w:val="auto"/>
        </w:rPr>
      </w:pPr>
    </w:p>
    <w:p>
      <w:pPr>
        <w:jc w:val="both"/>
        <w:ind w:left="500" w:right="499" w:firstLine="343"/>
        <w:spacing w:after="0" w:line="260" w:lineRule="auto"/>
        <w:rPr>
          <w:sz w:val="20"/>
          <w:szCs w:val="20"/>
          <w:color w:val="auto"/>
        </w:rPr>
      </w:pPr>
      <w:r>
        <w:rPr>
          <w:rFonts w:ascii="Times New Roman" w:cs="Times New Roman" w:eastAsia="Times New Roman" w:hAnsi="Times New Roman"/>
          <w:sz w:val="17"/>
          <w:szCs w:val="17"/>
          <w:color w:val="auto"/>
        </w:rPr>
        <w:t>We may issue units comprised of one or more shares of common stock or preferred stock, debt securities, warrants and/or subscription rights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units, including:</w:t>
      </w:r>
    </w:p>
    <w:p>
      <w:pPr>
        <w:spacing w:after="0" w:line="113" w:lineRule="exact"/>
        <w:rPr>
          <w:sz w:val="20"/>
          <w:szCs w:val="20"/>
          <w:color w:val="auto"/>
        </w:rPr>
      </w:pPr>
    </w:p>
    <w:p>
      <w:pPr>
        <w:ind w:left="1180" w:right="519" w:hanging="342"/>
        <w:spacing w:after="0" w:line="285" w:lineRule="auto"/>
        <w:tabs>
          <w:tab w:leader="none" w:pos="1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the units and of the securities comprising the units, including whether, and under what circumstances, those securities may be held or transferred separately;</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and obligations of the unit agent, if any;</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of the governing unit agreement that differ from those described below; and</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the issuance, payment, settlement, transfer or exchange of the units or of the securities comprising the units.</w:t>
      </w:r>
    </w:p>
    <w:p>
      <w:pPr>
        <w:spacing w:after="0" w:line="46" w:lineRule="exact"/>
        <w:rPr>
          <w:sz w:val="20"/>
          <w:szCs w:val="20"/>
          <w:color w:val="auto"/>
        </w:rPr>
      </w:pPr>
    </w:p>
    <w:p>
      <w:pPr>
        <w:jc w:val="both"/>
        <w:ind w:left="500" w:right="519" w:firstLine="343"/>
        <w:spacing w:after="0" w:line="265"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w:t>
      </w:r>
      <w:r>
        <w:rPr>
          <w:rFonts w:ascii="Times New Roman" w:cs="Times New Roman" w:eastAsia="Times New Roman" w:hAnsi="Times New Roman"/>
          <w:sz w:val="17"/>
          <w:szCs w:val="17"/>
          <w:i w:val="1"/>
          <w:iCs w:val="1"/>
          <w:color w:val="auto"/>
        </w:rPr>
        <w:t>Description of Our Common Stock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Description of Our Preferred Stock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Description of Our Debt Securities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Description of Our Warrants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Description of Our Subscription Rights</w:t>
      </w:r>
      <w:r>
        <w:rPr>
          <w:rFonts w:ascii="Times New Roman" w:cs="Times New Roman" w:eastAsia="Times New Roman" w:hAnsi="Times New Roman"/>
          <w:sz w:val="17"/>
          <w:szCs w:val="17"/>
          <w:color w:val="auto"/>
        </w:rPr>
        <w:t>,” will apply to each unit and to any common stock, preferred stock, debt securities, warrants or subscription rights included in each unit, respectively.</w:t>
      </w:r>
    </w:p>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Issuance in Series</w:t>
      </w:r>
    </w:p>
    <w:p>
      <w:pPr>
        <w:spacing w:after="0" w:line="1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We may issue units in such amounts and in numerous distinct series as we determine.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2" w:name="page23"/>
    <w:bookmarkEnd w:id="22"/>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OUR SUBSCRIPTION RIGHTS</w:t>
      </w:r>
    </w:p>
    <w:p>
      <w:pPr>
        <w:spacing w:after="0" w:line="117" w:lineRule="exact"/>
        <w:rPr>
          <w:sz w:val="20"/>
          <w:szCs w:val="20"/>
          <w:color w:val="auto"/>
        </w:rPr>
      </w:pPr>
    </w:p>
    <w:p>
      <w:pPr>
        <w:jc w:val="both"/>
        <w:ind w:left="500" w:right="519" w:firstLine="343"/>
        <w:spacing w:after="0" w:line="260" w:lineRule="auto"/>
        <w:rPr>
          <w:sz w:val="20"/>
          <w:szCs w:val="20"/>
          <w:color w:val="auto"/>
        </w:rPr>
      </w:pPr>
      <w:r>
        <w:rPr>
          <w:rFonts w:ascii="Times New Roman" w:cs="Times New Roman" w:eastAsia="Times New Roman" w:hAnsi="Times New Roman"/>
          <w:sz w:val="17"/>
          <w:szCs w:val="17"/>
          <w:color w:val="auto"/>
        </w:rPr>
        <w:t>We may issue subscription rights to purchase shares of our common stock, preferred stock or debt securities in one or more series together with other securities or separately, as described in each applicable prospectus supplement. Below is a description of certain general terms and provisions of the subscription rights that we may offer. Particular terms of the subscription rights will be described in the applicable subscription rights certificate or subscription rights agreement and the applicable prospectus supplement for the subscription rights.</w:t>
      </w:r>
    </w:p>
    <w:p>
      <w:pPr>
        <w:spacing w:after="0" w:line="72"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The applicable prospectus supplement will contain, where applicable, the following terms of and other information relating to the subscription rights:</w:t>
      </w:r>
    </w:p>
    <w:p>
      <w:pPr>
        <w:spacing w:after="0" w:line="50" w:lineRule="exact"/>
        <w:rPr>
          <w:sz w:val="20"/>
          <w:szCs w:val="20"/>
          <w:color w:val="auto"/>
        </w:rPr>
      </w:pPr>
    </w:p>
    <w:p>
      <w:pPr>
        <w:ind w:left="1180" w:hanging="342"/>
        <w:spacing w:after="0"/>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if any, for the subscription rights;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shares of our common stock, preferred stock or debt securities;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subscription rights issued to each securityholder;</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terms of the shares of our common stock, preferred stock or debt securities which may be purchased per each subscription right;</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subscription rights are transferable;</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adjustment of the number or amount of securities receivable upon exercise of the subscription rights or the exercise price of the subscription rights;</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subscription rights, including the terms, procedures and limitations relating to the exchange and exercise of the subscription rights;</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subscription rights shall commence, and the date on which the subscription rights shall expire;</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subscription rights may include an over-subscription privilege with respect to unsubscribed securities;</w:t>
      </w:r>
    </w:p>
    <w:p>
      <w:pPr>
        <w:spacing w:after="0" w:line="49"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material terms of any standby underwriting or purchase arrangement entered into by us in connection with the offering of subscription rights; and</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U.S. federal income tax considerations applicable to the subscription rights.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7" w:lineRule="exact"/>
        <w:rPr>
          <w:sz w:val="20"/>
          <w:szCs w:val="20"/>
          <w:color w:val="auto"/>
        </w:rPr>
      </w:pPr>
    </w:p>
    <w:p>
      <w:pPr>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We may sell the offered securities from time to time in one or more of the following ways, or in any combination thereof, or in any other way set forth in an applicable prospectus supplement:</w:t>
      </w:r>
    </w:p>
    <w:p>
      <w:pPr>
        <w:spacing w:after="0" w:line="50" w:lineRule="exact"/>
        <w:rPr>
          <w:sz w:val="20"/>
          <w:szCs w:val="20"/>
          <w:color w:val="auto"/>
        </w:rPr>
      </w:pPr>
    </w:p>
    <w:p>
      <w:pPr>
        <w:ind w:left="1180" w:hanging="342"/>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dealers;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one or more agents;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purchasers or to a single purchaser;</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stockholders;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block trades;</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forward contracts, hedging transactions or other derivative transactions; or</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distribution of the securities may be effected from time to time in one or more transactions:</w:t>
      </w:r>
    </w:p>
    <w:p>
      <w:pPr>
        <w:spacing w:after="0" w:line="113" w:lineRule="exact"/>
        <w:rPr>
          <w:sz w:val="20"/>
          <w:szCs w:val="20"/>
          <w:color w:val="auto"/>
        </w:rPr>
      </w:pPr>
    </w:p>
    <w:p>
      <w:pPr>
        <w:ind w:left="1180" w:hanging="342"/>
        <w:spacing w:after="0"/>
        <w:tabs>
          <w:tab w:leader="none" w:pos="1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 from time to time;</w:t>
      </w:r>
    </w:p>
    <w:p>
      <w:pPr>
        <w:spacing w:after="0" w:line="112"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including in “at the market offerings” within the meaning of Rule 415(a)(4) of the Securities Act; or</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13"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In connection with each offering, a prospectus supplement will describe the method of distribution of the securities and any applicable restrictions. Such prospectus supplement will also describe the specific terms of the offering of the securities, including the following:</w:t>
      </w:r>
    </w:p>
    <w:p>
      <w:pPr>
        <w:spacing w:after="0" w:line="62" w:lineRule="exact"/>
        <w:rPr>
          <w:sz w:val="20"/>
          <w:szCs w:val="20"/>
          <w:color w:val="auto"/>
        </w:rPr>
      </w:pPr>
    </w:p>
    <w:p>
      <w:pPr>
        <w:ind w:left="1180" w:right="519" w:hanging="342"/>
        <w:spacing w:after="0" w:line="285" w:lineRule="auto"/>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any underwriters, dealers or agents and the amounts of securities underwritten or purchased by each of them;</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offering price of the securities and the proceeds to us from the sale of the securities;</w:t>
      </w:r>
    </w:p>
    <w:p>
      <w:pPr>
        <w:spacing w:after="0" w:line="112" w:lineRule="exact"/>
        <w:rPr>
          <w:rFonts w:ascii="Times New Roman" w:cs="Times New Roman" w:eastAsia="Times New Roman" w:hAnsi="Times New Roman"/>
          <w:sz w:val="17"/>
          <w:szCs w:val="17"/>
          <w:color w:val="auto"/>
        </w:rPr>
      </w:pPr>
    </w:p>
    <w:p>
      <w:pPr>
        <w:ind w:left="1180" w:right="519" w:hanging="342"/>
        <w:spacing w:after="0" w:line="285" w:lineRule="auto"/>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underwriting discounts, agency fees or other items constituting underwriters’ or agents’ compensation, and any discounts or concessions allowed, reallowed or paid to dealers; and</w:t>
      </w:r>
    </w:p>
    <w:p>
      <w:pPr>
        <w:spacing w:after="0" w:line="49" w:lineRule="exact"/>
        <w:rPr>
          <w:rFonts w:ascii="Times New Roman" w:cs="Times New Roman" w:eastAsia="Times New Roman" w:hAnsi="Times New Roman"/>
          <w:sz w:val="17"/>
          <w:szCs w:val="17"/>
          <w:color w:val="auto"/>
        </w:rPr>
      </w:pPr>
    </w:p>
    <w:p>
      <w:pPr>
        <w:ind w:left="1180" w:hanging="342"/>
        <w:spacing w:after="0"/>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exchanges on which the securities may be listed.</w:t>
      </w:r>
    </w:p>
    <w:p>
      <w:pPr>
        <w:spacing w:after="0" w:line="113"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Any offering price and any discounts or concessions allowed, reallowed or paid to dealers may be changed from time to time. The maximum compensation to underwriters or dealers in connection with any offering pursuant to this prospectus and the accompanying prospectus supplement may not exceed the limits specified in the applicable guidelines of the Financial Industry Regulatory Authority.</w:t>
      </w:r>
    </w:p>
    <w:p>
      <w:pPr>
        <w:spacing w:after="0" w:line="68"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Only the agents or underwriters named in each prospectus supplement are agents or underwriters in connection with the securities being offered thereby.</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By Underwriters</w:t>
      </w:r>
    </w:p>
    <w:p>
      <w:pPr>
        <w:spacing w:after="0" w:line="117"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If underwriters are used in the sale, the securities will be acquired by the underwriters for their own account and may be resold from time to time in one or more transactions, including negotiated transactions, at a fixed public offering price, at market prices prevailing at the time of sale, at prices related to prevailing market prices or at negotiated prices. Underwriters may offer the securities directly or through underwriting syndicates represented by one or more managing underwriters. Unless otherwise set forth in the applicable prospectus supplement, the obligations of the underwriters to purchase the securities will be subject to certain conditions precedent.</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By Dealers</w:t>
      </w:r>
    </w:p>
    <w:p>
      <w:pPr>
        <w:spacing w:after="0" w:line="117"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If dealers are used in the sale, unless otherwise specified in the applicable prospectus supplement, we will sell the securities to the dealers as principals. The dealers may then resell the securities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4" w:name="page25"/>
    <w:bookmarkEnd w:id="24"/>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By Agents and Direct Sales</w:t>
      </w:r>
    </w:p>
    <w:p>
      <w:pPr>
        <w:spacing w:after="0" w:line="117" w:lineRule="exact"/>
        <w:rPr>
          <w:sz w:val="20"/>
          <w:szCs w:val="20"/>
          <w:color w:val="auto"/>
        </w:rPr>
      </w:pPr>
    </w:p>
    <w:p>
      <w:pPr>
        <w:jc w:val="both"/>
        <w:ind w:left="500" w:right="499" w:firstLine="343"/>
        <w:spacing w:after="0" w:line="260" w:lineRule="auto"/>
        <w:rPr>
          <w:sz w:val="20"/>
          <w:szCs w:val="20"/>
          <w:color w:val="auto"/>
        </w:rPr>
      </w:pPr>
      <w:r>
        <w:rPr>
          <w:rFonts w:ascii="Times New Roman" w:cs="Times New Roman" w:eastAsia="Times New Roman" w:hAnsi="Times New Roman"/>
          <w:sz w:val="17"/>
          <w:szCs w:val="17"/>
          <w:color w:val="auto"/>
        </w:rPr>
        <w:t>We may sell the securities directly to the public, without the use of underwriters, dealers or agents. We may also sell the securities through agents designated by us from time to time. Any agent involved in the offer or sale of the securities will be named, and any commissions payable by us to such agents will be set forth, in the applicable prospectus supplement. Agents will be acting on a best efforts basis to solicit purchases for the period of their appointment, unless otherwise stated in the applicable prospectus supplement.</w:t>
      </w:r>
    </w:p>
    <w:p>
      <w:pPr>
        <w:spacing w:after="0" w:line="72"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We also may engage a broker-dealer from time to time to act as agent or principal for the offer of the securities in one or more placements pursuant to a distribution agreement. If we and the broker-dealer agree, we will sell to the broker-dealer as agent or as principal, and the broker-dealer will seek to solicit offers to purchase on an agency basis and/or will purchase on a principal basis, the securities. The number and purchase price (less an underwriting discount) of the securities we sell to the broker-dealer will be mutually agreed on the relevant trading day. The securities sold under the distribution agreement will be sold at prices related to the prevailing market price for such securities, and therefore exact figures regarding the price, proceeds that will be raised or commissions to be paid will be described in a prospectus supplement to this prospectus or in other filings made in accordance with and as permitted by the Securities Act and the Exchange Act. The broker-dealer may make sales of the securities pursuant to the distribution agreement in privately negotiated transactions and/or any other method permitted by law deemed to be an “at-the-market” offering as defined in Rule 415 promulgated under the Securities Act including sales made on the New York Stock Exchange, the current trading market for our common stock.</w:t>
      </w:r>
    </w:p>
    <w:p>
      <w:pPr>
        <w:spacing w:after="0" w:line="3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17"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Underwriters, dealers and agents that participate in the distribution of the securities may be deemed underwriters as defined in the Securities Act, and any discounts or commissions we pay to them and any profit made by them on the resale of the securities may be treated as underwriting discounts and commissions under the Securities Act. Any underwriters, dealers or agents will be identified and their compensation from us will be described in the applicable prospectus supplement. Any initial public offering price and any discounts or concessions allowed or reallowed or paid to dealers may be changed from time to time.</w:t>
      </w:r>
    </w:p>
    <w:p>
      <w:pPr>
        <w:spacing w:after="0" w:line="70" w:lineRule="exact"/>
        <w:rPr>
          <w:sz w:val="20"/>
          <w:szCs w:val="20"/>
          <w:color w:val="auto"/>
        </w:rPr>
      </w:pPr>
    </w:p>
    <w:p>
      <w:pPr>
        <w:jc w:val="both"/>
        <w:ind w:left="500" w:right="499" w:firstLine="343"/>
        <w:spacing w:after="0" w:line="269" w:lineRule="auto"/>
        <w:rPr>
          <w:sz w:val="20"/>
          <w:szCs w:val="20"/>
          <w:color w:val="auto"/>
        </w:rPr>
      </w:pPr>
      <w:r>
        <w:rPr>
          <w:rFonts w:ascii="Times New Roman" w:cs="Times New Roman" w:eastAsia="Times New Roman" w:hAnsi="Times New Roman"/>
          <w:sz w:val="17"/>
          <w:szCs w:val="17"/>
          <w:color w:val="auto"/>
        </w:rPr>
        <w:t>We may agree with the underwriters, dealers and agents to indemnify them against certain civil liabilities, including liabilities under the Securities Act, or to contribute with respect to payments which the underwriters, dealers or agents may be required to make.</w:t>
      </w: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Trading Market</w:t>
      </w:r>
    </w:p>
    <w:p>
      <w:pPr>
        <w:spacing w:after="0" w:line="117"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color w:val="auto"/>
        </w:rPr>
        <w:t>Underwriters, dealers and agents may be customers of, engage in transactions with or perform services for, us in the ordinary course of their businesses. We will describe in the applicable prospectus supplement naming the underwriters, dealers or agents, the nature of any material relationship between us and the underwriters, dealers or agents, respectively. Unless otherwise specified in the applicable prospectus supplement, each class or series of securities will be a new issue with no established trading market, other than our common stock, which is listed on the New York Stock Exchange.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123190</wp:posOffset>
            </wp:positionV>
            <wp:extent cx="665734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5" w:name="page26"/>
    <w:bookmarkEnd w:id="25"/>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7" w:lineRule="exact"/>
        <w:rPr>
          <w:sz w:val="20"/>
          <w:szCs w:val="20"/>
          <w:color w:val="auto"/>
        </w:rPr>
      </w:pPr>
    </w:p>
    <w:p>
      <w:pPr>
        <w:jc w:val="both"/>
        <w:ind w:left="500" w:right="519" w:firstLine="343"/>
        <w:spacing w:after="0" w:line="263"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the securities offered by the Company will be passed upon for us by Troutman Pepper Locke LLP, Philadelphia, Pennsylvania. As appropriate, legal counsel representing the underwriters, dealers or agents will be named in the accompanying prospectus supplement and may opine to certain legal matters.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7" w:lineRule="exact"/>
        <w:rPr>
          <w:sz w:val="20"/>
          <w:szCs w:val="20"/>
          <w:color w:val="auto"/>
        </w:rPr>
      </w:pPr>
    </w:p>
    <w:p>
      <w:pPr>
        <w:jc w:val="both"/>
        <w:ind w:left="500" w:right="499" w:firstLine="343"/>
        <w:spacing w:after="0" w:line="259" w:lineRule="auto"/>
        <w:rPr>
          <w:sz w:val="20"/>
          <w:szCs w:val="20"/>
          <w:color w:val="auto"/>
        </w:rPr>
      </w:pPr>
      <w:r>
        <w:rPr>
          <w:rFonts w:ascii="Times New Roman" w:cs="Times New Roman" w:eastAsia="Times New Roman" w:hAnsi="Times New Roman"/>
          <w:sz w:val="17"/>
          <w:szCs w:val="17"/>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7"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 Because the prospectus may not contain all the information that you may find important, you should review the full text of these documents.</w:t>
      </w:r>
    </w:p>
    <w:p>
      <w:pPr>
        <w:spacing w:after="0" w:line="77" w:lineRule="exact"/>
        <w:rPr>
          <w:sz w:val="20"/>
          <w:szCs w:val="20"/>
          <w:color w:val="auto"/>
        </w:rPr>
      </w:pPr>
    </w:p>
    <w:p>
      <w:pPr>
        <w:jc w:val="both"/>
        <w:ind w:left="500" w:right="519" w:firstLine="343"/>
        <w:spacing w:after="0" w:line="259"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You can read our SEC filings, including the registration statement, over the Internet at the SEC’s website at www.sec.gov. We also maintain a website at www.vishay.com,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does not constitute part of this prospectus.</w:t>
      </w:r>
    </w:p>
    <w:p>
      <w:pPr>
        <w:spacing w:after="0" w:line="70"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In addition, you may request copies of these filings at no cost, by writing or telephoning us at the following address or telephone number: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Office of the Corporate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Vishay Intertechnology,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 Lancaster Avenue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Malvern, Pennsylvania 19355</w:t>
      </w:r>
    </w:p>
    <w:p>
      <w:pPr>
        <w:spacing w:after="0" w:line="10" w:lineRule="exact"/>
        <w:rPr>
          <w:sz w:val="20"/>
          <w:szCs w:val="20"/>
          <w:color w:val="auto"/>
        </w:rPr>
      </w:pPr>
    </w:p>
    <w:p>
      <w:pPr>
        <w:ind w:left="4380" w:hanging="411"/>
        <w:spacing w:after="0"/>
        <w:tabs>
          <w:tab w:leader="none" w:pos="4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644-1300</w:t>
      </w:r>
    </w:p>
    <w:p>
      <w:pPr>
        <w:spacing w:after="0" w:line="198" w:lineRule="exact"/>
        <w:rPr>
          <w:rFonts w:ascii="Times New Roman" w:cs="Times New Roman" w:eastAsia="Times New Roman" w:hAnsi="Times New Roman"/>
          <w:sz w:val="17"/>
          <w:szCs w:val="17"/>
          <w:color w:val="auto"/>
        </w:rPr>
      </w:pPr>
    </w:p>
    <w:p>
      <w:pPr>
        <w:ind w:left="4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7" w:lineRule="exact"/>
        <w:rPr>
          <w:sz w:val="20"/>
          <w:szCs w:val="20"/>
          <w:color w:val="auto"/>
        </w:rPr>
      </w:pPr>
    </w:p>
    <w:p>
      <w:pPr>
        <w:jc w:val="both"/>
        <w:ind w:left="500" w:right="519" w:firstLine="343"/>
        <w:spacing w:after="0" w:line="263"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into this document. This means that we can disclose important information to you by referring you to another document filed separately with the SEC. Our Commission filing number is 011-07416. The information incorporated by reference is considered a part of this prospectus, and information that we file later with the SEC will automatically update and supersede this information.</w:t>
      </w:r>
    </w:p>
    <w:p>
      <w:pPr>
        <w:spacing w:after="0" w:line="68" w:lineRule="exact"/>
        <w:rPr>
          <w:sz w:val="20"/>
          <w:szCs w:val="20"/>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68" w:lineRule="exact"/>
        <w:rPr>
          <w:sz w:val="20"/>
          <w:szCs w:val="20"/>
          <w:color w:val="auto"/>
        </w:rPr>
      </w:pPr>
    </w:p>
    <w:p>
      <w:pPr>
        <w:ind w:left="1180" w:right="519" w:hanging="342"/>
        <w:spacing w:after="0" w:line="285" w:lineRule="auto"/>
        <w:tabs>
          <w:tab w:leader="none" w:pos="1180" w:val="left"/>
        </w:tabs>
        <w:numPr>
          <w:ilvl w:val="0"/>
          <w:numId w:val="2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our Annual Report on Form 10-K for the year ended December 31, 2025, filed with the SEC on </w:t>
      </w:r>
      <w:hyperlink r:id="rId50">
        <w:r>
          <w:rPr>
            <w:rFonts w:ascii="Times New Roman" w:cs="Times New Roman" w:eastAsia="Times New Roman" w:hAnsi="Times New Roman"/>
            <w:sz w:val="17"/>
            <w:szCs w:val="17"/>
            <w:u w:val="single" w:color="auto"/>
            <w:color w:val="0000EE"/>
          </w:rPr>
          <w:t>February 13, 2026;</w:t>
        </w:r>
      </w:hyperlink>
    </w:p>
    <w:p>
      <w:pPr>
        <w:spacing w:after="0" w:line="49" w:lineRule="exact"/>
        <w:rPr>
          <w:rFonts w:ascii="Times New Roman" w:cs="Times New Roman" w:eastAsia="Times New Roman" w:hAnsi="Times New Roman"/>
          <w:sz w:val="17"/>
          <w:szCs w:val="17"/>
          <w:u w:val="single" w:color="auto"/>
          <w:color w:val="0000EE"/>
        </w:rPr>
      </w:pPr>
    </w:p>
    <w:p>
      <w:pPr>
        <w:jc w:val="both"/>
        <w:ind w:left="1180" w:right="519" w:hanging="342"/>
        <w:spacing w:after="0" w:line="269" w:lineRule="auto"/>
        <w:tabs>
          <w:tab w:leader="none" w:pos="1180" w:val="left"/>
        </w:tabs>
        <w:numPr>
          <w:ilvl w:val="0"/>
          <w:numId w:val="25"/>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portions of our Definitive Proxy Statement on Schedule 14A, filed with the SEC on </w:t>
      </w:r>
      <w:hyperlink r:id="rId51">
        <w:r>
          <w:rPr>
            <w:rFonts w:ascii="Times New Roman" w:cs="Times New Roman" w:eastAsia="Times New Roman" w:hAnsi="Times New Roman"/>
            <w:sz w:val="17"/>
            <w:szCs w:val="17"/>
            <w:u w:val="single" w:color="auto"/>
            <w:color w:val="0000EE"/>
          </w:rPr>
          <w:t>April 8,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that were incorporated by reference into Part III of our Annual Report on Form 10-K for the fiscal year ended </w:t>
      </w:r>
      <w:hyperlink r:id="rId50">
        <w:r>
          <w:rPr>
            <w:rFonts w:ascii="Times New Roman" w:cs="Times New Roman" w:eastAsia="Times New Roman" w:hAnsi="Times New Roman"/>
            <w:sz w:val="17"/>
            <w:szCs w:val="17"/>
            <w:u w:val="single" w:color="auto"/>
            <w:color w:val="0000EE"/>
          </w:rPr>
          <w:t>December 31, 2025</w:t>
        </w:r>
      </w:hyperlink>
      <w:r>
        <w:rPr>
          <w:rFonts w:ascii="Times New Roman" w:cs="Times New Roman" w:eastAsia="Times New Roman" w:hAnsi="Times New Roman"/>
          <w:sz w:val="17"/>
          <w:szCs w:val="17"/>
          <w:color w:val="000000"/>
        </w:rPr>
        <w:t>;</w:t>
      </w:r>
    </w:p>
    <w:p>
      <w:pPr>
        <w:spacing w:after="0" w:line="62" w:lineRule="exact"/>
        <w:rPr>
          <w:rFonts w:ascii="Times New Roman" w:cs="Times New Roman" w:eastAsia="Times New Roman" w:hAnsi="Times New Roman"/>
          <w:sz w:val="17"/>
          <w:szCs w:val="17"/>
          <w:color w:val="0000EE"/>
        </w:rPr>
      </w:pPr>
    </w:p>
    <w:p>
      <w:pPr>
        <w:ind w:left="1180" w:right="519" w:hanging="342"/>
        <w:spacing w:after="0" w:line="285" w:lineRule="auto"/>
        <w:tabs>
          <w:tab w:leader="none" w:pos="1180" w:val="left"/>
        </w:tabs>
        <w:numPr>
          <w:ilvl w:val="0"/>
          <w:numId w:val="25"/>
        </w:numPr>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auto"/>
          </w:rPr>
          <w:t xml:space="preserve">our Quarterly Report on Form 10-Q for the quarter ended April 4, 2026, filed with the SEC on </w:t>
        </w:r>
        <w:r>
          <w:rPr>
            <w:rFonts w:ascii="Times New Roman" w:cs="Times New Roman" w:eastAsia="Times New Roman" w:hAnsi="Times New Roman"/>
            <w:sz w:val="17"/>
            <w:szCs w:val="17"/>
            <w:u w:val="single" w:color="auto"/>
            <w:color w:val="0000EE"/>
          </w:rPr>
          <w:t>May 13,</w:t>
        </w:r>
      </w:hyperlink>
      <w:r>
        <w:rPr>
          <w:rFonts w:ascii="Times New Roman" w:cs="Times New Roman" w:eastAsia="Times New Roman" w:hAnsi="Times New Roman"/>
          <w:sz w:val="17"/>
          <w:szCs w:val="17"/>
          <w:color w:val="auto"/>
        </w:rPr>
        <w:t xml:space="preserve"> </w:t>
      </w:r>
      <w:hyperlink r:id="rId52">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hyperlink>
    </w:p>
    <w:p>
      <w:pPr>
        <w:spacing w:after="0" w:line="49" w:lineRule="exact"/>
        <w:rPr>
          <w:rFonts w:ascii="Times New Roman" w:cs="Times New Roman" w:eastAsia="Times New Roman" w:hAnsi="Times New Roman"/>
          <w:sz w:val="17"/>
          <w:szCs w:val="17"/>
          <w:color w:val="0000EE"/>
        </w:rPr>
      </w:pPr>
    </w:p>
    <w:p>
      <w:pPr>
        <w:jc w:val="both"/>
        <w:ind w:left="1180" w:right="519" w:hanging="342"/>
        <w:spacing w:after="0" w:line="269" w:lineRule="auto"/>
        <w:tabs>
          <w:tab w:leader="none" w:pos="1180" w:val="left"/>
        </w:tabs>
        <w:numPr>
          <w:ilvl w:val="0"/>
          <w:numId w:val="25"/>
        </w:numPr>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auto"/>
          </w:rPr>
          <w:t xml:space="preserve">our Current Reports on Form 8-K filed with the SEC on </w:t>
        </w:r>
        <w:r>
          <w:rPr>
            <w:rFonts w:ascii="Times New Roman" w:cs="Times New Roman" w:eastAsia="Times New Roman" w:hAnsi="Times New Roman"/>
            <w:sz w:val="17"/>
            <w:szCs w:val="17"/>
            <w:u w:val="single" w:color="auto"/>
            <w:color w:val="0000EE"/>
          </w:rPr>
          <w:t>January 9,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12, 2026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25,</w:t>
        </w:r>
      </w:hyperlink>
      <w:r>
        <w:rPr>
          <w:rFonts w:ascii="Times New Roman" w:cs="Times New Roman" w:eastAsia="Times New Roman" w:hAnsi="Times New Roman"/>
          <w:sz w:val="17"/>
          <w:szCs w:val="17"/>
          <w:color w:val="auto"/>
        </w:rPr>
        <w:t xml:space="preserve"> </w:t>
      </w:r>
      <w:hyperlink r:id="rId53">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54">
        <w:r>
          <w:rPr>
            <w:rFonts w:ascii="Times New Roman" w:cs="Times New Roman" w:eastAsia="Times New Roman" w:hAnsi="Times New Roman"/>
            <w:sz w:val="17"/>
            <w:szCs w:val="17"/>
            <w:u w:val="single" w:color="auto"/>
            <w:color w:val="0000EE"/>
          </w:rPr>
          <w:t>May 18, 2026</w:t>
        </w:r>
      </w:hyperlink>
      <w:hyperlink r:id="rId53">
        <w:r>
          <w:rPr>
            <w:rFonts w:ascii="Times New Roman" w:cs="Times New Roman" w:eastAsia="Times New Roman" w:hAnsi="Times New Roman"/>
            <w:sz w:val="17"/>
            <w:szCs w:val="17"/>
            <w:color w:val="000000"/>
          </w:rPr>
          <w:t>, in each case only to the extent the information in such report is filed and not</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furnished; and</w:t>
      </w:r>
    </w:p>
    <w:p>
      <w:pPr>
        <w:spacing w:after="0" w:line="62" w:lineRule="exact"/>
        <w:rPr>
          <w:rFonts w:ascii="Times New Roman" w:cs="Times New Roman" w:eastAsia="Times New Roman" w:hAnsi="Times New Roman"/>
          <w:sz w:val="17"/>
          <w:szCs w:val="17"/>
          <w:color w:val="0000EE"/>
        </w:rPr>
      </w:pPr>
    </w:p>
    <w:p>
      <w:pPr>
        <w:jc w:val="both"/>
        <w:ind w:left="1180" w:right="519" w:hanging="342"/>
        <w:spacing w:after="0" w:line="266" w:lineRule="auto"/>
        <w:tabs>
          <w:tab w:leader="none" w:pos="1180" w:val="left"/>
        </w:tabs>
        <w:numPr>
          <w:ilvl w:val="0"/>
          <w:numId w:val="25"/>
        </w:numPr>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the description of our common stock registered under Section 12 of the Exchange Act contained in </w:t>
      </w:r>
      <w:hyperlink r:id="rId55">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our Quarterly Report on Form 10-Q for the quarter ended October 1, 2022, filed with the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SEC on </w:t>
      </w:r>
      <w:hyperlink r:id="rId56">
        <w:r>
          <w:rPr>
            <w:rFonts w:ascii="Times New Roman" w:cs="Times New Roman" w:eastAsia="Times New Roman" w:hAnsi="Times New Roman"/>
            <w:sz w:val="17"/>
            <w:szCs w:val="17"/>
            <w:u w:val="single" w:color="auto"/>
            <w:color w:val="0000EE"/>
          </w:rPr>
          <w:t>November 2, 2022</w:t>
        </w:r>
      </w:hyperlink>
      <w:r>
        <w:rPr>
          <w:rFonts w:ascii="Times New Roman" w:cs="Times New Roman" w:eastAsia="Times New Roman" w:hAnsi="Times New Roman"/>
          <w:sz w:val="17"/>
          <w:szCs w:val="17"/>
          <w:color w:val="000000"/>
        </w:rPr>
        <w:t>, including any amendment or report filed for the purpose of updating such description.</w:t>
      </w:r>
    </w:p>
    <w:p>
      <w:pPr>
        <w:spacing w:after="0" w:line="275" w:lineRule="exact"/>
        <w:rPr>
          <w:rFonts w:ascii="Times New Roman" w:cs="Times New Roman" w:eastAsia="Times New Roman" w:hAnsi="Times New Roman"/>
          <w:sz w:val="17"/>
          <w:szCs w:val="17"/>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In addition, we also incorporate by reference additional documents that we may file with the SEC under Sections 13(a), 13(c), 14 or 15(d) of the Exchange Act after the date of this prospectus and until the termination of this offering. These documents include periodic reports, such as Annual Reports on Form 10-K, Quarterly Reports on Form 10-Q and Current Reports on Form 8-K, as well as proxy statements. Nothing in this prospectus shall be deemed to incorporate information furnished but not filed with the SEC pursuant to Item 2.02 or Item 7.01 (or corresponding information furnished under Item 9.01 or included as an exhibit) of Form 8-K, unless such Form 8-K expressly provides to the contrary.</w:t>
      </w:r>
    </w:p>
    <w:p>
      <w:pPr>
        <w:spacing w:after="0" w:line="77" w:lineRule="exact"/>
        <w:rPr>
          <w:rFonts w:ascii="Times New Roman" w:cs="Times New Roman" w:eastAsia="Times New Roman" w:hAnsi="Times New Roman"/>
          <w:sz w:val="17"/>
          <w:szCs w:val="17"/>
          <w:color w:val="auto"/>
        </w:rPr>
      </w:pPr>
    </w:p>
    <w:p>
      <w:pPr>
        <w:jc w:val="both"/>
        <w:ind w:left="500" w:right="499" w:firstLine="343"/>
        <w:spacing w:after="0" w:line="262" w:lineRule="auto"/>
        <w:rPr>
          <w:sz w:val="20"/>
          <w:szCs w:val="20"/>
          <w:color w:val="auto"/>
        </w:rPr>
      </w:pPr>
      <w:r>
        <w:rPr>
          <w:rFonts w:ascii="Times New Roman" w:cs="Times New Roman" w:eastAsia="Times New Roman" w:hAnsi="Times New Roman"/>
          <w:sz w:val="17"/>
          <w:szCs w:val="17"/>
          <w:color w:val="auto"/>
        </w:rPr>
        <w:t>We encourage you to read our periodic and current reports. We believe these reports provide additional information about our company which prudent investors find important. You may request a copy of these filings as well as any future filings incorporated by reference, at no cost, by writing or telephoning us at our principal executive offices. To obtain copies of these filings, see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EE"/>
        </w:rPr>
        <w:t>23</w:t>
      </w:r>
      <w:r>
        <w:rPr>
          <w:rFonts w:ascii="Times New Roman" w:cs="Times New Roman" w:eastAsia="Times New Roman" w:hAnsi="Times New Roman"/>
          <w:sz w:val="17"/>
          <w:szCs w:val="17"/>
          <w:color w:val="auto"/>
        </w:rPr>
        <w:t xml:space="preserve"> of this prospectus.</w:t>
      </w:r>
    </w:p>
    <w:p>
      <w:pPr>
        <w:spacing w:after="0" w:line="277" w:lineRule="exact"/>
        <w:rPr>
          <w:rFonts w:ascii="Times New Roman" w:cs="Times New Roman" w:eastAsia="Times New Roman" w:hAnsi="Times New Roman"/>
          <w:sz w:val="17"/>
          <w:szCs w:val="17"/>
          <w:color w:val="auto"/>
        </w:rPr>
      </w:pPr>
    </w:p>
    <w:p>
      <w:pPr>
        <w:jc w:val="both"/>
        <w:ind w:left="500" w:right="519" w:firstLine="343"/>
        <w:spacing w:after="0" w:line="260" w:lineRule="auto"/>
        <w:rPr>
          <w:sz w:val="20"/>
          <w:szCs w:val="20"/>
          <w:color w:val="auto"/>
        </w:rPr>
      </w:pPr>
      <w:r>
        <w:rPr>
          <w:rFonts w:ascii="Times New Roman" w:cs="Times New Roman" w:eastAsia="Times New Roman" w:hAnsi="Times New Roman"/>
          <w:sz w:val="17"/>
          <w:szCs w:val="17"/>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jurisdiction where the offer or sale is not permitted. You should not assume that the information in this prospectus or any prospectus supplement is accurate as of any date other than the date on the front of those documents.</w:t>
      </w:r>
    </w:p>
    <w:p>
      <w:pPr>
        <w:spacing w:after="0" w:line="72" w:lineRule="exact"/>
        <w:rPr>
          <w:rFonts w:ascii="Times New Roman" w:cs="Times New Roman" w:eastAsia="Times New Roman" w:hAnsi="Times New Roman"/>
          <w:sz w:val="17"/>
          <w:szCs w:val="17"/>
          <w:color w:val="auto"/>
        </w:rPr>
      </w:pPr>
    </w:p>
    <w:p>
      <w:pPr>
        <w:jc w:val="both"/>
        <w:ind w:left="500" w:right="499" w:firstLine="343"/>
        <w:spacing w:after="0" w:line="263" w:lineRule="auto"/>
        <w:rPr>
          <w:sz w:val="20"/>
          <w:szCs w:val="20"/>
          <w:color w:val="auto"/>
        </w:rPr>
      </w:pPr>
      <w:r>
        <w:rPr>
          <w:rFonts w:ascii="Times New Roman" w:cs="Times New Roman" w:eastAsia="Times New Roman" w:hAnsi="Times New Roman"/>
          <w:sz w:val="17"/>
          <w:szCs w:val="17"/>
          <w:color w:val="auto"/>
        </w:rPr>
        <w:t>Any statement contained herein or in a document incorporated or deemed to be incorporated by reference into this prospectus supplement will be deemed to be modified or superseded for purposes of the document to the extent that a statement contained in this prospectus supplement or any other subsequently filed document that is deemed to be incorporated by reference into this prospectus supplement modifies or supersedes the statement.</w:t>
      </w:r>
    </w:p>
    <w:p>
      <w:pPr>
        <w:spacing w:after="0" w:line="17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5" w:lineRule="exact"/>
        <w:rPr>
          <w:sz w:val="20"/>
          <w:szCs w:val="20"/>
          <w:color w:val="auto"/>
        </w:rPr>
      </w:pPr>
    </w:p>
    <w:p>
      <w:pPr>
        <w:ind w:left="50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14.</w:t>
        <w:tab/>
        <w:t>Other Expenses of Issuance and Distribution.</w:t>
      </w:r>
    </w:p>
    <w:p>
      <w:pPr>
        <w:spacing w:after="0" w:line="117" w:lineRule="exact"/>
        <w:rPr>
          <w:sz w:val="20"/>
          <w:szCs w:val="20"/>
          <w:color w:val="auto"/>
        </w:rPr>
      </w:pPr>
    </w:p>
    <w:p>
      <w:pPr>
        <w:jc w:val="both"/>
        <w:ind w:left="500" w:right="499" w:firstLine="343"/>
        <w:spacing w:after="0" w:line="269" w:lineRule="auto"/>
        <w:rPr>
          <w:sz w:val="20"/>
          <w:szCs w:val="20"/>
          <w:color w:val="auto"/>
        </w:rPr>
      </w:pPr>
      <w:r>
        <w:rPr>
          <w:rFonts w:ascii="Times New Roman" w:cs="Times New Roman" w:eastAsia="Times New Roman" w:hAnsi="Times New Roman"/>
          <w:sz w:val="17"/>
          <w:szCs w:val="17"/>
          <w:color w:val="auto"/>
        </w:rPr>
        <w:t>The estimated fees and expenses (not including underwriting discounts and commissions) payable by the Registrant in connection with the issuance and distribution of the securities being registered hereby are set forth in the following table:</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32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FINRA fees</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4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Trustee’s fees</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4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Rating agency fees</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4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Blue Sky fees and expenses</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3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30"/>
        </w:trPr>
        <w:tc>
          <w:tcPr>
            <w:tcW w:w="6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51"/>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5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6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106045</wp:posOffset>
            </wp:positionV>
            <wp:extent cx="782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191" w:lineRule="exact"/>
        <w:rPr>
          <w:sz w:val="20"/>
          <w:szCs w:val="20"/>
          <w:color w:val="auto"/>
        </w:rPr>
      </w:pPr>
    </w:p>
    <w:p>
      <w:pPr>
        <w:ind w:left="820" w:hanging="325"/>
        <w:spacing w:after="0"/>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 reliance upon Rules 456(b) and 457(r) of the Securities Act of 1933, as amended.</w:t>
      </w:r>
    </w:p>
    <w:p>
      <w:pPr>
        <w:spacing w:after="0" w:line="31" w:lineRule="exact"/>
        <w:rPr>
          <w:rFonts w:ascii="Times New Roman" w:cs="Times New Roman" w:eastAsia="Times New Roman" w:hAnsi="Times New Roman"/>
          <w:sz w:val="14"/>
          <w:szCs w:val="14"/>
          <w:color w:val="auto"/>
        </w:rPr>
      </w:pPr>
    </w:p>
    <w:p>
      <w:pPr>
        <w:ind w:left="820" w:right="519" w:hanging="325"/>
        <w:spacing w:after="0" w:line="236" w:lineRule="auto"/>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are calculated based on the securities offered and the number of issuances and accordingly are not known at the time of filing this registration statement.</w:t>
      </w:r>
    </w:p>
    <w:p>
      <w:pPr>
        <w:spacing w:after="0" w:line="172" w:lineRule="exact"/>
        <w:rPr>
          <w:sz w:val="20"/>
          <w:szCs w:val="20"/>
          <w:color w:val="auto"/>
        </w:rPr>
      </w:pPr>
    </w:p>
    <w:p>
      <w:pPr>
        <w:ind w:left="50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15.</w:t>
        <w:tab/>
        <w:t>Indemnification of Directors and Officers.</w:t>
      </w:r>
    </w:p>
    <w:p>
      <w:pPr>
        <w:spacing w:after="0" w:line="117" w:lineRule="exact"/>
        <w:rPr>
          <w:sz w:val="20"/>
          <w:szCs w:val="20"/>
          <w:color w:val="auto"/>
        </w:rPr>
      </w:pPr>
    </w:p>
    <w:p>
      <w:pPr>
        <w:jc w:val="both"/>
        <w:ind w:left="500" w:right="499" w:firstLine="343"/>
        <w:spacing w:after="0" w:line="254" w:lineRule="auto"/>
        <w:rPr>
          <w:sz w:val="20"/>
          <w:szCs w:val="20"/>
          <w:color w:val="auto"/>
        </w:rPr>
      </w:pPr>
      <w:r>
        <w:rPr>
          <w:rFonts w:ascii="Times New Roman" w:cs="Times New Roman" w:eastAsia="Times New Roman" w:hAnsi="Times New Roman"/>
          <w:sz w:val="17"/>
          <w:szCs w:val="17"/>
          <w:color w:val="auto"/>
        </w:rPr>
        <w:t>The Company is organized under the laws of the State of Delaware. Section 145 of the Delaware General Corporation Law (the “DGCL”) empowers a corporation to indemnify its directors and officers and to purchase insurance with respect to liability arising out of their capacity or status as directors and officers. The indemnity may include expenses (including attorneys’ fees), judgments, fines, and amounts paid in settlement actually and reasonably incurred by such person in connection with such action, suit, or proceeding, provided that the person acted in good faith and in a manner the person reasonably believed to be in the best interests of the corporation, and, with respect to any criminal action, had no reasonable cause to believe the person’s actions were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their duty. Where an officer or director is successful on the merits or otherwise in the defense of any action referred to above, the corporation must indemnify the officer or director against the expenses which such officer or director actually and reasonably incurred. The DGCL further provides that the indemnification permitted thereunder shall not be deemed exclusive of any other rights to which the directors and officers may be entitled under the corporation’s bylaws, any agreement, a vote of stockholders or otherwise.</w:t>
      </w:r>
    </w:p>
    <w:p>
      <w:pPr>
        <w:spacing w:after="0" w:line="83" w:lineRule="exact"/>
        <w:rPr>
          <w:sz w:val="20"/>
          <w:szCs w:val="20"/>
          <w:color w:val="auto"/>
        </w:rPr>
      </w:pPr>
    </w:p>
    <w:p>
      <w:pPr>
        <w:jc w:val="both"/>
        <w:ind w:left="500" w:right="499" w:firstLine="343"/>
        <w:spacing w:after="0" w:line="258"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81" w:lineRule="exact"/>
        <w:rPr>
          <w:sz w:val="20"/>
          <w:szCs w:val="20"/>
          <w:color w:val="auto"/>
        </w:rPr>
      </w:pPr>
    </w:p>
    <w:p>
      <w:pPr>
        <w:jc w:val="both"/>
        <w:ind w:left="500" w:right="499" w:firstLine="343"/>
        <w:spacing w:after="0" w:line="256" w:lineRule="auto"/>
        <w:rPr>
          <w:sz w:val="20"/>
          <w:szCs w:val="20"/>
          <w:color w:val="auto"/>
        </w:rPr>
      </w:pPr>
      <w:r>
        <w:rPr>
          <w:rFonts w:ascii="Times New Roman" w:cs="Times New Roman" w:eastAsia="Times New Roman" w:hAnsi="Times New Roman"/>
          <w:sz w:val="17"/>
          <w:szCs w:val="17"/>
          <w:color w:val="auto"/>
        </w:rPr>
        <w:t>Article Ninth of our Certificate of Incorporation provides for broad indemnification of our directors, officers, employees and agents (and their heirs, executors and administrators), as well as persons serving in such capacities for other enterprises at our request. Subject to certain conditions, indemnification is available where the indemnitee is wholly successful in defending the relevant action or, in the judgment of a court, the board of directors or independent legal counsel, the indemnitee acted in good faith and in what he or she reasonably believed to be in our best interests (and, in any criminal action, had no reasonable cause to believe the action was unlawful). Article Ninth also authorizes the advancement of expenses to directors, officers and employees prior to final disposition of a proceeding, to the extent permitted under Delaware law. The foregoing indemnification rights are in addition to any other rights to which any indemnitee may be entitled under our Certificate of Incorporation, any agreement, a vote of stockholders,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499" w:firstLine="343"/>
        <w:spacing w:after="0" w:line="260" w:lineRule="auto"/>
        <w:rPr>
          <w:sz w:val="20"/>
          <w:szCs w:val="20"/>
          <w:color w:val="auto"/>
        </w:rPr>
      </w:pPr>
      <w:r>
        <w:rPr>
          <w:rFonts w:ascii="Times New Roman" w:cs="Times New Roman" w:eastAsia="Times New Roman" w:hAnsi="Times New Roman"/>
          <w:sz w:val="17"/>
          <w:szCs w:val="17"/>
          <w:color w:val="auto"/>
        </w:rPr>
        <w:t>Article Ninth of our Certificate of Incorporation further provides that no director shall have any personal liability to the Company or its stockholders for any monetary damages for breach of fiduciary duty as a director, except for liability (i) for any breach of such director’s duty of loyalty to the Company or its stockholders, (ii) for acts or omissions not in good faith or which involve intentional misconduct or a knowing violation of law, (iii) under Section 174 of the DGCL, or (iv) for any transaction from which such director derived an improper personal benefit.</w:t>
      </w:r>
    </w:p>
    <w:p>
      <w:pPr>
        <w:spacing w:after="0" w:line="72" w:lineRule="exact"/>
        <w:rPr>
          <w:sz w:val="20"/>
          <w:szCs w:val="20"/>
          <w:color w:val="auto"/>
        </w:rPr>
      </w:pPr>
    </w:p>
    <w:p>
      <w:pPr>
        <w:jc w:val="both"/>
        <w:ind w:left="500" w:right="519" w:firstLine="343"/>
        <w:spacing w:after="0" w:line="257" w:lineRule="auto"/>
        <w:rPr>
          <w:sz w:val="20"/>
          <w:szCs w:val="20"/>
          <w:color w:val="auto"/>
        </w:rPr>
      </w:pPr>
      <w:r>
        <w:rPr>
          <w:rFonts w:ascii="Times New Roman" w:cs="Times New Roman" w:eastAsia="Times New Roman" w:hAnsi="Times New Roman"/>
          <w:sz w:val="17"/>
          <w:szCs w:val="17"/>
          <w:color w:val="auto"/>
        </w:rPr>
        <w:t>Pursuant to Article Tenth of our Certificate of Incorporation, we maintain directors’ and officers’ insurance to reimburse the directors and officers of the Company and its subsidiaries for charges and expenses incurred by them for wrongful acts claimed against them by reason of their being or having been directors or officers of the Company or any of its subsidiaries. Such insurance specifically excludes reimbursement of any director or officer for any charge or expense incurred in connection with various designated matters, including libel or slander, illegally obtained personal profits, profits recovered by us pursuant to Section 16(b) of the Securities Exchange Act of 1934, as amended, and deliberate dishonesty.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82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Item 16.</w:t>
            </w:r>
          </w:p>
        </w:tc>
        <w:tc>
          <w:tcPr>
            <w:tcW w:w="7200" w:type="dxa"/>
            <w:vAlign w:val="bottom"/>
            <w:gridSpan w:val="17"/>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392"/>
        </w:trPr>
        <w:tc>
          <w:tcPr>
            <w:tcW w:w="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1"/>
                <w:szCs w:val="21"/>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Underwriting / Agency Agreement.</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7" w:lineRule="exact"/>
              <w:rPr>
                <w:rFonts w:ascii="Times New Roman" w:cs="Times New Roman" w:eastAsia="Times New Roman" w:hAnsi="Times New Roman"/>
                <w:sz w:val="17"/>
                <w:szCs w:val="17"/>
                <w:color w:val="0000EE"/>
              </w:rPr>
            </w:pPr>
            <w:hyperlink r:id="rId6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100" w:type="dxa"/>
            <w:vAlign w:val="bottom"/>
            <w:gridSpan w:val="16"/>
            <w:shd w:val="clear" w:color="auto" w:fill="CCEEFF"/>
          </w:tcPr>
          <w:p>
            <w:pPr>
              <w:spacing w:after="0" w:line="167" w:lineRule="exact"/>
              <w:rPr>
                <w:rFonts w:ascii="Times New Roman" w:cs="Times New Roman" w:eastAsia="Times New Roman" w:hAnsi="Times New Roman"/>
                <w:sz w:val="17"/>
                <w:szCs w:val="17"/>
                <w:color w:val="0000EE"/>
              </w:rPr>
            </w:pPr>
            <w:hyperlink r:id="rId61">
              <w:r>
                <w:rPr>
                  <w:rFonts w:ascii="Times New Roman" w:cs="Times New Roman" w:eastAsia="Times New Roman" w:hAnsi="Times New Roman"/>
                  <w:sz w:val="17"/>
                  <w:szCs w:val="17"/>
                  <w:color w:val="0000EE"/>
                </w:rPr>
                <w:t>Corrected Amended and Restated Certificate of Incorporation of Vishay Intertechnology, Inc. dated</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980" w:type="dxa"/>
            <w:vAlign w:val="bottom"/>
            <w:tcBorders>
              <w:bottom w:val="single" w:sz="8" w:color="0000EE"/>
            </w:tcBorders>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61">
              <w:r>
                <w:rPr>
                  <w:rFonts w:ascii="Times New Roman" w:cs="Times New Roman" w:eastAsia="Times New Roman" w:hAnsi="Times New Roman"/>
                  <w:sz w:val="17"/>
                  <w:szCs w:val="17"/>
                  <w:color w:val="0000EE"/>
                </w:rPr>
                <w:t>June 5, 2012 (incorporated by reference to Exhibit 3.1 to the Company’s Current Report on Form 8-K</w:t>
              </w:r>
            </w:hyperlink>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line="185" w:lineRule="exact"/>
              <w:rPr>
                <w:rFonts w:ascii="Times New Roman" w:cs="Times New Roman" w:eastAsia="Times New Roman" w:hAnsi="Times New Roman"/>
                <w:sz w:val="17"/>
                <w:szCs w:val="17"/>
                <w:color w:val="0000EE"/>
              </w:rPr>
            </w:pPr>
            <w:hyperlink r:id="rId61">
              <w:r>
                <w:rPr>
                  <w:rFonts w:ascii="Times New Roman" w:cs="Times New Roman" w:eastAsia="Times New Roman" w:hAnsi="Times New Roman"/>
                  <w:sz w:val="17"/>
                  <w:szCs w:val="17"/>
                  <w:color w:val="0000EE"/>
                </w:rPr>
                <w:t>filed June 5, 2012)</w:t>
              </w:r>
              <w:r>
                <w:rPr>
                  <w:rFonts w:ascii="Times New Roman" w:cs="Times New Roman" w:eastAsia="Times New Roman" w:hAnsi="Times New Roman"/>
                  <w:sz w:val="17"/>
                  <w:szCs w:val="17"/>
                  <w:color w:val="000000"/>
                </w:rPr>
                <w:t>.</w:t>
              </w:r>
            </w:hyperlink>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7" w:lineRule="exact"/>
              <w:rPr>
                <w:rFonts w:ascii="Times New Roman" w:cs="Times New Roman" w:eastAsia="Times New Roman" w:hAnsi="Times New Roman"/>
                <w:sz w:val="17"/>
                <w:szCs w:val="17"/>
                <w:color w:val="0000EE"/>
              </w:rPr>
            </w:pPr>
            <w:hyperlink r:id="rId6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100" w:type="dxa"/>
            <w:vAlign w:val="bottom"/>
            <w:gridSpan w:val="16"/>
            <w:shd w:val="clear" w:color="auto" w:fill="CCEEFF"/>
          </w:tcPr>
          <w:p>
            <w:pPr>
              <w:spacing w:after="0" w:line="167" w:lineRule="exact"/>
              <w:rPr>
                <w:rFonts w:ascii="Times New Roman" w:cs="Times New Roman" w:eastAsia="Times New Roman" w:hAnsi="Times New Roman"/>
                <w:sz w:val="17"/>
                <w:szCs w:val="17"/>
                <w:color w:val="0000EE"/>
              </w:rPr>
            </w:pPr>
            <w:hyperlink r:id="rId62">
              <w:r>
                <w:rPr>
                  <w:rFonts w:ascii="Times New Roman" w:cs="Times New Roman" w:eastAsia="Times New Roman" w:hAnsi="Times New Roman"/>
                  <w:sz w:val="17"/>
                  <w:szCs w:val="17"/>
                  <w:color w:val="0000EE"/>
                </w:rPr>
                <w:t>Amended and Restated Bylaws dated June 1, 2011 (incorporated by reference to Exhibit 3.2 to the</w:t>
              </w:r>
            </w:hyperlink>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0000EE"/>
            </w:tcBorders>
            <w:gridSpan w:val="12"/>
            <w:shd w:val="clear" w:color="auto" w:fill="CCEEFF"/>
          </w:tcPr>
          <w:p>
            <w:pPr>
              <w:spacing w:after="0" w:line="185" w:lineRule="exact"/>
              <w:rPr>
                <w:rFonts w:ascii="Times New Roman" w:cs="Times New Roman" w:eastAsia="Times New Roman" w:hAnsi="Times New Roman"/>
                <w:sz w:val="17"/>
                <w:szCs w:val="17"/>
                <w:color w:val="0000EE"/>
              </w:rPr>
            </w:pPr>
            <w:hyperlink r:id="rId62">
              <w:r>
                <w:rPr>
                  <w:rFonts w:ascii="Times New Roman" w:cs="Times New Roman" w:eastAsia="Times New Roman" w:hAnsi="Times New Roman"/>
                  <w:sz w:val="17"/>
                  <w:szCs w:val="17"/>
                  <w:color w:val="0000EE"/>
                </w:rPr>
                <w:t>Company’s Current Report on Form 8-K filed June 2, 2011)</w:t>
              </w:r>
              <w:r>
                <w:rPr>
                  <w:rFonts w:ascii="Times New Roman" w:cs="Times New Roman" w:eastAsia="Times New Roman" w:hAnsi="Times New Roman"/>
                  <w:sz w:val="17"/>
                  <w:szCs w:val="17"/>
                  <w:color w:val="000000"/>
                </w:rPr>
                <w:t>.</w:t>
              </w:r>
            </w:hyperlink>
          </w:p>
        </w:tc>
        <w:tc>
          <w:tcPr>
            <w:tcW w:w="360" w:type="dxa"/>
            <w:vAlign w:val="bottom"/>
            <w:tcBorders>
              <w:top w:val="single" w:sz="8" w:color="CCEEFF"/>
            </w:tcBorders>
            <w:gridSpan w:val="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7" w:lineRule="exact"/>
              <w:rPr>
                <w:rFonts w:ascii="Times New Roman" w:cs="Times New Roman" w:eastAsia="Times New Roman" w:hAnsi="Times New Roman"/>
                <w:sz w:val="17"/>
                <w:szCs w:val="17"/>
                <w:color w:val="0000EE"/>
              </w:rPr>
            </w:pPr>
            <w:hyperlink r:id="rId6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100" w:type="dxa"/>
            <w:vAlign w:val="bottom"/>
            <w:gridSpan w:val="16"/>
            <w:shd w:val="clear" w:color="auto" w:fill="CCEEFF"/>
          </w:tcPr>
          <w:p>
            <w:pPr>
              <w:spacing w:after="0" w:line="167" w:lineRule="exact"/>
              <w:rPr>
                <w:rFonts w:ascii="Times New Roman" w:cs="Times New Roman" w:eastAsia="Times New Roman" w:hAnsi="Times New Roman"/>
                <w:sz w:val="17"/>
                <w:szCs w:val="17"/>
                <w:color w:val="0000EE"/>
              </w:rPr>
            </w:pPr>
            <w:hyperlink r:id="rId63">
              <w:r>
                <w:rPr>
                  <w:rFonts w:ascii="Times New Roman" w:cs="Times New Roman" w:eastAsia="Times New Roman" w:hAnsi="Times New Roman"/>
                  <w:sz w:val="17"/>
                  <w:szCs w:val="17"/>
                  <w:color w:val="0000EE"/>
                </w:rPr>
                <w:t>First Amendment to Amended and Restated Bylaws (incorporated by reference to Exhibit 3.1 to the</w:t>
              </w:r>
            </w:hyperlink>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0000EE"/>
              <w:right w:val="single" w:sz="8" w:color="CCEEFF"/>
            </w:tcBorders>
            <w:gridSpan w:val="13"/>
            <w:shd w:val="clear" w:color="auto" w:fill="CCEEFF"/>
          </w:tcPr>
          <w:p>
            <w:pPr>
              <w:spacing w:after="0" w:line="185" w:lineRule="exact"/>
              <w:rPr>
                <w:rFonts w:ascii="Times New Roman" w:cs="Times New Roman" w:eastAsia="Times New Roman" w:hAnsi="Times New Roman"/>
                <w:sz w:val="17"/>
                <w:szCs w:val="17"/>
                <w:color w:val="0000EE"/>
              </w:rPr>
            </w:pPr>
            <w:hyperlink r:id="rId63">
              <w:r>
                <w:rPr>
                  <w:rFonts w:ascii="Times New Roman" w:cs="Times New Roman" w:eastAsia="Times New Roman" w:hAnsi="Times New Roman"/>
                  <w:sz w:val="17"/>
                  <w:szCs w:val="17"/>
                  <w:color w:val="0000EE"/>
                </w:rPr>
                <w:t>Company’s Current Report on Form 8-K filed on August 11, 2015)</w:t>
              </w:r>
              <w:r>
                <w:rPr>
                  <w:rFonts w:ascii="Times New Roman" w:cs="Times New Roman" w:eastAsia="Times New Roman" w:hAnsi="Times New Roman"/>
                  <w:sz w:val="17"/>
                  <w:szCs w:val="17"/>
                  <w:color w:val="000000"/>
                </w:rPr>
                <w:t>.</w:t>
              </w:r>
            </w:hyperlink>
          </w:p>
        </w:tc>
        <w:tc>
          <w:tcPr>
            <w:tcW w:w="260" w:type="dxa"/>
            <w:vAlign w:val="bottom"/>
            <w:tcBorders>
              <w:top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7" w:lineRule="exact"/>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4</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100" w:type="dxa"/>
            <w:vAlign w:val="bottom"/>
            <w:gridSpan w:val="16"/>
            <w:shd w:val="clear" w:color="auto" w:fill="CCEEFF"/>
          </w:tcPr>
          <w:p>
            <w:pPr>
              <w:spacing w:after="0" w:line="167" w:lineRule="exact"/>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Second Amendment to Amended and Restated Bylaws (incorporated by reference to Exhibit 3.1 to the</w:t>
              </w:r>
            </w:hyperlink>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0000EE"/>
            </w:tcBorders>
            <w:gridSpan w:val="15"/>
            <w:shd w:val="clear" w:color="auto" w:fill="CCEEFF"/>
          </w:tcPr>
          <w:p>
            <w:pPr>
              <w:spacing w:after="0" w:line="185" w:lineRule="exact"/>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Company’s Current Report on Form 8-K filed on February 21, 2023)</w:t>
              </w:r>
              <w:r>
                <w:rPr>
                  <w:rFonts w:ascii="Times New Roman" w:cs="Times New Roman" w:eastAsia="Times New Roman" w:hAnsi="Times New Roman"/>
                  <w:sz w:val="17"/>
                  <w:szCs w:val="17"/>
                  <w:color w:val="000000"/>
                </w:rPr>
                <w:t>.</w:t>
              </w:r>
            </w:hyperlink>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Certificate of Designations.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Specimen Stock Certificate evidencing shares of preferred stock.</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Warrant Agreement.</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4*</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Form of Indenture</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vMerge w:val="restart"/>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Note.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Unit Agreement.</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Subscription Rights Agreement.</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Opinion of Troutman Pepper Locke LLP</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vMerge w:val="restart"/>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Consent of Troutman Pepper Locke LLP (included in Exhibit 5.1)</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vMerge w:val="restart"/>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2*</w:t>
            </w: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Consent of Ernst &amp; Young LLP</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vMerge w:val="restart"/>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24.</w:t>
            </w:r>
            <w:r>
              <w:rPr>
                <w:rFonts w:ascii="Times New Roman" w:cs="Times New Roman" w:eastAsia="Times New Roman" w:hAnsi="Times New Roman"/>
                <w:sz w:val="17"/>
                <w:szCs w:val="17"/>
                <w:u w:val="single" w:color="auto"/>
                <w:color w:val="0000EE"/>
              </w:rPr>
              <w:t>1*</w:t>
            </w:r>
          </w:p>
        </w:tc>
        <w:tc>
          <w:tcPr>
            <w:tcW w:w="100" w:type="dxa"/>
            <w:vAlign w:val="bottom"/>
            <w:shd w:val="clear" w:color="auto" w:fill="CCEEFF"/>
          </w:tcPr>
          <w:p>
            <w:pPr>
              <w:spacing w:after="0"/>
              <w:rPr>
                <w:sz w:val="17"/>
                <w:szCs w:val="17"/>
                <w:color w:val="auto"/>
              </w:rPr>
            </w:pPr>
          </w:p>
        </w:tc>
        <w:tc>
          <w:tcPr>
            <w:tcW w:w="7100" w:type="dxa"/>
            <w:vAlign w:val="bottom"/>
            <w:gridSpan w:val="16"/>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Power of attorney (included on the signature page hereto)</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vMerge w:val="restart"/>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shd w:val="clear" w:color="auto" w:fill="CCEEFF"/>
          </w:tcPr>
          <w:p>
            <w:pPr>
              <w:spacing w:after="0"/>
              <w:rPr>
                <w:sz w:val="18"/>
                <w:szCs w:val="18"/>
                <w:color w:val="auto"/>
              </w:rPr>
            </w:pPr>
          </w:p>
        </w:tc>
        <w:tc>
          <w:tcPr>
            <w:tcW w:w="7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Statement of Eligibility of Trustee Under Debt Indenture.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0" w:type="dxa"/>
            <w:vAlign w:val="bottom"/>
            <w:gridSpan w:val="4"/>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w w:val="99"/>
              </w:rPr>
              <w:t>107*</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100" w:type="dxa"/>
            <w:vAlign w:val="bottom"/>
            <w:gridSpan w:val="16"/>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Filing Fee Table</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70"/>
        </w:trPr>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20" w:hanging="325"/>
        <w:spacing w:after="0"/>
        <w:tabs>
          <w:tab w:leader="none" w:pos="8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2" w:lineRule="exact"/>
        <w:rPr>
          <w:sz w:val="20"/>
          <w:szCs w:val="20"/>
          <w:color w:val="auto"/>
        </w:rPr>
      </w:pPr>
    </w:p>
    <w:p>
      <w:pPr>
        <w:ind w:left="820" w:right="519" w:hanging="325"/>
        <w:spacing w:after="0" w:line="236" w:lineRule="auto"/>
        <w:tabs>
          <w:tab w:leader="none" w:pos="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to be incorporated by reference in connection with the offering of the securities registered hereunder.</w:t>
      </w:r>
    </w:p>
    <w:p>
      <w:pPr>
        <w:spacing w:after="0" w:line="172" w:lineRule="exact"/>
        <w:rPr>
          <w:sz w:val="20"/>
          <w:szCs w:val="20"/>
          <w:color w:val="auto"/>
        </w:rPr>
      </w:pPr>
    </w:p>
    <w:p>
      <w:pPr>
        <w:ind w:left="50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17.</w:t>
        <w:tab/>
        <w:t>Undertakings.</w:t>
      </w:r>
    </w:p>
    <w:p>
      <w:pPr>
        <w:spacing w:after="0" w:line="1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   The undersigned Registrant hereby undertakes:</w:t>
      </w:r>
    </w:p>
    <w:p>
      <w:pPr>
        <w:spacing w:after="0" w:line="113" w:lineRule="exact"/>
        <w:rPr>
          <w:sz w:val="20"/>
          <w:szCs w:val="20"/>
          <w:color w:val="auto"/>
        </w:rPr>
      </w:pPr>
    </w:p>
    <w:p>
      <w:pPr>
        <w:ind w:left="840" w:right="519" w:firstLine="342"/>
        <w:spacing w:after="0" w:line="285" w:lineRule="auto"/>
        <w:rPr>
          <w:sz w:val="20"/>
          <w:szCs w:val="20"/>
          <w:color w:val="auto"/>
        </w:rPr>
      </w:pPr>
      <w:r>
        <w:rPr>
          <w:rFonts w:ascii="Times New Roman" w:cs="Times New Roman" w:eastAsia="Times New Roman" w:hAnsi="Times New Roman"/>
          <w:sz w:val="17"/>
          <w:szCs w:val="17"/>
          <w:color w:val="auto"/>
        </w:rPr>
        <w:t>(1)  To file, during any period in which offers or sales are being made, a post-effective amendment to this registration statement:</w:t>
      </w:r>
    </w:p>
    <w:p>
      <w:pPr>
        <w:spacing w:after="0" w:line="75" w:lineRule="exact"/>
        <w:rPr>
          <w:sz w:val="20"/>
          <w:szCs w:val="20"/>
          <w:color w:val="auto"/>
        </w:rPr>
      </w:pPr>
    </w:p>
    <w:p>
      <w:pPr>
        <w:ind w:left="1180" w:right="519" w:firstLine="343"/>
        <w:spacing w:after="0" w:line="262" w:lineRule="auto"/>
        <w:rPr>
          <w:sz w:val="20"/>
          <w:szCs w:val="20"/>
          <w:color w:val="auto"/>
        </w:rPr>
      </w:pPr>
      <w:r>
        <w:rPr>
          <w:rFonts w:ascii="Times New Roman" w:cs="Times New Roman" w:eastAsia="Times New Roman" w:hAnsi="Times New Roman"/>
          <w:sz w:val="17"/>
          <w:szCs w:val="17"/>
          <w:color w:val="auto"/>
        </w:rPr>
        <w:t>(i)  To include any prospectus required by Section 10(a)(3) of the Securities Act of 1933, as amended;</w:t>
      </w:r>
    </w:p>
    <w:p>
      <w:pPr>
        <w:spacing w:after="0" w:line="301" w:lineRule="exact"/>
        <w:rPr>
          <w:sz w:val="20"/>
          <w:szCs w:val="20"/>
          <w:color w:val="auto"/>
        </w:rPr>
      </w:pPr>
    </w:p>
    <w:p>
      <w:pPr>
        <w:ind w:left="1180" w:right="519" w:firstLine="343"/>
        <w:spacing w:after="0" w:line="285" w:lineRule="auto"/>
        <w:rPr>
          <w:sz w:val="20"/>
          <w:szCs w:val="20"/>
          <w:color w:val="auto"/>
        </w:rPr>
      </w:pPr>
      <w:r>
        <w:rPr>
          <w:rFonts w:ascii="Times New Roman" w:cs="Times New Roman" w:eastAsia="Times New Roman" w:hAnsi="Times New Roman"/>
          <w:sz w:val="17"/>
          <w:szCs w:val="17"/>
          <w:color w:val="auto"/>
        </w:rPr>
        <w:t>(ii)  To reflect in the prospectus any facts or events arising after the effective date of the registration statement (or the most recent post-effective amendment thereof) which, individually or in the aggregate,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30" w:name="page31"/>
    <w:bookmarkEnd w:id="30"/>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1180" w:right="499"/>
        <w:spacing w:after="0" w:line="257" w:lineRule="auto"/>
        <w:rPr>
          <w:sz w:val="20"/>
          <w:szCs w:val="20"/>
          <w:color w:val="auto"/>
        </w:rPr>
      </w:pPr>
      <w:r>
        <w:rPr>
          <w:rFonts w:ascii="Times New Roman" w:cs="Times New Roman" w:eastAsia="Times New Roman" w:hAnsi="Times New Roman"/>
          <w:sz w:val="17"/>
          <w:szCs w:val="17"/>
          <w:color w:val="auto"/>
        </w:rPr>
        <w:t>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7" w:lineRule="exact"/>
        <w:rPr>
          <w:sz w:val="20"/>
          <w:szCs w:val="20"/>
          <w:color w:val="auto"/>
        </w:rPr>
      </w:pPr>
    </w:p>
    <w:p>
      <w:pPr>
        <w:jc w:val="both"/>
        <w:ind w:left="1180" w:right="499" w:firstLine="343"/>
        <w:spacing w:after="0" w:line="269" w:lineRule="auto"/>
        <w:rPr>
          <w:sz w:val="20"/>
          <w:szCs w:val="20"/>
          <w:color w:val="auto"/>
        </w:rPr>
      </w:pPr>
      <w:r>
        <w:rPr>
          <w:rFonts w:ascii="Times New Roman" w:cs="Times New Roman" w:eastAsia="Times New Roman" w:hAnsi="Times New Roman"/>
          <w:sz w:val="17"/>
          <w:szCs w:val="17"/>
          <w:color w:val="auto"/>
        </w:rPr>
        <w:t>(iii)  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jc w:val="both"/>
        <w:ind w:left="500" w:right="519"/>
        <w:spacing w:after="0" w:line="261"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(i), (ii) and (iii) above do not apply if the registration statement is on Form S-3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information required to be included in a post-effective amendment by those paragraphs is contained in reports filed with or furnished to the Commission by the Registrant pursuant to Section 13 or Section 15(d) of the Securities Exchange Act of 1934, as amended, that are incorporated by reference in the registration statement, or contained in a form of prospectus filed pursuant to Rule 424(b) that is part of the registration statement.</w:t>
      </w:r>
    </w:p>
    <w:p>
      <w:pPr>
        <w:spacing w:after="0" w:line="72" w:lineRule="exact"/>
        <w:rPr>
          <w:sz w:val="20"/>
          <w:szCs w:val="20"/>
          <w:color w:val="auto"/>
        </w:rPr>
      </w:pPr>
    </w:p>
    <w:p>
      <w:pPr>
        <w:jc w:val="both"/>
        <w:ind w:left="840" w:right="499" w:firstLine="342"/>
        <w:spacing w:after="0" w:line="263" w:lineRule="auto"/>
        <w:rPr>
          <w:sz w:val="20"/>
          <w:szCs w:val="20"/>
          <w:color w:val="auto"/>
        </w:rPr>
      </w:pPr>
      <w:r>
        <w:rPr>
          <w:rFonts w:ascii="Times New Roman" w:cs="Times New Roman" w:eastAsia="Times New Roman" w:hAnsi="Times New Roman"/>
          <w:sz w:val="17"/>
          <w:szCs w:val="17"/>
          <w:color w:val="auto"/>
        </w:rPr>
        <w:t xml:space="preserve">(2)  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68" w:lineRule="exact"/>
        <w:rPr>
          <w:sz w:val="20"/>
          <w:szCs w:val="20"/>
          <w:color w:val="auto"/>
        </w:rPr>
      </w:pPr>
    </w:p>
    <w:p>
      <w:pPr>
        <w:jc w:val="both"/>
        <w:ind w:left="840" w:right="519" w:firstLine="342"/>
        <w:spacing w:after="0" w:line="285" w:lineRule="auto"/>
        <w:rPr>
          <w:sz w:val="20"/>
          <w:szCs w:val="20"/>
          <w:color w:val="auto"/>
        </w:rPr>
      </w:pPr>
      <w:r>
        <w:rPr>
          <w:rFonts w:ascii="Times New Roman" w:cs="Times New Roman" w:eastAsia="Times New Roman" w:hAnsi="Times New Roman"/>
          <w:sz w:val="17"/>
          <w:szCs w:val="17"/>
          <w:color w:val="auto"/>
        </w:rPr>
        <w:t>(3)  To remove from registration by means of a post-effective amendment any of the securities being registered which remain unsold at the termination of the offering.</w:t>
      </w:r>
    </w:p>
    <w:p>
      <w:pPr>
        <w:spacing w:after="0" w:line="50" w:lineRule="exact"/>
        <w:rPr>
          <w:sz w:val="20"/>
          <w:szCs w:val="20"/>
          <w:color w:val="auto"/>
        </w:rPr>
      </w:pPr>
    </w:p>
    <w:p>
      <w:pPr>
        <w:jc w:val="both"/>
        <w:ind w:left="840" w:right="519" w:firstLine="342"/>
        <w:spacing w:after="0" w:line="285" w:lineRule="auto"/>
        <w:rPr>
          <w:sz w:val="20"/>
          <w:szCs w:val="20"/>
          <w:color w:val="auto"/>
        </w:rPr>
      </w:pPr>
      <w:r>
        <w:rPr>
          <w:rFonts w:ascii="Times New Roman" w:cs="Times New Roman" w:eastAsia="Times New Roman" w:hAnsi="Times New Roman"/>
          <w:sz w:val="17"/>
          <w:szCs w:val="17"/>
          <w:color w:val="auto"/>
        </w:rPr>
        <w:t>(4)  That, for the purpose of determining liability under the Securities Act of 1933, as amended, to any purchaser:</w:t>
      </w:r>
    </w:p>
    <w:p>
      <w:pPr>
        <w:spacing w:after="0" w:line="50" w:lineRule="exact"/>
        <w:rPr>
          <w:sz w:val="20"/>
          <w:szCs w:val="20"/>
          <w:color w:val="auto"/>
        </w:rPr>
      </w:pPr>
    </w:p>
    <w:p>
      <w:pPr>
        <w:jc w:val="both"/>
        <w:ind w:left="1180" w:right="519" w:firstLine="343"/>
        <w:spacing w:after="0" w:line="269" w:lineRule="auto"/>
        <w:rPr>
          <w:sz w:val="20"/>
          <w:szCs w:val="20"/>
          <w:color w:val="auto"/>
        </w:rPr>
      </w:pPr>
      <w:r>
        <w:rPr>
          <w:rFonts w:ascii="Times New Roman" w:cs="Times New Roman" w:eastAsia="Times New Roman" w:hAnsi="Times New Roman"/>
          <w:sz w:val="17"/>
          <w:szCs w:val="17"/>
          <w:color w:val="auto"/>
        </w:rPr>
        <w:t>(i)  Each prospectus filed by a Registrant pursuant to Rule 424(b)(3) shall be deemed to be part of the registration statement as of the date the filed prospectus was deemed part of and included in the registration statement; and</w:t>
      </w:r>
    </w:p>
    <w:p>
      <w:pPr>
        <w:spacing w:after="0" w:line="62" w:lineRule="exact"/>
        <w:rPr>
          <w:sz w:val="20"/>
          <w:szCs w:val="20"/>
          <w:color w:val="auto"/>
        </w:rPr>
      </w:pPr>
    </w:p>
    <w:p>
      <w:pPr>
        <w:jc w:val="both"/>
        <w:ind w:left="1180" w:right="499" w:firstLine="343"/>
        <w:spacing w:after="0" w:line="262" w:lineRule="auto"/>
        <w:rPr>
          <w:sz w:val="20"/>
          <w:szCs w:val="20"/>
          <w:color w:val="auto"/>
        </w:rPr>
      </w:pPr>
      <w:r>
        <w:rPr>
          <w:rFonts w:ascii="Times New Roman" w:cs="Times New Roman" w:eastAsia="Times New Roman" w:hAnsi="Times New Roman"/>
          <w:sz w:val="17"/>
          <w:szCs w:val="17"/>
          <w:color w:val="auto"/>
        </w:rPr>
        <w:t>(ii)  Each prospectus required to be filed pursuant to Rule 424(b)(2), (b)(5) or (b)(7) as part of a registration statement in reliance on Rule 430B relating to an offering made pursuant to Rule 415(a)(1)(i),</w:t>
      </w:r>
    </w:p>
    <w:p>
      <w:pPr>
        <w:spacing w:after="0" w:line="1" w:lineRule="exact"/>
        <w:rPr>
          <w:sz w:val="20"/>
          <w:szCs w:val="20"/>
          <w:color w:val="auto"/>
        </w:rPr>
      </w:pPr>
    </w:p>
    <w:p>
      <w:pPr>
        <w:jc w:val="both"/>
        <w:ind w:left="1180" w:right="499"/>
        <w:spacing w:after="0" w:line="253" w:lineRule="auto"/>
        <w:tabs>
          <w:tab w:leader="none" w:pos="15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9" w:lineRule="exact"/>
        <w:rPr>
          <w:sz w:val="20"/>
          <w:szCs w:val="20"/>
          <w:color w:val="auto"/>
        </w:rPr>
      </w:pPr>
    </w:p>
    <w:p>
      <w:pPr>
        <w:jc w:val="both"/>
        <w:ind w:left="840" w:right="499" w:firstLine="342"/>
        <w:spacing w:after="0" w:line="259" w:lineRule="auto"/>
        <w:rPr>
          <w:sz w:val="20"/>
          <w:szCs w:val="20"/>
          <w:color w:val="auto"/>
        </w:rPr>
      </w:pPr>
      <w:r>
        <w:rPr>
          <w:rFonts w:ascii="Times New Roman" w:cs="Times New Roman" w:eastAsia="Times New Roman" w:hAnsi="Times New Roman"/>
          <w:sz w:val="17"/>
          <w:szCs w:val="17"/>
          <w:color w:val="auto"/>
        </w:rPr>
        <w:t>(5)  That, for the purpose of determining liability of a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0" w:lineRule="exact"/>
        <w:rPr>
          <w:sz w:val="20"/>
          <w:szCs w:val="20"/>
          <w:color w:val="auto"/>
        </w:rPr>
      </w:pPr>
    </w:p>
    <w:p>
      <w:pPr>
        <w:ind w:left="1180" w:right="519" w:firstLine="343"/>
        <w:spacing w:after="0" w:line="285" w:lineRule="auto"/>
        <w:rPr>
          <w:sz w:val="20"/>
          <w:szCs w:val="20"/>
          <w:color w:val="auto"/>
        </w:rPr>
      </w:pPr>
      <w:r>
        <w:rPr>
          <w:rFonts w:ascii="Times New Roman" w:cs="Times New Roman" w:eastAsia="Times New Roman" w:hAnsi="Times New Roman"/>
          <w:sz w:val="17"/>
          <w:szCs w:val="17"/>
          <w:color w:val="auto"/>
        </w:rPr>
        <w:t>(i)  Any preliminary prospectus or prospectus of the undersigned Registrant relating to the offering required to be filed pursuant to Rule 424;</w:t>
      </w:r>
    </w:p>
    <w:p>
      <w:pPr>
        <w:spacing w:after="0" w:line="50" w:lineRule="exact"/>
        <w:rPr>
          <w:sz w:val="20"/>
          <w:szCs w:val="20"/>
          <w:color w:val="auto"/>
        </w:rPr>
      </w:pPr>
    </w:p>
    <w:p>
      <w:pPr>
        <w:ind w:left="1180" w:right="519" w:firstLine="343"/>
        <w:spacing w:after="0" w:line="285" w:lineRule="auto"/>
        <w:rPr>
          <w:sz w:val="20"/>
          <w:szCs w:val="20"/>
          <w:color w:val="auto"/>
        </w:rPr>
      </w:pPr>
      <w:r>
        <w:rPr>
          <w:rFonts w:ascii="Times New Roman" w:cs="Times New Roman" w:eastAsia="Times New Roman" w:hAnsi="Times New Roman"/>
          <w:sz w:val="17"/>
          <w:szCs w:val="17"/>
          <w:color w:val="auto"/>
        </w:rPr>
        <w:t>(ii)  Any free writing prospectus relating to the offering prepared by or on behalf of the undersigned Registrant or used or referred to by the undersigned Registrant;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31" w:name="page32"/>
    <w:bookmarkEnd w:id="31"/>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1180" w:right="519" w:firstLine="343"/>
        <w:spacing w:after="0" w:line="269" w:lineRule="auto"/>
        <w:rPr>
          <w:sz w:val="20"/>
          <w:szCs w:val="20"/>
          <w:color w:val="auto"/>
        </w:rPr>
      </w:pPr>
      <w:r>
        <w:rPr>
          <w:rFonts w:ascii="Times New Roman" w:cs="Times New Roman" w:eastAsia="Times New Roman" w:hAnsi="Times New Roman"/>
          <w:sz w:val="17"/>
          <w:szCs w:val="17"/>
          <w:color w:val="auto"/>
        </w:rPr>
        <w:t>(iii)  The portion of any other free writing prospectus relating to the offering containing material information about the undersigned Registrant or its securities provided by or on behalf of the undersigned Registrant; and</w:t>
      </w:r>
    </w:p>
    <w:p>
      <w:pPr>
        <w:spacing w:after="0" w:line="62" w:lineRule="exact"/>
        <w:rPr>
          <w:sz w:val="20"/>
          <w:szCs w:val="20"/>
          <w:color w:val="auto"/>
        </w:rPr>
      </w:pPr>
    </w:p>
    <w:p>
      <w:pPr>
        <w:jc w:val="both"/>
        <w:ind w:left="1180" w:right="519" w:firstLine="343"/>
        <w:spacing w:after="0" w:line="285" w:lineRule="auto"/>
        <w:rPr>
          <w:sz w:val="20"/>
          <w:szCs w:val="20"/>
          <w:color w:val="auto"/>
        </w:rPr>
      </w:pPr>
      <w:r>
        <w:rPr>
          <w:rFonts w:ascii="Times New Roman" w:cs="Times New Roman" w:eastAsia="Times New Roman" w:hAnsi="Times New Roman"/>
          <w:sz w:val="17"/>
          <w:szCs w:val="17"/>
          <w:color w:val="auto"/>
        </w:rPr>
        <w:t>(iv)  Any other communication that is an offer in the offering made by the undersigned Registrant to the purchaser.</w:t>
      </w:r>
    </w:p>
    <w:p>
      <w:pPr>
        <w:spacing w:after="0" w:line="50" w:lineRule="exact"/>
        <w:rPr>
          <w:sz w:val="20"/>
          <w:szCs w:val="20"/>
          <w:color w:val="auto"/>
        </w:rPr>
      </w:pPr>
    </w:p>
    <w:p>
      <w:pPr>
        <w:jc w:val="both"/>
        <w:ind w:left="500" w:right="499" w:firstLine="343"/>
        <w:spacing w:after="0" w:line="257" w:lineRule="auto"/>
        <w:rPr>
          <w:sz w:val="20"/>
          <w:szCs w:val="20"/>
          <w:color w:val="auto"/>
        </w:rPr>
      </w:pPr>
      <w:r>
        <w:rPr>
          <w:rFonts w:ascii="Times New Roman" w:cs="Times New Roman" w:eastAsia="Times New Roman" w:hAnsi="Times New Roman"/>
          <w:sz w:val="17"/>
          <w:szCs w:val="17"/>
          <w:color w:val="auto"/>
        </w:rPr>
        <w:t xml:space="preserve">(b)  The undersigned Registrant hereby further undertakes that, for purposes of determining any liability under the Securities Act of 1933, as amended,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offering thereof.</w:t>
      </w:r>
    </w:p>
    <w:p>
      <w:pPr>
        <w:spacing w:after="0" w:line="77"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79" w:lineRule="exact"/>
        <w:rPr>
          <w:sz w:val="20"/>
          <w:szCs w:val="20"/>
          <w:color w:val="auto"/>
        </w:rPr>
      </w:pPr>
    </w:p>
    <w:p>
      <w:pPr>
        <w:jc w:val="both"/>
        <w:ind w:left="500" w:right="519" w:firstLine="343"/>
        <w:spacing w:after="0" w:line="269" w:lineRule="auto"/>
        <w:rPr>
          <w:sz w:val="20"/>
          <w:szCs w:val="20"/>
          <w:color w:val="auto"/>
        </w:rPr>
      </w:pPr>
      <w:r>
        <w:rPr>
          <w:rFonts w:ascii="Times New Roman" w:cs="Times New Roman" w:eastAsia="Times New Roman" w:hAnsi="Times New Roman"/>
          <w:sz w:val="17"/>
          <w:szCs w:val="17"/>
          <w:color w:val="auto"/>
        </w:rPr>
        <w:t>(d)  The undersigned Registrant hereby further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734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665734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32" w:name="page33"/>
    <w:bookmarkEnd w:id="32"/>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7" w:lineRule="exact"/>
        <w:rPr>
          <w:sz w:val="20"/>
          <w:szCs w:val="20"/>
          <w:color w:val="auto"/>
        </w:rPr>
      </w:pPr>
    </w:p>
    <w:p>
      <w:pPr>
        <w:jc w:val="both"/>
        <w:ind w:left="500" w:right="519" w:firstLine="343"/>
        <w:spacing w:after="0" w:line="26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Malvern, Commonwealth of Pennsylvania, on June 29, 2026.</w:t>
      </w:r>
    </w:p>
    <w:p>
      <w:pPr>
        <w:spacing w:after="0" w:line="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VISHAY INTERTECHNOLOGY, INC.</w:t>
      </w:r>
    </w:p>
    <w:p>
      <w:pPr>
        <w:spacing w:after="0" w:line="220" w:lineRule="exact"/>
        <w:rPr>
          <w:sz w:val="20"/>
          <w:szCs w:val="20"/>
          <w:color w:val="auto"/>
        </w:rPr>
      </w:pPr>
    </w:p>
    <w:tbl>
      <w:tblPr>
        <w:tblLayout w:type="fixed"/>
        <w:tblInd w:w="416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L. Tomlinson</w:t>
            </w:r>
          </w:p>
        </w:tc>
      </w:tr>
      <w:tr>
        <w:trPr>
          <w:trHeight w:val="182"/>
        </w:trPr>
        <w:tc>
          <w:tcPr>
            <w:tcW w:w="6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David L. Tomlinson</w:t>
            </w: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 and Chief Accounting Officer</w:t>
            </w: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7" w:lineRule="exact"/>
        <w:rPr>
          <w:sz w:val="20"/>
          <w:szCs w:val="20"/>
          <w:color w:val="auto"/>
        </w:rPr>
      </w:pPr>
    </w:p>
    <w:p>
      <w:pPr>
        <w:jc w:val="both"/>
        <w:ind w:left="500" w:right="499" w:firstLine="343"/>
        <w:spacing w:after="0" w:line="255"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Joel Smejkal, David McConnell, Michael O’Sullivan and David Tomlinson, or any of them, his or her true and lawful attorneys-in-fact and agents, with full power of substitution and resubstitution, for such person and in such person’s name, place and stead, in any and all capacities, to sign any and all amendments to this Registration Statement (including post-effective amendments) and any related registration statements filed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might or would do in person, hereby ratifying and confirming all that said attorneys-in-fact and agents or any of them, or their or his substitute or substitutes, may lawfully do or cause to be done by virtue hereof.</w:t>
      </w:r>
    </w:p>
    <w:p>
      <w:pPr>
        <w:spacing w:after="0" w:line="79" w:lineRule="exact"/>
        <w:rPr>
          <w:sz w:val="20"/>
          <w:szCs w:val="20"/>
          <w:color w:val="auto"/>
        </w:rPr>
      </w:pPr>
    </w:p>
    <w:p>
      <w:pPr>
        <w:jc w:val="both"/>
        <w:ind w:left="500" w:right="519" w:firstLine="343"/>
        <w:spacing w:after="0" w:line="28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his Registration Statement has been signed below by the following persons in the capacities indicated on June 29, 2026.</w:t>
      </w:r>
    </w:p>
    <w:p>
      <w:pPr>
        <w:spacing w:after="0" w:line="16" w:lineRule="exact"/>
        <w:rPr>
          <w:sz w:val="20"/>
          <w:szCs w:val="20"/>
          <w:color w:val="auto"/>
        </w:rPr>
      </w:pPr>
    </w:p>
    <w:p>
      <w:pPr>
        <w:ind w:left="1860"/>
        <w:spacing w:after="0"/>
        <w:tabs>
          <w:tab w:leader="none" w:pos="61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11430</wp:posOffset>
            </wp:positionV>
            <wp:extent cx="50907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090795" cy="825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Joel Smejkal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Joel Smejkal</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David E.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David E. McConnell</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David L.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David L. Tomlinson</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Marc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Marc Zandman</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Dr. Renee B.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Dr. Renee B. Booth</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Michael J. Cody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Michael J. Cody</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Dr. Michiko Kurahashi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Dr. Michiko Kurahashi</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/s/ Dr. Abraham Ludomirski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24130</wp:posOffset>
            </wp:positionV>
            <wp:extent cx="20885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Dr. Abraham Ludomirski</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John Malvisi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John Malvisi</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Ruta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Ruta Zandman</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 Raanan Zilberman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wp:posOffset>
            </wp:positionV>
            <wp:extent cx="208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Raanan Zilberman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11" w:lineRule="exact"/>
        <w:rPr>
          <w:sz w:val="20"/>
          <w:szCs w:val="20"/>
          <w:color w:val="auto"/>
        </w:rPr>
      </w:pPr>
    </w:p>
    <w:p>
      <w:pPr>
        <w:ind w:right="1379"/>
        <w:spacing w:after="0" w:line="285"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 Officer)</w:t>
      </w:r>
    </w:p>
    <w:p>
      <w:pPr>
        <w:spacing w:after="0" w:line="165" w:lineRule="exact"/>
        <w:rPr>
          <w:sz w:val="20"/>
          <w:szCs w:val="20"/>
          <w:color w:val="auto"/>
        </w:rPr>
      </w:pPr>
    </w:p>
    <w:p>
      <w:pPr>
        <w:ind w:right="1459"/>
        <w:spacing w:after="0" w:line="285" w:lineRule="auto"/>
        <w:rPr>
          <w:sz w:val="20"/>
          <w:szCs w:val="20"/>
          <w:color w:val="auto"/>
        </w:rPr>
      </w:pPr>
      <w:r>
        <w:rPr>
          <w:rFonts w:ascii="Times New Roman" w:cs="Times New Roman" w:eastAsia="Times New Roman" w:hAnsi="Times New Roman"/>
          <w:sz w:val="17"/>
          <w:szCs w:val="17"/>
          <w:color w:val="auto"/>
        </w:rPr>
        <w:t>Senior Vice President and Chief Accounting Officer (Principal Accounting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Chairman of the Board of Directors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409" w:lineRule="exact"/>
        <w:rPr>
          <w:sz w:val="20"/>
          <w:szCs w:val="20"/>
          <w:color w:val="auto"/>
        </w:rPr>
      </w:pPr>
    </w:p>
    <w:p>
      <w:pPr>
        <w:sectPr>
          <w:pgSz w:w="11900" w:h="16838" w:orient="portrait"/>
          <w:cols w:equalWidth="0" w:num="2">
            <w:col w:w="3280" w:space="720"/>
            <w:col w:w="5019"/>
          </w:cols>
          <w:pgMar w:left="1440" w:top="256" w:right="1440" w:bottom="1440" w:gutter="0" w:footer="0" w:header="0"/>
          <w:type w:val="continuous"/>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ectPr>
          <w:pgSz w:w="11900" w:h="16838" w:orient="portrait"/>
          <w:cols w:equalWidth="0" w:num="1">
            <w:col w:w="9019"/>
          </w:cols>
          <w:pgMar w:left="1440" w:top="256" w:right="1440"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4.4</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VISHAY INTERTECHNOLOGY, INC.</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199" w:lineRule="exact"/>
        <w:rPr>
          <w:sz w:val="20"/>
          <w:szCs w:val="20"/>
          <w:color w:val="auto"/>
        </w:rPr>
      </w:pPr>
    </w:p>
    <w:p>
      <w:pPr>
        <w:ind w:left="3500"/>
        <w:spacing w:after="0"/>
        <w:tabs>
          <w:tab w:leader="none" w:pos="4800" w:val="left"/>
          <w:tab w:leader="none" w:pos="5420" w:val="left"/>
        </w:tabs>
        <w:rPr>
          <w:sz w:val="20"/>
          <w:szCs w:val="20"/>
          <w:color w:val="auto"/>
        </w:rPr>
      </w:pPr>
      <w:r>
        <w:rPr>
          <w:rFonts w:ascii="Times New Roman" w:cs="Times New Roman" w:eastAsia="Times New Roman" w:hAnsi="Times New Roman"/>
          <w:sz w:val="17"/>
          <w:szCs w:val="17"/>
          <w:color w:val="auto"/>
        </w:rPr>
        <w:t>Dated as of [</w:t>
      </w:r>
      <w:r>
        <w:rPr>
          <w:sz w:val="20"/>
          <w:szCs w:val="20"/>
          <w:color w:val="auto"/>
        </w:rPr>
        <w:tab/>
      </w: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[___________]</w:t>
      </w:r>
    </w:p>
    <w:p>
      <w:pPr>
        <w:spacing w:after="0" w:line="21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253365</wp:posOffset>
            </wp:positionV>
            <wp:extent cx="713867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26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2020" w:type="dxa"/>
            <w:vAlign w:val="bottom"/>
          </w:tcPr>
          <w:p>
            <w:pPr>
              <w:spacing w:after="0"/>
              <w:rPr>
                <w:sz w:val="19"/>
                <w:szCs w:val="19"/>
                <w:color w:val="auto"/>
              </w:rPr>
            </w:pPr>
          </w:p>
        </w:tc>
        <w:tc>
          <w:tcPr>
            <w:tcW w:w="6600" w:type="dxa"/>
            <w:vAlign w:val="bottom"/>
          </w:tcPr>
          <w:p>
            <w:pPr>
              <w:ind w:left="26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640" w:type="dxa"/>
            <w:vAlign w:val="bottom"/>
            <w:gridSpan w:val="3"/>
          </w:tcPr>
          <w:p>
            <w:pPr>
              <w:ind w:left="2100"/>
              <w:spacing w:after="0"/>
              <w:rPr>
                <w:sz w:val="20"/>
                <w:szCs w:val="20"/>
                <w:color w:val="auto"/>
              </w:rPr>
            </w:pPr>
            <w:r>
              <w:rPr>
                <w:rFonts w:ascii="Times New Roman" w:cs="Times New Roman" w:eastAsia="Times New Roman" w:hAnsi="Times New Roman"/>
                <w:sz w:val="17"/>
                <w:szCs w:val="17"/>
                <w:b w:val="1"/>
                <w:bCs w:val="1"/>
                <w:color w:val="auto"/>
                <w:w w:val="98"/>
              </w:rPr>
              <w:t>Page(s)</w:t>
            </w:r>
          </w:p>
        </w:tc>
        <w:tc>
          <w:tcPr>
            <w:tcW w:w="0" w:type="dxa"/>
            <w:vAlign w:val="bottom"/>
          </w:tcPr>
          <w:p>
            <w:pPr>
              <w:spacing w:after="0"/>
              <w:rPr>
                <w:sz w:val="1"/>
                <w:szCs w:val="1"/>
                <w:color w:val="auto"/>
              </w:rPr>
            </w:pPr>
          </w:p>
        </w:tc>
      </w:tr>
      <w:tr>
        <w:trPr>
          <w:trHeight w:val="224"/>
        </w:trPr>
        <w:tc>
          <w:tcPr>
            <w:tcW w:w="20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 DEFINITIONS AND INCORPORATION BY REFERENCE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1.1.</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Definitions.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1.2.</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Definitions.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1.3.</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Incorporation by Reference of Trust Indenture Act.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1.4.</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Rules of Construction,</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tcPr>
          <w:p>
            <w:pPr>
              <w:spacing w:after="0"/>
              <w:rPr>
                <w:sz w:val="17"/>
                <w:szCs w:val="17"/>
                <w:color w:val="auto"/>
              </w:rPr>
            </w:pPr>
          </w:p>
        </w:tc>
        <w:tc>
          <w:tcPr>
            <w:tcW w:w="2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II. THE SECURITIES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2.1.</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Issuable in Series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2.2.</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Establishment of Terms of Series of Securities.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2.3.</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Execution and Authentication.</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2.4.</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Registrar and Paying Agent.</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2.5.</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Paying Agent to Hold Money in Trust.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2.6.</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Securityholder Lists.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2.7.</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 and Exchange.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2.8.</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Mutilated, Destroyed, Lost and Stolen Securities.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2.9.</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Securities.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2.10.</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Securities.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2.11.</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Temporary Securities.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2.12.</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Cancellation.</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2.13.</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Defaulted Interest.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2.14.</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Securities.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2.15.</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CUSIP Numbers.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REDEMPTION</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3.1.</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Notice to Trustee.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3.2.</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Selection of Securities to be Redeemed.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3.3.</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Notice of Redemption.</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3.4.</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Notice of Redemption.</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3.5.</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 of Redemption Price.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3.6.</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Redeemed in Part.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COVENANTS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4.1.</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Principal and Interest.</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4.2.</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 Reports.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4.3.</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Compliance Certificate.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4.4.</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Stay, Extension and Usury Laws.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w w:val="98"/>
              </w:rPr>
              <w:t>ARTICLE V. SUCCESSORS</w:t>
            </w:r>
          </w:p>
        </w:tc>
        <w:tc>
          <w:tcPr>
            <w:tcW w:w="6600" w:type="dxa"/>
            <w:vAlign w:val="bottom"/>
          </w:tcPr>
          <w:p>
            <w:pPr>
              <w:spacing w:after="0"/>
              <w:rPr>
                <w:sz w:val="17"/>
                <w:szCs w:val="17"/>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5.1.</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When Company May Merge, Etc.</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5.2.</w:t>
            </w:r>
          </w:p>
        </w:tc>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Successor Entity Substituted.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DEFAULTS AND REMEDIES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6.1.</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Events of Default.</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6.2.</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Acceleration of Maturity; Rescission and Annulment.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6.3.</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Collection of Indebtedness and Suits for Enforcement by Trustee.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6.4.</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Trustee May File Proofs of Claim.</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6.5.</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Trustee May Enforce Claims Without Possession of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6.6.</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Application of Money Collected.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6.7.</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Limitation on Suits.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6.8.</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Unconditional Right of Holders to Receive Principal and Interest.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6.9.</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Restoration of Rights and Remedies.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6.10.</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Rights and Remedies Cumulative.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6.11.</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Delay or Omission Not 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6.12.</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Control by Holders.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6.13.</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Waiver of Past Defaults.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6.14.</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Undertaking for Costs.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6"/>
        </w:trPr>
        <w:tc>
          <w:tcPr>
            <w:tcW w:w="194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VII. TRUSTEE</w:t>
            </w:r>
          </w:p>
        </w:tc>
        <w:tc>
          <w:tcPr>
            <w:tcW w:w="686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7.1.</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Duties of Trustee.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7.2.</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Rights of Trustee.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7.3.</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Individual Rights of Trustee.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7.4.</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Trustee’s Disclaimer.</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7.5.</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 of Defaults.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7.6.</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Reports by Trustee to Holders.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7.7.</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Compensation and Indemnity.</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7.8.</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Replacement of Trustee.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7.9.</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Successor Trustee by Merger,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7.10.</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Eligibility; Disqualification.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7.11.</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Preferential Collection of Claims Against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6"/>
        </w:trPr>
        <w:tc>
          <w:tcPr>
            <w:tcW w:w="8800" w:type="dxa"/>
            <w:vAlign w:val="bottom"/>
            <w:gridSpan w:val="2"/>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06"/>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SATISFACTION AND DISCHARGE; DEFEASANCE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8.1.</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Satisfaction and Discharge of Indenture.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8.2.</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Application of Trust Funds; Indemnification.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8.3.</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Legal Defeasance of Securities of any Series.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8.4.</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Covenant Defeasance.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8.5.</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Repayment to Company.</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8.6.</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Reinstatement.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6"/>
        </w:trPr>
        <w:tc>
          <w:tcPr>
            <w:tcW w:w="8800" w:type="dxa"/>
            <w:vAlign w:val="bottom"/>
            <w:gridSpan w:val="2"/>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06"/>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AMENDMENTS AND WAIVERS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9.1.</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Without Consent of Holders.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9.2.</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With Consent of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9.3.</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Limitations.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9.4.</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Compliance with Trust Indenture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9.5.</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Revocation and Effect of Consents.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6"/>
        </w:trPr>
        <w:tc>
          <w:tcPr>
            <w:tcW w:w="1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9.6.</w:t>
            </w:r>
          </w:p>
        </w:tc>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Notation on or Exchange of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6"/>
        </w:trPr>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9.7.</w:t>
            </w: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Trustee Protected.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X. MISCELLANEOUS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10.1.</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Trust Indenture Act Controls.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10.2.</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Notices.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10.3.</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Communication by Holders with Other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10.4.</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Certificate and Opinion as to Conditions Precedent.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10.5.</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Statements Required in Certificate or Opinion.</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10.6.</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Rules by Trustee and Agents.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10.7.</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Legal Holidays.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10.8.</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No Recourse Against Others.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10.9.</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10.10.</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Governing Law; Waiver of Jury Trial; Consent to Jurisdiction.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10.11.</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 Adverse Interpretation of Other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10.12.</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Successors.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10.13.</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10.14.</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Table of Contents, Headings, Etc.</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10.15.</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Securities in a Foreign Currency.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10.16.</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Judgment Currency.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10.17.</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USA Patriot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10.18.</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Force Majeure.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6"/>
        </w:trPr>
        <w:tc>
          <w:tcPr>
            <w:tcW w:w="8680" w:type="dxa"/>
            <w:vAlign w:val="bottom"/>
            <w:gridSpan w:val="2"/>
          </w:tcPr>
          <w:p>
            <w:pPr>
              <w:spacing w:after="0"/>
              <w:rPr>
                <w:sz w:val="17"/>
                <w:szCs w:val="17"/>
                <w:color w:val="auto"/>
              </w:rPr>
            </w:pPr>
          </w:p>
        </w:tc>
        <w:tc>
          <w:tcPr>
            <w:tcW w:w="2560" w:type="dxa"/>
            <w:vAlign w:val="bottom"/>
          </w:tcPr>
          <w:p>
            <w:pPr>
              <w:spacing w:after="0"/>
              <w:rPr>
                <w:sz w:val="17"/>
                <w:szCs w:val="17"/>
                <w:color w:val="auto"/>
              </w:rPr>
            </w:pPr>
          </w:p>
        </w:tc>
      </w:tr>
      <w:tr>
        <w:trPr>
          <w:trHeight w:val="20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XI. SINKING FUNDS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11.1.</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Applicability of Article.</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11.2.</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Satisfaction of Sinking Fund Payments with Securities.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11.3.</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Redemption of Securities for Sinking Fund.</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6"/>
        </w:trPr>
        <w:tc>
          <w:tcPr>
            <w:tcW w:w="8680" w:type="dxa"/>
            <w:vAlign w:val="bottom"/>
            <w:gridSpan w:val="2"/>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06"/>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XII. GUARANTEE</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12.1.</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Unconditional Guarantee.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6"/>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12.2.</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Execution and Delivery of Notation of Guarantee.</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6"/>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Section 12.3.</w:t>
            </w:r>
          </w:p>
        </w:tc>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Limitation on Guarantors’ Liability.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3"/>
        </w:trPr>
        <w:tc>
          <w:tcPr>
            <w:tcW w:w="1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Section 12.4.</w:t>
            </w:r>
          </w:p>
        </w:tc>
        <w:tc>
          <w:tcPr>
            <w:tcW w:w="6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Release of Guarantors from Guarantee.</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jc w:val="right"/>
        <w:ind w:right="4099"/>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 Form of Notation of Guarantee</w:t>
      </w: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27"/>
        </w:trPr>
        <w:tc>
          <w:tcPr>
            <w:tcW w:w="1980" w:type="dxa"/>
            <w:vAlign w:val="bottom"/>
          </w:tcPr>
          <w:p>
            <w:pPr>
              <w:spacing w:after="0"/>
              <w:rPr>
                <w:sz w:val="19"/>
                <w:szCs w:val="19"/>
                <w:color w:val="auto"/>
              </w:rPr>
            </w:pPr>
          </w:p>
        </w:tc>
        <w:tc>
          <w:tcPr>
            <w:tcW w:w="9260" w:type="dxa"/>
            <w:vAlign w:val="bottom"/>
            <w:gridSpan w:val="2"/>
          </w:tcPr>
          <w:p>
            <w:pPr>
              <w:jc w:val="center"/>
              <w:ind w:right="1874"/>
              <w:spacing w:after="0"/>
              <w:rPr>
                <w:sz w:val="20"/>
                <w:szCs w:val="20"/>
                <w:color w:val="auto"/>
              </w:rPr>
            </w:pPr>
            <w:r>
              <w:rPr>
                <w:rFonts w:ascii="Times New Roman" w:cs="Times New Roman" w:eastAsia="Times New Roman" w:hAnsi="Times New Roman"/>
                <w:sz w:val="17"/>
                <w:szCs w:val="17"/>
                <w:b w:val="1"/>
                <w:bCs w:val="1"/>
                <w:color w:val="auto"/>
                <w:w w:val="99"/>
              </w:rPr>
              <w:t>VISHAY INTERTECHNOLOGY, INC.</w:t>
            </w:r>
          </w:p>
        </w:tc>
      </w:tr>
      <w:tr>
        <w:trPr>
          <w:trHeight w:val="394"/>
        </w:trPr>
        <w:tc>
          <w:tcPr>
            <w:tcW w:w="1980" w:type="dxa"/>
            <w:vAlign w:val="bottom"/>
          </w:tcPr>
          <w:p>
            <w:pPr>
              <w:spacing w:after="0"/>
              <w:rPr>
                <w:sz w:val="24"/>
                <w:szCs w:val="24"/>
                <w:color w:val="auto"/>
              </w:rPr>
            </w:pPr>
          </w:p>
        </w:tc>
        <w:tc>
          <w:tcPr>
            <w:tcW w:w="9260" w:type="dxa"/>
            <w:vAlign w:val="bottom"/>
            <w:gridSpan w:val="2"/>
          </w:tcPr>
          <w:p>
            <w:pPr>
              <w:jc w:val="center"/>
              <w:ind w:right="1874"/>
              <w:spacing w:after="0"/>
              <w:rPr>
                <w:sz w:val="20"/>
                <w:szCs w:val="20"/>
                <w:color w:val="auto"/>
              </w:rPr>
            </w:pPr>
            <w:r>
              <w:rPr>
                <w:rFonts w:ascii="Times New Roman" w:cs="Times New Roman" w:eastAsia="Times New Roman" w:hAnsi="Times New Roman"/>
                <w:sz w:val="17"/>
                <w:szCs w:val="17"/>
                <w:color w:val="auto"/>
              </w:rPr>
              <w:t>Reconciliation and tie between Trust Indenture Act of 1939 and Indenture,</w:t>
            </w:r>
          </w:p>
        </w:tc>
      </w:tr>
      <w:tr>
        <w:trPr>
          <w:trHeight w:val="223"/>
        </w:trPr>
        <w:tc>
          <w:tcPr>
            <w:tcW w:w="1980" w:type="dxa"/>
            <w:vAlign w:val="bottom"/>
          </w:tcPr>
          <w:p>
            <w:pPr>
              <w:spacing w:after="0"/>
              <w:rPr>
                <w:sz w:val="19"/>
                <w:szCs w:val="19"/>
                <w:color w:val="auto"/>
              </w:rPr>
            </w:pPr>
          </w:p>
        </w:tc>
        <w:tc>
          <w:tcPr>
            <w:tcW w:w="9260" w:type="dxa"/>
            <w:vAlign w:val="bottom"/>
            <w:gridSpan w:val="2"/>
          </w:tcPr>
          <w:p>
            <w:pPr>
              <w:jc w:val="center"/>
              <w:ind w:right="1834"/>
              <w:spacing w:after="0"/>
              <w:rPr>
                <w:sz w:val="20"/>
                <w:szCs w:val="20"/>
                <w:color w:val="auto"/>
              </w:rPr>
            </w:pPr>
            <w:r>
              <w:rPr>
                <w:rFonts w:ascii="Times New Roman" w:cs="Times New Roman" w:eastAsia="Times New Roman" w:hAnsi="Times New Roman"/>
                <w:sz w:val="17"/>
                <w:szCs w:val="17"/>
                <w:color w:val="auto"/>
              </w:rPr>
              <w:t>dated as of [_________], [_____]</w:t>
            </w:r>
          </w:p>
        </w:tc>
      </w:tr>
      <w:tr>
        <w:trPr>
          <w:trHeight w:val="211"/>
        </w:trPr>
        <w:tc>
          <w:tcPr>
            <w:tcW w:w="19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310(a)(1)</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7.10</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(a)(2)</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7.10</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(a)(3)</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(a)(4)</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(a)(5)</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7.10</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7.10</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311(a)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7.11</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7.11</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312(a)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10.3</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10.3</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313(a)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r>
      <w:tr>
        <w:trPr>
          <w:trHeight w:val="211"/>
        </w:trPr>
        <w:tc>
          <w:tcPr>
            <w:tcW w:w="1980" w:type="dxa"/>
            <w:vAlign w:val="bottom"/>
            <w:tcBorders>
              <w:left w:val="single" w:sz="8" w:color="auto"/>
              <w:bottom w:val="single" w:sz="8" w:color="auto"/>
            </w:tcBorders>
          </w:tcPr>
          <w:p>
            <w:pPr>
              <w:ind w:left="140"/>
              <w:spacing w:after="0" w:line="205" w:lineRule="exact"/>
              <w:rPr>
                <w:sz w:val="20"/>
                <w:szCs w:val="20"/>
                <w:color w:val="auto"/>
              </w:rPr>
            </w:pPr>
            <w:r>
              <w:rPr>
                <w:rFonts w:ascii="Times New Roman" w:cs="Times New Roman" w:eastAsia="Times New Roman" w:hAnsi="Times New Roman"/>
                <w:sz w:val="15"/>
                <w:szCs w:val="15"/>
                <w:color w:val="auto"/>
              </w:rPr>
              <w:t>(b)(</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r>
      <w:tr>
        <w:trPr>
          <w:trHeight w:val="211"/>
        </w:trPr>
        <w:tc>
          <w:tcPr>
            <w:tcW w:w="1980" w:type="dxa"/>
            <w:vAlign w:val="bottom"/>
            <w:tcBorders>
              <w:left w:val="single" w:sz="8" w:color="auto"/>
              <w:bottom w:val="single" w:sz="8" w:color="auto"/>
            </w:tcBorders>
          </w:tcPr>
          <w:p>
            <w:pPr>
              <w:ind w:left="140"/>
              <w:spacing w:after="0" w:line="205" w:lineRule="exact"/>
              <w:rPr>
                <w:sz w:val="20"/>
                <w:szCs w:val="20"/>
                <w:color w:val="auto"/>
              </w:rPr>
            </w:pPr>
            <w:r>
              <w:rPr>
                <w:rFonts w:ascii="Times New Roman" w:cs="Times New Roman" w:eastAsia="Times New Roman" w:hAnsi="Times New Roman"/>
                <w:sz w:val="15"/>
                <w:szCs w:val="15"/>
                <w:color w:val="auto"/>
              </w:rPr>
              <w:t>(b)(</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(c)(1)</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(c)(2)</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(c)(3)</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314 (a)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4.2, 10.5</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(c)(1)</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(c)(2)</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(c)(3)</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10.5</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Not Applicable</w:t>
            </w:r>
          </w:p>
        </w:tc>
      </w:tr>
      <w:tr>
        <w:trPr>
          <w:trHeight w:val="211"/>
        </w:trPr>
        <w:tc>
          <w:tcPr>
            <w:tcW w:w="19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 315(a)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6.14</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316(a)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2.10</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(a)(1)(A)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6.12</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(a)(1)(B)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6.13</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6.8</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9.5</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317(a)(1)</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6.3</w:t>
            </w:r>
          </w:p>
        </w:tc>
      </w:tr>
      <w:tr>
        <w:trPr>
          <w:trHeight w:val="211"/>
        </w:trPr>
        <w:tc>
          <w:tcPr>
            <w:tcW w:w="1980" w:type="dxa"/>
            <w:vAlign w:val="bottom"/>
            <w:tcBorders>
              <w:left w:val="single" w:sz="8" w:color="auto"/>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(a)(2)</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r>
      <w:tr>
        <w:trPr>
          <w:trHeight w:val="211"/>
        </w:trPr>
        <w:tc>
          <w:tcPr>
            <w:tcW w:w="19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318(a)</w:t>
            </w:r>
          </w:p>
        </w:tc>
        <w:tc>
          <w:tcPr>
            <w:tcW w:w="36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This reconciliation and tie shall not, for any purpose, be deemed to be part of the Indenture.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ind w:left="620"/>
        <w:spacing w:after="0"/>
        <w:rPr>
          <w:sz w:val="20"/>
          <w:szCs w:val="20"/>
          <w:color w:val="auto"/>
        </w:rPr>
      </w:pPr>
      <w:r>
        <w:rPr>
          <w:rFonts w:ascii="Times New Roman" w:cs="Times New Roman" w:eastAsia="Times New Roman" w:hAnsi="Times New Roman"/>
          <w:sz w:val="17"/>
          <w:szCs w:val="17"/>
          <w:color w:val="auto"/>
        </w:rPr>
        <w:t xml:space="preserve">Indenture, dated as of [_______], [____], among VISHAY INTERTECHNOLOGY,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Guarantors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defined herein) party hereto and [________], a [__________],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Each party agrees as follows for the benefit of the other party and for the equal and ratable benefit of the Holders of the Securities issued under this Indenture.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 AND INCORPORATION BY REFERENCE</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16"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“Additional Amounts” </w:t>
      </w:r>
      <w:r>
        <w:rPr>
          <w:rFonts w:ascii="Times New Roman" w:cs="Times New Roman" w:eastAsia="Times New Roman" w:hAnsi="Times New Roman"/>
          <w:sz w:val="17"/>
          <w:szCs w:val="17"/>
          <w:color w:val="auto"/>
        </w:rPr>
        <w:t>means any additional amounts which are required hereby or by any Security, under circumstances specified herein or therein,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paid by the Company in respect of certain taxes imposed on Holders specified herein or therein and which are owing to such Holders.</w:t>
      </w:r>
    </w:p>
    <w:p>
      <w:pPr>
        <w:spacing w:after="0" w:line="144" w:lineRule="exact"/>
        <w:rPr>
          <w:sz w:val="20"/>
          <w:szCs w:val="20"/>
          <w:color w:val="auto"/>
        </w:rPr>
      </w:pPr>
    </w:p>
    <w:p>
      <w:pPr>
        <w:jc w:val="both"/>
        <w:ind w:firstLine="617"/>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“Affiliate” </w:t>
      </w:r>
      <w:r>
        <w:rPr>
          <w:rFonts w:ascii="Times New Roman" w:cs="Times New Roman" w:eastAsia="Times New Roman" w:hAnsi="Times New Roman"/>
          <w:sz w:val="17"/>
          <w:szCs w:val="17"/>
          <w:color w:val="auto"/>
        </w:rPr>
        <w:t>of any specified person means any other person directly or indirectly controlling or controlled by or under common control with such specified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person. For the purposes of this definition,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xml:space="preserve"> (including, with correlative meanings, the terms </w:t>
      </w:r>
      <w:r>
        <w:rPr>
          <w:rFonts w:ascii="Times New Roman" w:cs="Times New Roman" w:eastAsia="Times New Roman" w:hAnsi="Times New Roman"/>
          <w:sz w:val="17"/>
          <w:szCs w:val="17"/>
          <w:b w:val="1"/>
          <w:bCs w:val="1"/>
          <w:color w:val="auto"/>
        </w:rPr>
        <w:t>“controlled by”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“under common control with”</w:t>
      </w:r>
      <w:r>
        <w:rPr>
          <w:rFonts w:ascii="Times New Roman" w:cs="Times New Roman" w:eastAsia="Times New Roman" w:hAnsi="Times New Roman"/>
          <w:sz w:val="17"/>
          <w:szCs w:val="17"/>
          <w:color w:val="auto"/>
        </w:rPr>
        <w:t>),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“Agent” </w:t>
      </w:r>
      <w:r>
        <w:rPr>
          <w:rFonts w:ascii="Times New Roman" w:cs="Times New Roman" w:eastAsia="Times New Roman" w:hAnsi="Times New Roman"/>
          <w:sz w:val="17"/>
          <w:szCs w:val="17"/>
          <w:color w:val="auto"/>
        </w:rPr>
        <w:t>means any Registrar, Paying Agent or Notice Agent.</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“Board of Directors” </w:t>
      </w:r>
      <w:r>
        <w:rPr>
          <w:rFonts w:ascii="Times New Roman" w:cs="Times New Roman" w:eastAsia="Times New Roman" w:hAnsi="Times New Roman"/>
          <w:sz w:val="17"/>
          <w:szCs w:val="17"/>
          <w:color w:val="auto"/>
        </w:rPr>
        <w:t>means the board of directors of the Company or any duly authorized committee thereof.</w:t>
      </w:r>
    </w:p>
    <w:p>
      <w:pPr>
        <w:spacing w:after="0" w:line="216"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“Board Resolution” </w:t>
      </w:r>
      <w:r>
        <w:rPr>
          <w:rFonts w:ascii="Times New Roman" w:cs="Times New Roman" w:eastAsia="Times New Roman" w:hAnsi="Times New Roman"/>
          <w:sz w:val="17"/>
          <w:szCs w:val="17"/>
          <w:color w:val="auto"/>
        </w:rPr>
        <w:t>means a copy of a resolution certified by the Secretary or an Assistant Secretary of the Company to have been adopted by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 or pursuant to authorization by the Board of Directors and to be in full force and effect on the date of the certificate and delivered to the Trustee.</w:t>
      </w:r>
    </w:p>
    <w:p>
      <w:pPr>
        <w:spacing w:after="0" w:line="144" w:lineRule="exact"/>
        <w:rPr>
          <w:sz w:val="20"/>
          <w:szCs w:val="20"/>
          <w:color w:val="auto"/>
        </w:rPr>
      </w:pPr>
    </w:p>
    <w:p>
      <w:pPr>
        <w:jc w:val="both"/>
        <w:ind w:firstLine="617"/>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unless otherwise provided by Board Resolution, Officer’s Certificate or supplemental indenture hereto for a particular Series, any day except a Saturday, Sunday, a day on which banking institutions in the state in which the Corporate Trust Office is located or a legal holiday in The City of New York (or in connection with any payment, the place of payment) on which banking institutions are authorized or required by law, regulation or executive order to close.</w:t>
      </w:r>
    </w:p>
    <w:p>
      <w:pPr>
        <w:spacing w:after="0" w:line="164"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“Capital Stock” </w:t>
      </w:r>
      <w:r>
        <w:rPr>
          <w:rFonts w:ascii="Times New Roman" w:cs="Times New Roman" w:eastAsia="Times New Roman" w:hAnsi="Times New Roman"/>
          <w:sz w:val="17"/>
          <w:szCs w:val="17"/>
          <w:color w:val="auto"/>
        </w:rPr>
        <w:t>means (a) in the case of a corporation, corporate stock; (b) in the case of an association or business entity, any and all shares, interests,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participations, rights or other equivalents (however designated and whether or not voting) of corporate stock, including each class of common stock and preferred stock of such person; and (c) in the case of a partnership or limited liability company, partnership or membership interests (whether general or limited).</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“Code” </w:t>
      </w:r>
      <w:r>
        <w:rPr>
          <w:rFonts w:ascii="Times New Roman" w:cs="Times New Roman" w:eastAsia="Times New Roman" w:hAnsi="Times New Roman"/>
          <w:sz w:val="17"/>
          <w:szCs w:val="17"/>
          <w:color w:val="auto"/>
        </w:rPr>
        <w:t>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713867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17"/>
          <w:szCs w:val="17"/>
          <w:color w:val="auto"/>
        </w:rPr>
        <w:t>means the party named as such above until a successor replaces it and thereafter means the successor.</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“Company Order” </w:t>
      </w:r>
      <w:r>
        <w:rPr>
          <w:rFonts w:ascii="Times New Roman" w:cs="Times New Roman" w:eastAsia="Times New Roman" w:hAnsi="Times New Roman"/>
          <w:sz w:val="17"/>
          <w:szCs w:val="17"/>
          <w:color w:val="auto"/>
        </w:rPr>
        <w:t>means a written order signed in the name of the Company by an Officer.</w:t>
      </w:r>
    </w:p>
    <w:p>
      <w:pPr>
        <w:spacing w:after="0" w:line="216"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“Corporate Trust Office” </w:t>
      </w:r>
      <w:r>
        <w:rPr>
          <w:rFonts w:ascii="Times New Roman" w:cs="Times New Roman" w:eastAsia="Times New Roman" w:hAnsi="Times New Roman"/>
          <w:sz w:val="17"/>
          <w:szCs w:val="17"/>
          <w:color w:val="auto"/>
        </w:rPr>
        <w:t>means the office of the Trustee at which at any particular time its corporate trust business related to this Indenture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principally administered, which office at the date of the Indenture is located at the address set forth in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or such other address as the Trustee may designate from time to time by notice to the Holders and the Company.</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“CUSIP” </w:t>
      </w:r>
      <w:r>
        <w:rPr>
          <w:rFonts w:ascii="Times New Roman" w:cs="Times New Roman" w:eastAsia="Times New Roman" w:hAnsi="Times New Roman"/>
          <w:sz w:val="17"/>
          <w:szCs w:val="17"/>
          <w:color w:val="auto"/>
        </w:rPr>
        <w:t>means the Committee on Uniform Security Identification Procedures and will be used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“Default” </w:t>
      </w:r>
      <w:r>
        <w:rPr>
          <w:rFonts w:ascii="Times New Roman" w:cs="Times New Roman" w:eastAsia="Times New Roman" w:hAnsi="Times New Roman"/>
          <w:sz w:val="17"/>
          <w:szCs w:val="17"/>
          <w:color w:val="auto"/>
        </w:rPr>
        <w:t>means any event which is, or after notice or passage of time or both would be, an Event of Default.</w:t>
      </w:r>
    </w:p>
    <w:p>
      <w:pPr>
        <w:spacing w:after="0" w:line="216" w:lineRule="exact"/>
        <w:rPr>
          <w:sz w:val="20"/>
          <w:szCs w:val="20"/>
          <w:color w:val="auto"/>
        </w:rPr>
      </w:pPr>
    </w:p>
    <w:p>
      <w:pPr>
        <w:jc w:val="both"/>
        <w:ind w:firstLine="617"/>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“Depositary” </w:t>
      </w:r>
      <w:r>
        <w:rPr>
          <w:rFonts w:ascii="Times New Roman" w:cs="Times New Roman" w:eastAsia="Times New Roman" w:hAnsi="Times New Roman"/>
          <w:sz w:val="17"/>
          <w:szCs w:val="17"/>
          <w:color w:val="auto"/>
        </w:rPr>
        <w:t>means, with respect to the Securities of any Series issuable or issued in whole or in part in the form of one or more Global Securities,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person designated as Depositary for such Series by the Company, which Depositary shall be a clearing agency registered under the Exchange Act; and if at any time there is more than one such person, </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xml:space="preserve"> as used with respect to the Securities of any Series shall mean the Depositary with respect to the Securities of such Series.</w:t>
      </w:r>
    </w:p>
    <w:p>
      <w:pPr>
        <w:spacing w:after="0" w:line="164"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“Discount Security” </w:t>
      </w:r>
      <w:r>
        <w:rPr>
          <w:rFonts w:ascii="Times New Roman" w:cs="Times New Roman" w:eastAsia="Times New Roman" w:hAnsi="Times New Roman"/>
          <w:sz w:val="17"/>
          <w:szCs w:val="17"/>
          <w:color w:val="auto"/>
        </w:rPr>
        <w:t>means any Security that provides for an amount less than the stated principal amount thereof to be due and payable upon declaration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acceleration of the maturity thereof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“Dollars” </w:t>
      </w:r>
      <w:r>
        <w:rPr>
          <w:rFonts w:ascii="Times New Roman" w:cs="Times New Roman" w:eastAsia="Times New Roman" w:hAnsi="Times New Roman"/>
          <w:sz w:val="17"/>
          <w:szCs w:val="17"/>
          <w:color w:val="auto"/>
        </w:rPr>
        <w:t>and “$” means the currency of The United States of America.</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“Exchange Act” </w:t>
      </w:r>
      <w:r>
        <w:rPr>
          <w:rFonts w:ascii="Times New Roman" w:cs="Times New Roman" w:eastAsia="Times New Roman" w:hAnsi="Times New Roman"/>
          <w:sz w:val="17"/>
          <w:szCs w:val="17"/>
          <w:color w:val="auto"/>
        </w:rPr>
        <w:t>means the Securities Exchange Act of 1934, as amended.</w:t>
      </w:r>
    </w:p>
    <w:p>
      <w:pPr>
        <w:spacing w:after="0" w:line="216"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“Foreign Currency” </w:t>
      </w:r>
      <w:r>
        <w:rPr>
          <w:rFonts w:ascii="Times New Roman" w:cs="Times New Roman" w:eastAsia="Times New Roman" w:hAnsi="Times New Roman"/>
          <w:sz w:val="17"/>
          <w:szCs w:val="17"/>
          <w:color w:val="auto"/>
        </w:rPr>
        <w:t>means any currency or currency unit issued by a government other than the government of the United States of America,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Euro.</w:t>
      </w:r>
    </w:p>
    <w:p>
      <w:pPr>
        <w:spacing w:after="0" w:line="144"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“Foreign Government Obligations” </w:t>
      </w:r>
      <w:r>
        <w:rPr>
          <w:rFonts w:ascii="Times New Roman" w:cs="Times New Roman" w:eastAsia="Times New Roman" w:hAnsi="Times New Roman"/>
          <w:sz w:val="17"/>
          <w:szCs w:val="17"/>
          <w:color w:val="auto"/>
        </w:rPr>
        <w:t>means, with respect to Securities of any Series that are denominated in a Foreign Currency, direct obligations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60" w:lineRule="exact"/>
        <w:rPr>
          <w:sz w:val="20"/>
          <w:szCs w:val="20"/>
          <w:color w:val="auto"/>
        </w:rPr>
      </w:pPr>
    </w:p>
    <w:p>
      <w:pPr>
        <w:jc w:val="both"/>
        <w:ind w:firstLine="617"/>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“GAAP” </w:t>
      </w:r>
      <w:r>
        <w:rPr>
          <w:rFonts w:ascii="Times New Roman" w:cs="Times New Roman" w:eastAsia="Times New Roman" w:hAnsi="Times New Roman"/>
          <w:sz w:val="17"/>
          <w:szCs w:val="17"/>
          <w:color w:val="auto"/>
        </w:rPr>
        <w:t>means accounting principles generally accepted in the United States of America set forth in the opinions and pronouncements of the Accounting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“Global Security”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“Global Securities” </w:t>
      </w:r>
      <w:r>
        <w:rPr>
          <w:rFonts w:ascii="Times New Roman" w:cs="Times New Roman" w:eastAsia="Times New Roman" w:hAnsi="Times New Roman"/>
          <w:sz w:val="17"/>
          <w:szCs w:val="17"/>
          <w:color w:val="auto"/>
        </w:rPr>
        <w:t>means a Security or Securities, as the case may be, in the form established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or part of a Series of Securities, issued to the Depositary for such Series or its nominee, and registered in the name of such Depositary or nominee.</w:t>
      </w:r>
    </w:p>
    <w:p>
      <w:pPr>
        <w:spacing w:after="0" w:line="144"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“Guarantor” </w:t>
      </w:r>
      <w:r>
        <w:rPr>
          <w:rFonts w:ascii="Times New Roman" w:cs="Times New Roman" w:eastAsia="Times New Roman" w:hAnsi="Times New Roman"/>
          <w:sz w:val="17"/>
          <w:szCs w:val="17"/>
          <w:color w:val="auto"/>
        </w:rPr>
        <w:t>means each person that executes this Indenture as a guarantor and its respective successors and assigns, in each case until the Guarantee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person has been released in accordance with the provisions of this Indenture;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person shall be a Guarantor only with respect to a Series of Securities for which such person has executed a Notation of Guarantee with respect to such Series.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“Holder”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“Securityholder” </w:t>
      </w:r>
      <w:r>
        <w:rPr>
          <w:rFonts w:ascii="Times New Roman" w:cs="Times New Roman" w:eastAsia="Times New Roman" w:hAnsi="Times New Roman"/>
          <w:sz w:val="17"/>
          <w:szCs w:val="17"/>
          <w:color w:val="auto"/>
        </w:rPr>
        <w:t>means a person in whose name a Security is registered.</w:t>
      </w:r>
    </w:p>
    <w:p>
      <w:pPr>
        <w:spacing w:after="0" w:line="216"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“Indenture” </w:t>
      </w:r>
      <w:r>
        <w:rPr>
          <w:rFonts w:ascii="Times New Roman" w:cs="Times New Roman" w:eastAsia="Times New Roman" w:hAnsi="Times New Roman"/>
          <w:sz w:val="17"/>
          <w:szCs w:val="17"/>
          <w:color w:val="auto"/>
        </w:rPr>
        <w:t>means this Indenture as amended or supplemented from time to time and shall include the form and terms of particular Series of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established as contemplated hereunder.</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with respect to any Discount Security which by its terms bears interest only after Maturity, means interest payable after Maturity.</w:t>
      </w:r>
    </w:p>
    <w:p>
      <w:pPr>
        <w:spacing w:after="0" w:line="216"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“Maturity,” </w:t>
      </w:r>
      <w:r>
        <w:rPr>
          <w:rFonts w:ascii="Times New Roman" w:cs="Times New Roman" w:eastAsia="Times New Roman" w:hAnsi="Times New Roman"/>
          <w:sz w:val="17"/>
          <w:szCs w:val="17"/>
          <w:color w:val="auto"/>
        </w:rPr>
        <w:t>when used with respect to any Security, means the date on which the principal of such Security becomes due and payable as therein or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whether at the Stated Maturity or by declaration of acceleration, call for redemption or otherwise.</w:t>
      </w:r>
    </w:p>
    <w:p>
      <w:pPr>
        <w:spacing w:after="0" w:line="144"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“Notation of Guarantee” </w:t>
      </w:r>
      <w:r>
        <w:rPr>
          <w:rFonts w:ascii="Times New Roman" w:cs="Times New Roman" w:eastAsia="Times New Roman" w:hAnsi="Times New Roman"/>
          <w:sz w:val="17"/>
          <w:szCs w:val="17"/>
          <w:color w:val="auto"/>
        </w:rPr>
        <w:t>means a notation, substantially in the form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executed by a Guarantor and affixed to each Security of any Series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which the Guarantee of such Guarantor under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of this Indenture applies.</w:t>
      </w:r>
    </w:p>
    <w:p>
      <w:pPr>
        <w:spacing w:after="0" w:line="144"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“Officer” </w:t>
      </w:r>
      <w:r>
        <w:rPr>
          <w:rFonts w:ascii="Times New Roman" w:cs="Times New Roman" w:eastAsia="Times New Roman" w:hAnsi="Times New Roman"/>
          <w:sz w:val="17"/>
          <w:szCs w:val="17"/>
          <w:color w:val="auto"/>
        </w:rPr>
        <w:t>means the Chief Executive Officer, the President and Chief Financial Officer, the General Counsel or any Assistant General Counsel,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Treasurer or any Assistant Treasurer, the Secretary or any Assistant Secretary, and any Vice President of the Company.</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“Officer’s Certificate” </w:t>
      </w:r>
      <w:r>
        <w:rPr>
          <w:rFonts w:ascii="Times New Roman" w:cs="Times New Roman" w:eastAsia="Times New Roman" w:hAnsi="Times New Roman"/>
          <w:sz w:val="17"/>
          <w:szCs w:val="17"/>
          <w:color w:val="auto"/>
        </w:rPr>
        <w:t>means a certificate signed by any Officer which complies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10.4.</w:t>
      </w:r>
    </w:p>
    <w:p>
      <w:pPr>
        <w:spacing w:after="0" w:line="216"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“Opinion of Counsel” </w:t>
      </w:r>
      <w:r>
        <w:rPr>
          <w:rFonts w:ascii="Times New Roman" w:cs="Times New Roman" w:eastAsia="Times New Roman" w:hAnsi="Times New Roman"/>
          <w:sz w:val="17"/>
          <w:szCs w:val="17"/>
          <w:color w:val="auto"/>
        </w:rPr>
        <w:t>means a written opinion of legal counsel. The counsel may be an employee of or counsel to the Company. The opinion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contain customary limitations, conditions and exceptions.</w:t>
      </w:r>
    </w:p>
    <w:p>
      <w:pPr>
        <w:spacing w:after="0" w:line="144"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any individual, corporation, partnership, joint venture, association, limited liability company, joint-stock company, trust, unincorporated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or government or any agency or political subdivision thereof.</w:t>
      </w:r>
    </w:p>
    <w:p>
      <w:pPr>
        <w:spacing w:after="0" w:line="144"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“principal” </w:t>
      </w:r>
      <w:r>
        <w:rPr>
          <w:rFonts w:ascii="Times New Roman" w:cs="Times New Roman" w:eastAsia="Times New Roman" w:hAnsi="Times New Roman"/>
          <w:sz w:val="17"/>
          <w:szCs w:val="17"/>
          <w:color w:val="auto"/>
        </w:rPr>
        <w:t>of a Security means the principal of the Security plus, when appropriate, the premium, if any, on, and any Additional Amounts in respect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Security.</w:t>
      </w:r>
    </w:p>
    <w:p>
      <w:pPr>
        <w:spacing w:after="0" w:line="144"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“Responsible Officer” </w:t>
      </w:r>
      <w:r>
        <w:rPr>
          <w:rFonts w:ascii="Times New Roman" w:cs="Times New Roman" w:eastAsia="Times New Roman" w:hAnsi="Times New Roman"/>
          <w:sz w:val="17"/>
          <w:szCs w:val="17"/>
          <w:color w:val="auto"/>
        </w:rPr>
        <w:t>means any officer of the Trustee in its Corporate Trust Office having responsibility for administration of this Indenture and also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with respect to a particular corporate trust matter, any other officer to whom any corporate trust matter relating to this Indenture is referred because of his or her knowledge of and familiarity with a particular subject.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“SEC” </w:t>
      </w:r>
      <w:r>
        <w:rPr>
          <w:rFonts w:ascii="Times New Roman" w:cs="Times New Roman" w:eastAsia="Times New Roman" w:hAnsi="Times New Roman"/>
          <w:sz w:val="17"/>
          <w:szCs w:val="17"/>
          <w:color w:val="auto"/>
        </w:rPr>
        <w:t>means the Securities and Exchange Commission.</w:t>
      </w:r>
    </w:p>
    <w:p>
      <w:pPr>
        <w:spacing w:after="0" w:line="216"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means the debentures, notes or other debt instruments of the Company of any Series authenticated and delivered under this Indenture;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if at any time there is more than one person acting as Trustee under this Indenture,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any such person,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 Securities authenticated and delivered under this Indenture, exclusive, however, of Securities of any Series as to which such person is not Trustee.</w:t>
      </w:r>
    </w:p>
    <w:p>
      <w:pPr>
        <w:spacing w:after="0" w:line="160"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“Series”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“Series of Securities” </w:t>
      </w:r>
      <w:r>
        <w:rPr>
          <w:rFonts w:ascii="Times New Roman" w:cs="Times New Roman" w:eastAsia="Times New Roman" w:hAnsi="Times New Roman"/>
          <w:sz w:val="17"/>
          <w:szCs w:val="17"/>
          <w:color w:val="auto"/>
        </w:rPr>
        <w:t>means each series of debentures, notes or other debt instruments of the Company created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hereof.</w:t>
      </w:r>
    </w:p>
    <w:p>
      <w:pPr>
        <w:spacing w:after="0" w:line="144"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“Stated Maturity” </w:t>
      </w:r>
      <w:r>
        <w:rPr>
          <w:rFonts w:ascii="Times New Roman" w:cs="Times New Roman" w:eastAsia="Times New Roman" w:hAnsi="Times New Roman"/>
          <w:sz w:val="17"/>
          <w:szCs w:val="17"/>
          <w:color w:val="auto"/>
        </w:rPr>
        <w:t>when used with respect to any Security, means the date specified in such Security as the fixed date on which the principal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Security or interest is due and payable.</w:t>
      </w:r>
    </w:p>
    <w:p>
      <w:pPr>
        <w:spacing w:after="0" w:line="144"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“Subsidiary” </w:t>
      </w:r>
      <w:r>
        <w:rPr>
          <w:rFonts w:ascii="Times New Roman" w:cs="Times New Roman" w:eastAsia="Times New Roman" w:hAnsi="Times New Roman"/>
          <w:sz w:val="17"/>
          <w:szCs w:val="17"/>
          <w:color w:val="auto"/>
        </w:rPr>
        <w:t>of any specified person means any corporation, association or other business entity of which more than 50% of the total voting power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60"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“TIA” </w:t>
      </w:r>
      <w:r>
        <w:rPr>
          <w:rFonts w:ascii="Times New Roman" w:cs="Times New Roman" w:eastAsia="Times New Roman" w:hAnsi="Times New Roman"/>
          <w:sz w:val="17"/>
          <w:szCs w:val="17"/>
          <w:color w:val="auto"/>
        </w:rPr>
        <w:t>means the Trust Indenture Act of 1939 (15 U.S. Code Sections 77aaa-77bbbb) as in effect on the date of this Indenture;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event the Trust Indenture Act of 1939 is amended after such date, </w:t>
      </w:r>
      <w:r>
        <w:rPr>
          <w:rFonts w:ascii="Times New Roman" w:cs="Times New Roman" w:eastAsia="Times New Roman" w:hAnsi="Times New Roman"/>
          <w:sz w:val="17"/>
          <w:szCs w:val="17"/>
          <w:b w:val="1"/>
          <w:bCs w:val="1"/>
          <w:color w:val="auto"/>
        </w:rPr>
        <w:t>“TIA”</w:t>
      </w:r>
      <w:r>
        <w:rPr>
          <w:rFonts w:ascii="Times New Roman" w:cs="Times New Roman" w:eastAsia="Times New Roman" w:hAnsi="Times New Roman"/>
          <w:sz w:val="17"/>
          <w:szCs w:val="17"/>
          <w:color w:val="auto"/>
        </w:rPr>
        <w:t xml:space="preserve"> means, to the extent required by any such amendment, the Trust Indenture Act as so amended.</w:t>
      </w:r>
    </w:p>
    <w:p>
      <w:pPr>
        <w:spacing w:after="0" w:line="160"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“Trustee” </w:t>
      </w:r>
      <w:r>
        <w:rPr>
          <w:rFonts w:ascii="Times New Roman" w:cs="Times New Roman" w:eastAsia="Times New Roman" w:hAnsi="Times New Roman"/>
          <w:sz w:val="17"/>
          <w:szCs w:val="17"/>
          <w:color w:val="auto"/>
        </w:rPr>
        <w:t>means the person named as the</w:t>
      </w:r>
      <w:r>
        <w:rPr>
          <w:rFonts w:ascii="Times New Roman" w:cs="Times New Roman" w:eastAsia="Times New Roman" w:hAnsi="Times New Roman"/>
          <w:sz w:val="17"/>
          <w:szCs w:val="17"/>
          <w:b w:val="1"/>
          <w:bCs w:val="1"/>
          <w:color w:val="auto"/>
        </w:rPr>
        <w:t xml:space="preserve"> “Trustee” </w:t>
      </w:r>
      <w:r>
        <w:rPr>
          <w:rFonts w:ascii="Times New Roman" w:cs="Times New Roman" w:eastAsia="Times New Roman" w:hAnsi="Times New Roman"/>
          <w:sz w:val="17"/>
          <w:szCs w:val="17"/>
          <w:color w:val="auto"/>
        </w:rPr>
        <w:t>in the first paragraph of this instrument until a successor Trustee shall have become such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xml:space="preserve"> shall mean or include each person who is then a Trustee hereunder, and if at any time there is more than one such person,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xml:space="preserve"> as used with respect to the Securities of any Series shall mean the Trustee with respect to Securities of that Series.</w:t>
      </w:r>
    </w:p>
    <w:p>
      <w:pPr>
        <w:spacing w:after="0" w:line="16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“U.S. Government Obligations” </w:t>
      </w:r>
      <w:r>
        <w:rPr>
          <w:rFonts w:ascii="Times New Roman" w:cs="Times New Roman" w:eastAsia="Times New Roman" w:hAnsi="Times New Roman"/>
          <w:sz w:val="17"/>
          <w:szCs w:val="17"/>
          <w:color w:val="auto"/>
        </w:rPr>
        <w:t>means securities which are direct obligations of, or guaranteed by, The United States of America for the payment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7"/>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Section 1.2.</w:t>
            </w: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Other Definitions.</w:t>
            </w:r>
          </w:p>
        </w:tc>
        <w:tc>
          <w:tcPr>
            <w:tcW w:w="1820" w:type="dxa"/>
            <w:vAlign w:val="bottom"/>
          </w:tcPr>
          <w:p>
            <w:pPr>
              <w:spacing w:after="0"/>
              <w:rPr>
                <w:sz w:val="19"/>
                <w:szCs w:val="19"/>
                <w:color w:val="auto"/>
              </w:rPr>
            </w:pPr>
          </w:p>
        </w:tc>
      </w:tr>
      <w:tr>
        <w:trPr>
          <w:trHeight w:val="416"/>
        </w:trPr>
        <w:tc>
          <w:tcPr>
            <w:tcW w:w="62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8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Defined in Section</w:t>
            </w:r>
          </w:p>
        </w:tc>
      </w:tr>
      <w:tr>
        <w:trPr>
          <w:trHeight w:val="185"/>
        </w:trPr>
        <w:tc>
          <w:tcPr>
            <w:tcW w:w="620" w:type="dxa"/>
            <w:vAlign w:val="bottom"/>
          </w:tcPr>
          <w:p>
            <w:pPr>
              <w:spacing w:after="0"/>
              <w:rPr>
                <w:sz w:val="16"/>
                <w:szCs w:val="16"/>
                <w:color w:val="auto"/>
              </w:rPr>
            </w:pPr>
          </w:p>
        </w:tc>
        <w:tc>
          <w:tcPr>
            <w:tcW w:w="85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“Bankruptcy Law”</w:t>
            </w:r>
          </w:p>
        </w:tc>
        <w:tc>
          <w:tcPr>
            <w:tcW w:w="220" w:type="dxa"/>
            <w:vAlign w:val="bottom"/>
          </w:tcPr>
          <w:p>
            <w:pPr>
              <w:spacing w:after="0"/>
              <w:rPr>
                <w:sz w:val="16"/>
                <w:szCs w:val="16"/>
                <w:color w:val="auto"/>
              </w:rPr>
            </w:pPr>
          </w:p>
        </w:tc>
        <w:tc>
          <w:tcPr>
            <w:tcW w:w="18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6.1</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“Custodian”</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“Guarantee”</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12.1(b)</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“Event of Default”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“Judgment Currency”</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“Legal Holiday”</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“mandatory sinking fund payment”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“New York Banking Day”</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“Notice Agent”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“optional sinking fund payment”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“Paying Agent”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“Registrar”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“Required Currency”</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r>
      <w:tr>
        <w:trPr>
          <w:trHeight w:val="206"/>
        </w:trPr>
        <w:tc>
          <w:tcPr>
            <w:tcW w:w="620" w:type="dxa"/>
            <w:vAlign w:val="bottom"/>
          </w:tcPr>
          <w:p>
            <w:pPr>
              <w:spacing w:after="0"/>
              <w:rPr>
                <w:sz w:val="17"/>
                <w:szCs w:val="17"/>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“successor person”</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r>
      <w:tr>
        <w:trPr>
          <w:trHeight w:val="227"/>
        </w:trPr>
        <w:tc>
          <w:tcPr>
            <w:tcW w:w="6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“USA Patriot Act”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10.17</w:t>
            </w:r>
          </w:p>
        </w:tc>
      </w:tr>
      <w:tr>
        <w:trPr>
          <w:trHeight w:val="411"/>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Section 1.3.</w:t>
            </w: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Incorporation by Reference of Trust Indenture Act.</w:t>
            </w:r>
          </w:p>
        </w:tc>
        <w:tc>
          <w:tcPr>
            <w:tcW w:w="1820" w:type="dxa"/>
            <w:vAlign w:val="bottom"/>
          </w:tcPr>
          <w:p>
            <w:pPr>
              <w:spacing w:after="0"/>
              <w:rPr>
                <w:sz w:val="24"/>
                <w:szCs w:val="24"/>
                <w:color w:val="auto"/>
              </w:rPr>
            </w:pPr>
          </w:p>
        </w:tc>
      </w:tr>
    </w:tbl>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Whenever this Indenture refers to a provision of the TIA, the provision is incorporated by reference in and made a part of this Indenture.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TIA terms used in this Indenture have the following meanings:</w:t>
      </w:r>
    </w:p>
    <w:p>
      <w:pPr>
        <w:spacing w:after="0" w:line="195" w:lineRule="exact"/>
        <w:rPr>
          <w:sz w:val="20"/>
          <w:szCs w:val="20"/>
          <w:color w:val="auto"/>
        </w:rPr>
      </w:pPr>
    </w:p>
    <w:p>
      <w:pPr>
        <w:ind w:left="1860" w:hanging="624"/>
        <w:spacing w:after="0"/>
        <w:tabs>
          <w:tab w:leader="none" w:pos="1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means the SEC.</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indenture securities</w:t>
      </w:r>
      <w:r>
        <w:rPr>
          <w:rFonts w:ascii="Times New Roman" w:cs="Times New Roman" w:eastAsia="Times New Roman" w:hAnsi="Times New Roman"/>
          <w:sz w:val="17"/>
          <w:szCs w:val="17"/>
          <w:color w:val="auto"/>
        </w:rPr>
        <w:t>” means the Securities.</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indenture security holder</w:t>
      </w:r>
      <w:r>
        <w:rPr>
          <w:rFonts w:ascii="Times New Roman" w:cs="Times New Roman" w:eastAsia="Times New Roman" w:hAnsi="Times New Roman"/>
          <w:sz w:val="17"/>
          <w:szCs w:val="17"/>
          <w:color w:val="auto"/>
        </w:rPr>
        <w:t>” means a Securityholder.</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indenture to be qualified</w:t>
      </w:r>
      <w:r>
        <w:rPr>
          <w:rFonts w:ascii="Times New Roman" w:cs="Times New Roman" w:eastAsia="Times New Roman" w:hAnsi="Times New Roman"/>
          <w:sz w:val="17"/>
          <w:szCs w:val="17"/>
          <w:color w:val="auto"/>
        </w:rPr>
        <w:t>” means this Indenture.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indenture trustee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institutional trustee</w:t>
      </w:r>
      <w:r>
        <w:rPr>
          <w:rFonts w:ascii="Times New Roman" w:cs="Times New Roman" w:eastAsia="Times New Roman" w:hAnsi="Times New Roman"/>
          <w:sz w:val="17"/>
          <w:szCs w:val="17"/>
          <w:color w:val="auto"/>
        </w:rPr>
        <w:t>” means the Trustee.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“obligor” </w:t>
      </w:r>
      <w:r>
        <w:rPr>
          <w:rFonts w:ascii="Times New Roman" w:cs="Times New Roman" w:eastAsia="Times New Roman" w:hAnsi="Times New Roman"/>
          <w:sz w:val="17"/>
          <w:szCs w:val="17"/>
          <w:color w:val="auto"/>
        </w:rPr>
        <w:t>on the indenture securities means the Company and any successor obligor upon the Securities.</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All other terms used in this Indenture that are defined by the TIA, defined by TIA reference to another statute or defined by SEC rule under the TIA and not otherwise defined herein are used herein as so defined.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Rules of Construction,</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the context otherwise requires:</w:t>
      </w:r>
    </w:p>
    <w:p>
      <w:pPr>
        <w:spacing w:after="0" w:line="216" w:lineRule="exact"/>
        <w:rPr>
          <w:sz w:val="20"/>
          <w:szCs w:val="20"/>
          <w:color w:val="auto"/>
        </w:rPr>
      </w:pPr>
    </w:p>
    <w:p>
      <w:pPr>
        <w:ind w:left="1860" w:hanging="624"/>
        <w:spacing w:after="0"/>
        <w:tabs>
          <w:tab w:leader="none" w:pos="1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 has the meaning assigned to it;</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accounting term not otherwise defined has the meaning assigned to it in accordance with GAAP;</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is not exclusive;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in the singular include the plural, and in the plural include the singular; and</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apply to successive events and transactions.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Issuable in Series</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Series of Securities shall be equally and ratably entitled to the benefits of the Indenture.</w:t>
      </w:r>
    </w:p>
    <w:p>
      <w:pPr>
        <w:spacing w:after="0" w:line="1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2.2.</w:t>
      </w:r>
      <w:r>
        <w:rPr>
          <w:sz w:val="20"/>
          <w:szCs w:val="20"/>
          <w:color w:val="auto"/>
        </w:rPr>
        <w:tab/>
      </w:r>
      <w:r>
        <w:rPr>
          <w:rFonts w:ascii="Times New Roman" w:cs="Times New Roman" w:eastAsia="Times New Roman" w:hAnsi="Times New Roman"/>
          <w:sz w:val="17"/>
          <w:szCs w:val="17"/>
          <w:b w:val="1"/>
          <w:bCs w:val="1"/>
          <w:color w:val="auto"/>
        </w:rPr>
        <w:t>Establishment of Terms of Series of Securities.</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 xml:space="preserve">At or prior to the issuance of any Securities within a Series, the following shall be established (as to the Series generally, in the case of </w:t>
      </w:r>
      <w:r>
        <w:rPr>
          <w:rFonts w:ascii="Times New Roman" w:cs="Times New Roman" w:eastAsia="Times New Roman" w:hAnsi="Times New Roman"/>
          <w:sz w:val="17"/>
          <w:szCs w:val="17"/>
          <w:u w:val="single" w:color="auto"/>
          <w:color w:val="auto"/>
        </w:rPr>
        <w:t>Subsection 2.2.1</w:t>
      </w:r>
      <w:r>
        <w:rPr>
          <w:rFonts w:ascii="Times New Roman" w:cs="Times New Roman" w:eastAsia="Times New Roman" w:hAnsi="Times New Roman"/>
          <w:sz w:val="17"/>
          <w:szCs w:val="17"/>
          <w:color w:val="auto"/>
        </w:rPr>
        <w:t xml:space="preserve"> and either as to such Securities within the Series or as to the Series generally in the case of </w:t>
      </w:r>
      <w:r>
        <w:rPr>
          <w:rFonts w:ascii="Times New Roman" w:cs="Times New Roman" w:eastAsia="Times New Roman" w:hAnsi="Times New Roman"/>
          <w:sz w:val="17"/>
          <w:szCs w:val="17"/>
          <w:u w:val="single" w:color="auto"/>
          <w:color w:val="auto"/>
        </w:rPr>
        <w:t>Subsections 2.2.2</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2.2.30</w:t>
      </w:r>
      <w:r>
        <w:rPr>
          <w:rFonts w:ascii="Times New Roman" w:cs="Times New Roman" w:eastAsia="Times New Roman" w:hAnsi="Times New Roman"/>
          <w:sz w:val="17"/>
          <w:szCs w:val="17"/>
          <w:color w:val="auto"/>
        </w:rPr>
        <w:t>) by or pursuant to a Board Resolution, and set forth or determined in the manner provided in a Board Resolution, supplemental indenture hereto or Officer’s Certificate:</w:t>
      </w:r>
    </w:p>
    <w:p>
      <w:pPr>
        <w:spacing w:after="0" w:line="165" w:lineRule="exact"/>
        <w:rPr>
          <w:sz w:val="20"/>
          <w:szCs w:val="20"/>
          <w:color w:val="auto"/>
        </w:rPr>
      </w:pPr>
    </w:p>
    <w:p>
      <w:pPr>
        <w:ind w:left="620" w:firstLine="617"/>
        <w:spacing w:after="0" w:line="285" w:lineRule="auto"/>
        <w:rPr>
          <w:sz w:val="20"/>
          <w:szCs w:val="20"/>
          <w:color w:val="auto"/>
        </w:rPr>
      </w:pPr>
      <w:r>
        <w:rPr>
          <w:rFonts w:ascii="Times New Roman" w:cs="Times New Roman" w:eastAsia="Times New Roman" w:hAnsi="Times New Roman"/>
          <w:sz w:val="17"/>
          <w:szCs w:val="17"/>
          <w:color w:val="auto"/>
        </w:rPr>
        <w:t>Section 2.2.1. the title (which shall distinguish the Securities of that particular Series from the Securities of any other Series) and ranking (including the terms of any subordination provisions) of the Series;</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Section 2.2.2. the price or prices (expressed as a percentage of the principal amount thereof) at which the Securities of the Series will be issued;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 xml:space="preserve">Section 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9.6</w:t>
      </w:r>
      <w:r>
        <w:rPr>
          <w:rFonts w:ascii="Times New Roman" w:cs="Times New Roman" w:eastAsia="Times New Roman" w:hAnsi="Times New Roman"/>
          <w:sz w:val="17"/>
          <w:szCs w:val="17"/>
          <w:color w:val="auto"/>
        </w:rPr>
        <w:t xml:space="preserve">) and whether additional Securities of that Series may be issued without the consent of Holders of outstanding Securities of that Series or any other Series;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additional Securities of such Series may be so issued, the terms thereof shall indicate whether any such additional Securities shall have the same terms as the prior Securities of such Series or whether the Issuer may establish additional or different terms with respect to such additional Securities;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2.2.4. the date or dates on which the principal of the Securities of the Series is payable;</w:t>
      </w:r>
    </w:p>
    <w:p>
      <w:pPr>
        <w:spacing w:after="0" w:line="216"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Section 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any regular record date for the interest payable on any interest payment date and the basis upon which interest shall be calculated if other than that of a 360-day year of twelve 30-day months;</w:t>
      </w:r>
    </w:p>
    <w:p>
      <w:pPr>
        <w:spacing w:after="0" w:line="175"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Section 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65"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Section 2.2.7. if applicable, the period or periods within which the price or prices at which and the terms and conditions upon which the Securities of the Series may be redeemed, in whole or in part, at the option of the Company;</w:t>
      </w:r>
    </w:p>
    <w:p>
      <w:pPr>
        <w:spacing w:after="0" w:line="152"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Section 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Section 2.2.9. the dates, if any, on which and the price or prices at which the Securities of the Series will be repurchased by the Company at the option of the Holders thereof and other detailed terms and provisions of such repurchase obligations;</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Section 2.2.10. if other than denominations of $1,000 and any integral multiple thereof, the denominations in which the Securities of the Series shall be issuable;</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2.2.11. the forms of the Securities of the Series and whether the Securities will be issuable as Global Securities;</w:t>
      </w:r>
    </w:p>
    <w:p>
      <w:pPr>
        <w:spacing w:after="0" w:line="216"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Section 2.2.12. if other than the principal amount thereof, the portion of the principal amount of the Securities of the Series that shall be payable upon declaration of acceleration of the maturity thereof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3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33020</wp:posOffset>
            </wp:positionV>
            <wp:extent cx="71386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46" w:name="page47"/>
    <w:bookmarkEnd w:id="46"/>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Section 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Section 2.2.14. the designation of the currency, currencies or currency units in which payment of the principal of and interest, if any, on the Securities of the Series will be made;</w:t>
      </w:r>
    </w:p>
    <w:p>
      <w:pPr>
        <w:spacing w:after="0" w:line="152"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Section 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65"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Section 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2.2.17. the provisions, if any, relating to any security provided for the Securities of the Series or the Guarantees;</w:t>
      </w:r>
    </w:p>
    <w:p>
      <w:pPr>
        <w:spacing w:after="0" w:line="216"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Section 2.2.18. any addition to, deletion of or change in the Events of Default which applies to any Securities of the Series and any change in the right of the Trustee or the requisite Holders of such Securities to declare the principal amount thereof due and payable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Section 2.2.19. any addition to, deletion of or change in the covenants and terms set forth in </w:t>
      </w:r>
      <w:r>
        <w:rPr>
          <w:rFonts w:ascii="Times New Roman" w:cs="Times New Roman" w:eastAsia="Times New Roman" w:hAnsi="Times New Roman"/>
          <w:sz w:val="17"/>
          <w:szCs w:val="17"/>
          <w:u w:val="single" w:color="auto"/>
          <w:color w:val="auto"/>
        </w:rPr>
        <w:t>Articles IV</w:t>
      </w:r>
      <w:r>
        <w:rPr>
          <w:rFonts w:ascii="Times New Roman" w:cs="Times New Roman" w:eastAsia="Times New Roman" w:hAnsi="Times New Roman"/>
          <w:sz w:val="17"/>
          <w:szCs w:val="17"/>
          <w:color w:val="auto"/>
        </w:rPr>
        <w:t xml:space="preserve">, V or </w:t>
      </w:r>
      <w:r>
        <w:rPr>
          <w:rFonts w:ascii="Times New Roman" w:cs="Times New Roman" w:eastAsia="Times New Roman" w:hAnsi="Times New Roman"/>
          <w:sz w:val="17"/>
          <w:szCs w:val="17"/>
          <w:u w:val="single" w:color="auto"/>
          <w:color w:val="auto"/>
        </w:rPr>
        <w:t>IX</w:t>
      </w:r>
      <w:r>
        <w:rPr>
          <w:rFonts w:ascii="Times New Roman" w:cs="Times New Roman" w:eastAsia="Times New Roman" w:hAnsi="Times New Roman"/>
          <w:sz w:val="17"/>
          <w:szCs w:val="17"/>
          <w:color w:val="auto"/>
        </w:rPr>
        <w:t xml:space="preserve"> which applies to Securities of the Series;</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Section 2.2.20. any Depositaries, interest rate calculation agents, exchange rate calculation agents or other agents with respect to Securities of such Series if other than those appointed herein;</w:t>
      </w:r>
    </w:p>
    <w:p>
      <w:pPr>
        <w:spacing w:after="0" w:line="152"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Section 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71"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Section 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w:t>
      </w:r>
    </w:p>
    <w:p>
      <w:pPr>
        <w:spacing w:after="0" w:line="165"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Section 2.2.23. whether the Securities of such Series are entitled to the benefits of the Guarantee of any Guarantor pursuant to this Indenture, whether any such Guarantee shall be made on a senior or subordinated basis and, if applicable, a description of the subordination terms of any such Guarantee;</w:t>
      </w:r>
    </w:p>
    <w:p>
      <w:pPr>
        <w:spacing w:after="0" w:line="32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33020</wp:posOffset>
            </wp:positionV>
            <wp:extent cx="713867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47" w:name="page48"/>
    <w:bookmarkEnd w:id="47"/>
    <w:p>
      <w:pPr>
        <w:jc w:val="both"/>
        <w:ind w:left="620" w:firstLine="617"/>
        <w:spacing w:after="0" w:line="285" w:lineRule="auto"/>
        <w:rPr>
          <w:sz w:val="20"/>
          <w:szCs w:val="20"/>
          <w:color w:val="auto"/>
        </w:rPr>
      </w:pPr>
      <w:r>
        <w:rPr>
          <w:rFonts w:ascii="Times New Roman" w:cs="Times New Roman" w:eastAsia="Times New Roman" w:hAnsi="Times New Roman"/>
          <w:sz w:val="17"/>
          <w:szCs w:val="17"/>
          <w:color w:val="auto"/>
        </w:rPr>
        <w:t>Section 2.2.24. if a person other than [ ] is to act as Trustee for the Securities of that Series, the name and location of the designated corporate trust office of such Trustee;</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Section 2.2.25. the securities exchanges, if any, on which the Securities of the Series may be listed;</w:t>
      </w:r>
    </w:p>
    <w:p>
      <w:pPr>
        <w:spacing w:after="0" w:line="2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 xml:space="preserve">Section 2.2.26. if the Securities of that Series do not bear interest, the applicable dates for purposes of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jc w:val="both"/>
        <w:ind w:left="620" w:firstLine="617"/>
        <w:spacing w:after="0" w:line="285" w:lineRule="auto"/>
        <w:rPr>
          <w:sz w:val="20"/>
          <w:szCs w:val="20"/>
          <w:color w:val="auto"/>
        </w:rPr>
      </w:pPr>
      <w:r>
        <w:rPr>
          <w:rFonts w:ascii="Times New Roman" w:cs="Times New Roman" w:eastAsia="Times New Roman" w:hAnsi="Times New Roman"/>
          <w:sz w:val="17"/>
          <w:szCs w:val="17"/>
          <w:color w:val="auto"/>
        </w:rPr>
        <w:t>Section 2.2.27. if Securities of the Series are to be issuable initially in the form of a temporary Global Security, the circumstances under which the temporary Global Security can be exchanged for definitive Securities;</w:t>
      </w:r>
    </w:p>
    <w:p>
      <w:pPr>
        <w:spacing w:after="0" w:line="152" w:lineRule="exact"/>
        <w:rPr>
          <w:sz w:val="20"/>
          <w:szCs w:val="20"/>
          <w:color w:val="auto"/>
        </w:rPr>
      </w:pPr>
    </w:p>
    <w:p>
      <w:pPr>
        <w:jc w:val="both"/>
        <w:ind w:left="620" w:firstLine="617"/>
        <w:spacing w:after="0" w:line="269" w:lineRule="auto"/>
        <w:rPr>
          <w:sz w:val="20"/>
          <w:szCs w:val="20"/>
          <w:color w:val="auto"/>
        </w:rPr>
      </w:pPr>
      <w:r>
        <w:rPr>
          <w:rFonts w:ascii="Times New Roman" w:cs="Times New Roman" w:eastAsia="Times New Roman" w:hAnsi="Times New Roman"/>
          <w:sz w:val="17"/>
          <w:szCs w:val="17"/>
          <w:color w:val="auto"/>
        </w:rPr>
        <w:t>Section 2.2.28. whether Securities of that Series are to be issuable in bearer form and any additions or changes to any of the provisions of this Indenture as shall be necessary to permit or facilitate the issuance of Securities in bearer form, registrable or not registrable as to principal, and with or without interest coupons;</w:t>
      </w:r>
    </w:p>
    <w:p>
      <w:pPr>
        <w:spacing w:after="0" w:line="165" w:lineRule="exact"/>
        <w:rPr>
          <w:sz w:val="20"/>
          <w:szCs w:val="20"/>
          <w:color w:val="auto"/>
        </w:rPr>
      </w:pPr>
    </w:p>
    <w:p>
      <w:pPr>
        <w:jc w:val="both"/>
        <w:ind w:left="620" w:firstLine="617"/>
        <w:spacing w:after="0" w:line="285" w:lineRule="auto"/>
        <w:rPr>
          <w:sz w:val="20"/>
          <w:szCs w:val="20"/>
          <w:color w:val="auto"/>
        </w:rPr>
      </w:pPr>
      <w:r>
        <w:rPr>
          <w:rFonts w:ascii="Times New Roman" w:cs="Times New Roman" w:eastAsia="Times New Roman" w:hAnsi="Times New Roman"/>
          <w:sz w:val="17"/>
          <w:szCs w:val="17"/>
          <w:color w:val="auto"/>
        </w:rPr>
        <w:t xml:space="preserve">Section 2.2.29. the applicability, if any, of </w:t>
      </w:r>
      <w:r>
        <w:rPr>
          <w:rFonts w:ascii="Times New Roman" w:cs="Times New Roman" w:eastAsia="Times New Roman" w:hAnsi="Times New Roman"/>
          <w:sz w:val="17"/>
          <w:szCs w:val="17"/>
          <w:u w:val="single" w:color="auto"/>
          <w:color w:val="auto"/>
        </w:rPr>
        <w:t>Sections 8.3</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to the Securities of the Series and any provisions in modification of, in addition to or in lieu of any of the provisions of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and</w:t>
      </w:r>
    </w:p>
    <w:p>
      <w:pPr>
        <w:spacing w:after="0" w:line="152" w:lineRule="exact"/>
        <w:rPr>
          <w:sz w:val="20"/>
          <w:szCs w:val="20"/>
          <w:color w:val="auto"/>
        </w:rPr>
      </w:pPr>
    </w:p>
    <w:p>
      <w:pPr>
        <w:jc w:val="both"/>
        <w:ind w:left="620" w:firstLine="617"/>
        <w:spacing w:after="0" w:line="285" w:lineRule="auto"/>
        <w:rPr>
          <w:sz w:val="20"/>
          <w:szCs w:val="20"/>
          <w:color w:val="auto"/>
        </w:rPr>
      </w:pPr>
      <w:r>
        <w:rPr>
          <w:rFonts w:ascii="Times New Roman" w:cs="Times New Roman" w:eastAsia="Times New Roman" w:hAnsi="Times New Roman"/>
          <w:sz w:val="17"/>
          <w:szCs w:val="17"/>
          <w:color w:val="auto"/>
        </w:rPr>
        <w:t>Section 2.2.30. any change in the right of the Trustee or the right of the requisite Holders of Securities to declare the principal amount thereof due and payable.</w:t>
      </w:r>
    </w:p>
    <w:p>
      <w:pPr>
        <w:spacing w:after="0" w:line="152"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All Securities of any particular Series shall be substantially identical except as to denomination and the date from which interest, if any, shall accrue, and except as may otherwise be provided in or pursuant to such Board Resolutions and set forth in such Officer’s Certificate relating thereto or provided in or pursuant to any supplemental indenture hereto. 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Execution and Authentication.</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Any Officer shall sign the Securities for the Company by manual, facsimile or other electronic (including .pdf) signature (including any electronic signature covered by the U.S. federal ESIGN Act of 2000, Uniform Electronic Transactions Act, the Electronic Signatures and Records Act or other applicable law, e.g., www.docusign.com).</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an Officer whose signature is on a Security no longer holds that office at the time the Security is authenticated, the Security shall nevertheless be valid.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A Security shall not be valid until authenticated by the manual signature of an authorized signatory of the Trustee or an authenticating agent. The signature shall be conclusive evidence that the Security has been authenticated under this Indenture.</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 xml:space="preserve">Prior to the issuance of Securities of any Series, the Trustee shall have received and (subject to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and (c) an Opinion of Counsel complying with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 outstanding Series of Securities.</w:t>
      </w:r>
    </w:p>
    <w:p>
      <w:pPr>
        <w:spacing w:after="0" w:line="165"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2.4.</w:t>
      </w:r>
      <w:r>
        <w:rPr>
          <w:sz w:val="20"/>
          <w:szCs w:val="20"/>
          <w:color w:val="auto"/>
        </w:rPr>
        <w:tab/>
      </w:r>
      <w:r>
        <w:rPr>
          <w:rFonts w:ascii="Times New Roman" w:cs="Times New Roman" w:eastAsia="Times New Roman" w:hAnsi="Times New Roman"/>
          <w:sz w:val="17"/>
          <w:szCs w:val="17"/>
          <w:b w:val="1"/>
          <w:bCs w:val="1"/>
          <w:color w:val="auto"/>
        </w:rPr>
        <w:t>Registrar and Paying Agent.</w:t>
      </w:r>
    </w:p>
    <w:p>
      <w:pPr>
        <w:spacing w:after="0" w:line="220" w:lineRule="exact"/>
        <w:rPr>
          <w:sz w:val="20"/>
          <w:szCs w:val="20"/>
          <w:color w:val="auto"/>
        </w:rPr>
      </w:pPr>
    </w:p>
    <w:p>
      <w:pPr>
        <w:jc w:val="both"/>
        <w:ind w:firstLine="617"/>
        <w:spacing w:after="0" w:line="256" w:lineRule="auto"/>
        <w:rPr>
          <w:sz w:val="20"/>
          <w:szCs w:val="20"/>
          <w:color w:val="auto"/>
        </w:rPr>
      </w:pPr>
      <w:r>
        <w:rPr>
          <w:rFonts w:ascii="Times New Roman" w:cs="Times New Roman" w:eastAsia="Times New Roman" w:hAnsi="Times New Roman"/>
          <w:sz w:val="17"/>
          <w:szCs w:val="17"/>
          <w:color w:val="auto"/>
        </w:rPr>
        <w:t xml:space="preserve">The Company shall maintain, with respect to each Series of Securities, at the place or places specified with respect to such Series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an office or agency where Securities of such Series may be presented or surrendered for payment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where Securities of such Series may be surrendered for registration of transfer or exchange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and where notices and demands to or upon the Company in respect of the Securities of such Series and this Indenture may be delivered (</w:t>
      </w:r>
      <w:r>
        <w:rPr>
          <w:rFonts w:ascii="Times New Roman" w:cs="Times New Roman" w:eastAsia="Times New Roman" w:hAnsi="Times New Roman"/>
          <w:sz w:val="17"/>
          <w:szCs w:val="17"/>
          <w:b w:val="1"/>
          <w:bCs w:val="1"/>
          <w:color w:val="auto"/>
        </w:rPr>
        <w:t>“Notice Agent”</w:t>
      </w:r>
      <w:r>
        <w:rPr>
          <w:rFonts w:ascii="Times New Roman" w:cs="Times New Roman" w:eastAsia="Times New Roman" w:hAnsi="Times New Roman"/>
          <w:sz w:val="17"/>
          <w:szCs w:val="17"/>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Corporate Trust Office of the Trustee shall not be a place of service of legal process on the Company.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such designation or rescission shall in any manner relieve the Company of its obligations to maintain a Registrar, Paying Agent and Notice Agent in each place so specified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xml:space="preserve"> includes any co-registrar; the term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xml:space="preserve"> includes any additional paying agent; and the term </w:t>
      </w:r>
      <w:r>
        <w:rPr>
          <w:rFonts w:ascii="Times New Roman" w:cs="Times New Roman" w:eastAsia="Times New Roman" w:hAnsi="Times New Roman"/>
          <w:sz w:val="17"/>
          <w:szCs w:val="17"/>
          <w:b w:val="1"/>
          <w:bCs w:val="1"/>
          <w:color w:val="auto"/>
        </w:rPr>
        <w:t xml:space="preserve">“Notice Agent” </w:t>
      </w:r>
      <w:r>
        <w:rPr>
          <w:rFonts w:ascii="Times New Roman" w:cs="Times New Roman" w:eastAsia="Times New Roman" w:hAnsi="Times New Roman"/>
          <w:sz w:val="17"/>
          <w:szCs w:val="17"/>
          <w:color w:val="auto"/>
        </w:rPr>
        <w:t>includes any additional notice agent. The Company or any of its Affiliates may serve as Registrar or Paying Agent.</w:t>
      </w:r>
    </w:p>
    <w:p>
      <w:pPr>
        <w:spacing w:after="0" w:line="173"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2.5.</w:t>
      </w:r>
      <w:r>
        <w:rPr>
          <w:sz w:val="20"/>
          <w:szCs w:val="20"/>
          <w:color w:val="auto"/>
        </w:rPr>
        <w:tab/>
      </w:r>
      <w:r>
        <w:rPr>
          <w:rFonts w:ascii="Times New Roman" w:cs="Times New Roman" w:eastAsia="Times New Roman" w:hAnsi="Times New Roman"/>
          <w:sz w:val="16"/>
          <w:szCs w:val="16"/>
          <w:b w:val="1"/>
          <w:bCs w:val="1"/>
          <w:color w:val="auto"/>
        </w:rPr>
        <w:t>Paying Agent to Hold Money in Trust.</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7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2.6.</w:t>
      </w:r>
      <w:r>
        <w:rPr>
          <w:sz w:val="20"/>
          <w:szCs w:val="20"/>
          <w:color w:val="auto"/>
        </w:rPr>
        <w:tab/>
      </w:r>
      <w:r>
        <w:rPr>
          <w:rFonts w:ascii="Times New Roman" w:cs="Times New Roman" w:eastAsia="Times New Roman" w:hAnsi="Times New Roman"/>
          <w:sz w:val="17"/>
          <w:szCs w:val="17"/>
          <w:b w:val="1"/>
          <w:bCs w:val="1"/>
          <w:color w:val="auto"/>
        </w:rPr>
        <w:t>Securityholder Lists.</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The Trustee shall preserve in as current a form as is reasonably practicable the most recent list available to it of the names and addresses of Securityholders of each Series of Securities and shall otherwise comply with TIA Section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2.7.</w:t>
      </w:r>
      <w:r>
        <w:rPr>
          <w:sz w:val="20"/>
          <w:szCs w:val="20"/>
          <w:color w:val="auto"/>
        </w:rPr>
        <w:tab/>
      </w:r>
      <w:r>
        <w:rPr>
          <w:rFonts w:ascii="Times New Roman" w:cs="Times New Roman" w:eastAsia="Times New Roman" w:hAnsi="Times New Roman"/>
          <w:sz w:val="16"/>
          <w:szCs w:val="16"/>
          <w:b w:val="1"/>
          <w:bCs w:val="1"/>
          <w:color w:val="auto"/>
        </w:rPr>
        <w:t>Transfer and Exchange.</w:t>
      </w:r>
    </w:p>
    <w:p>
      <w:pPr>
        <w:spacing w:after="0" w:line="220"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9.6</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2.8.</w:t>
      </w:r>
      <w:r>
        <w:rPr>
          <w:sz w:val="20"/>
          <w:szCs w:val="20"/>
          <w:color w:val="auto"/>
        </w:rPr>
        <w:tab/>
      </w:r>
      <w:r>
        <w:rPr>
          <w:rFonts w:ascii="Times New Roman" w:cs="Times New Roman" w:eastAsia="Times New Roman" w:hAnsi="Times New Roman"/>
          <w:sz w:val="17"/>
          <w:szCs w:val="17"/>
          <w:b w:val="1"/>
          <w:bCs w:val="1"/>
          <w:color w:val="auto"/>
        </w:rPr>
        <w:t>Mutilated, Destroyed, Lost and Stolen Securities.</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52"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If there shall be delivered to the Company and the Trustee (a) evidence to their satisfaction of the destruction, loss or theft of any Security and (b)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5"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In case any such mutilated, destroyed, lost or stolen Security has become or is about to become due and payable, the Company in its discretion may, instead of issuing a new Security, pay such Security following delivery of the documents and security or indemnity required in the preceding paragraph.</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52"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provisions of this Section are exclusive and shall preclude (to the extent lawful) all other rights and remedies with respect to the replacement or payment of mutilated, destroyed, lost or stolen Securities.</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2.9.</w:t>
      </w:r>
      <w:r>
        <w:rPr>
          <w:sz w:val="20"/>
          <w:szCs w:val="20"/>
          <w:color w:val="auto"/>
        </w:rPr>
        <w:tab/>
      </w:r>
      <w:r>
        <w:rPr>
          <w:rFonts w:ascii="Times New Roman" w:cs="Times New Roman" w:eastAsia="Times New Roman" w:hAnsi="Times New Roman"/>
          <w:sz w:val="16"/>
          <w:szCs w:val="16"/>
          <w:b w:val="1"/>
          <w:bCs w:val="1"/>
          <w:color w:val="auto"/>
        </w:rPr>
        <w:t>Outstanding Securities.</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 xml:space="preserve">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including those paid in accordance with the third-to-last paragraph of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If a Security is replaced pursuant to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it ceases to be outstanding until the Trustee receives proof satisfactory to it that the replaced Security is held by a bona fide purchaser.</w:t>
      </w:r>
    </w:p>
    <w:p>
      <w:pPr>
        <w:spacing w:after="0" w:line="152"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If the Paying Agent (other than the Company, a Subsidiary of the Company or an Affiliate of the Company) holds on the Maturity of Securities of a Series money sufficient to pay such Securities payable on that date as provided in this Indenture, then on and after that date such Securities of the Series cease to be outstanding and interest on them ceases to accrue.</w:t>
      </w:r>
    </w:p>
    <w:p>
      <w:pPr>
        <w:spacing w:after="0" w:line="165"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The Company may purchase or otherwise acquire the Securities, whether by open market purchases, negotiated transactions or otherwise. A Security does not cease to be outstanding because the Company or an Affiliate of the Company holds the Security (but see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below).</w:t>
      </w:r>
    </w:p>
    <w:p>
      <w:pPr>
        <w:spacing w:after="0" w:line="152"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w:t>
      </w:r>
      <w:r>
        <w:rPr>
          <w:rFonts w:ascii="Times New Roman" w:cs="Times New Roman" w:eastAsia="Times New Roman" w:hAnsi="Times New Roman"/>
          <w:sz w:val="17"/>
          <w:szCs w:val="17"/>
          <w:u w:val="single" w:color="auto"/>
          <w:color w:val="auto"/>
        </w:rPr>
        <w:t>Section 6.2.</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2.10.</w:t>
      </w:r>
      <w:r>
        <w:rPr>
          <w:sz w:val="20"/>
          <w:szCs w:val="20"/>
          <w:color w:val="auto"/>
        </w:rPr>
        <w:tab/>
      </w:r>
      <w:r>
        <w:rPr>
          <w:rFonts w:ascii="Times New Roman" w:cs="Times New Roman" w:eastAsia="Times New Roman" w:hAnsi="Times New Roman"/>
          <w:sz w:val="16"/>
          <w:szCs w:val="16"/>
          <w:b w:val="1"/>
          <w:bCs w:val="1"/>
          <w:color w:val="auto"/>
        </w:rPr>
        <w:t>Treasury Securities.</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In determining whether the Holders of the requisite principal amount of outstanding Securities of a Series have given any request, demand, authorization, direction, notice, consent or waiver hereunder,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2.11.</w:t>
      </w:r>
      <w:r>
        <w:rPr>
          <w:sz w:val="20"/>
          <w:szCs w:val="20"/>
          <w:color w:val="auto"/>
        </w:rPr>
        <w:tab/>
      </w:r>
      <w:r>
        <w:rPr>
          <w:rFonts w:ascii="Times New Roman" w:cs="Times New Roman" w:eastAsia="Times New Roman" w:hAnsi="Times New Roman"/>
          <w:sz w:val="16"/>
          <w:szCs w:val="16"/>
          <w:b w:val="1"/>
          <w:bCs w:val="1"/>
          <w:color w:val="auto"/>
        </w:rPr>
        <w:t>Temporary Securities.</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Any temporary Global Security and any permanent Global Security shall, unless otherwise provided therein, be delivered to the Depositary designated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or shall be held by the Custodian on behalf of such Depositary.</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2.12.</w:t>
      </w:r>
      <w:r>
        <w:rPr>
          <w:sz w:val="20"/>
          <w:szCs w:val="20"/>
          <w:color w:val="auto"/>
        </w:rPr>
        <w:tab/>
      </w:r>
      <w:r>
        <w:rPr>
          <w:rFonts w:ascii="Times New Roman" w:cs="Times New Roman" w:eastAsia="Times New Roman" w:hAnsi="Times New Roman"/>
          <w:sz w:val="17"/>
          <w:szCs w:val="17"/>
          <w:b w:val="1"/>
          <w:bCs w:val="1"/>
          <w:color w:val="auto"/>
        </w:rPr>
        <w:t>Cancellation.</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dispose of such canceled Securities in accordance with its then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2.13.</w:t>
      </w:r>
      <w:r>
        <w:rPr>
          <w:sz w:val="20"/>
          <w:szCs w:val="20"/>
          <w:color w:val="auto"/>
        </w:rPr>
        <w:tab/>
      </w:r>
      <w:r>
        <w:rPr>
          <w:rFonts w:ascii="Times New Roman" w:cs="Times New Roman" w:eastAsia="Times New Roman" w:hAnsi="Times New Roman"/>
          <w:sz w:val="16"/>
          <w:szCs w:val="16"/>
          <w:b w:val="1"/>
          <w:bCs w:val="1"/>
          <w:color w:val="auto"/>
        </w:rPr>
        <w:t>Defaulted Interest.</w:t>
      </w:r>
    </w:p>
    <w:p>
      <w:pPr>
        <w:spacing w:after="0" w:line="220" w:lineRule="exact"/>
        <w:rPr>
          <w:sz w:val="20"/>
          <w:szCs w:val="20"/>
          <w:color w:val="auto"/>
        </w:rPr>
      </w:pPr>
    </w:p>
    <w:p>
      <w:pPr>
        <w:jc w:val="both"/>
        <w:ind w:firstLine="617"/>
        <w:spacing w:after="0" w:line="262" w:lineRule="auto"/>
        <w:rPr>
          <w:sz w:val="20"/>
          <w:szCs w:val="20"/>
          <w:color w:val="auto"/>
        </w:rPr>
      </w:pPr>
      <w:r>
        <w:rPr>
          <w:rFonts w:ascii="Times New Roman" w:cs="Times New Roman" w:eastAsia="Times New Roman" w:hAnsi="Times New Roman"/>
          <w:sz w:val="17"/>
          <w:szCs w:val="17"/>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ten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37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2.14.</w:t>
      </w:r>
      <w:r>
        <w:rPr>
          <w:sz w:val="20"/>
          <w:szCs w:val="20"/>
          <w:color w:val="auto"/>
        </w:rPr>
        <w:tab/>
      </w:r>
      <w:r>
        <w:rPr>
          <w:rFonts w:ascii="Times New Roman" w:cs="Times New Roman" w:eastAsia="Times New Roman" w:hAnsi="Times New Roman"/>
          <w:sz w:val="17"/>
          <w:szCs w:val="17"/>
          <w:b w:val="1"/>
          <w:bCs w:val="1"/>
          <w:color w:val="auto"/>
        </w:rPr>
        <w:t>Global Securities.</w:t>
      </w:r>
    </w:p>
    <w:p>
      <w:pPr>
        <w:spacing w:after="0" w:line="220" w:lineRule="exact"/>
        <w:rPr>
          <w:sz w:val="20"/>
          <w:szCs w:val="20"/>
          <w:color w:val="auto"/>
        </w:rPr>
      </w:pPr>
    </w:p>
    <w:p>
      <w:pPr>
        <w:jc w:val="both"/>
        <w:ind w:left="620" w:firstLine="617"/>
        <w:spacing w:after="0" w:line="269" w:lineRule="auto"/>
        <w:rPr>
          <w:sz w:val="20"/>
          <w:szCs w:val="20"/>
          <w:color w:val="auto"/>
        </w:rPr>
      </w:pPr>
      <w:r>
        <w:rPr>
          <w:rFonts w:ascii="Times New Roman" w:cs="Times New Roman" w:eastAsia="Times New Roman" w:hAnsi="Times New Roman"/>
          <w:sz w:val="17"/>
          <w:szCs w:val="17"/>
          <w:color w:val="auto"/>
        </w:rPr>
        <w:t xml:space="preserve">Section 2.14.1. </w:t>
      </w:r>
      <w:r>
        <w:rPr>
          <w:rFonts w:ascii="Times New Roman" w:cs="Times New Roman" w:eastAsia="Times New Roman" w:hAnsi="Times New Roman"/>
          <w:sz w:val="17"/>
          <w:szCs w:val="17"/>
          <w:u w:val="single" w:color="auto"/>
          <w:color w:val="auto"/>
        </w:rPr>
        <w:t>Terms of Securities</w:t>
      </w:r>
      <w:r>
        <w:rPr>
          <w:rFonts w:ascii="Times New Roman" w:cs="Times New Roman" w:eastAsia="Times New Roman" w:hAnsi="Times New Roman"/>
          <w:sz w:val="17"/>
          <w:szCs w:val="17"/>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65" w:lineRule="exact"/>
        <w:rPr>
          <w:sz w:val="20"/>
          <w:szCs w:val="20"/>
          <w:color w:val="auto"/>
        </w:rPr>
      </w:pPr>
    </w:p>
    <w:p>
      <w:pPr>
        <w:jc w:val="both"/>
        <w:ind w:left="620" w:firstLine="617"/>
        <w:spacing w:after="0" w:line="257" w:lineRule="auto"/>
        <w:rPr>
          <w:sz w:val="20"/>
          <w:szCs w:val="20"/>
          <w:color w:val="auto"/>
        </w:rPr>
      </w:pPr>
      <w:r>
        <w:rPr>
          <w:rFonts w:ascii="Times New Roman" w:cs="Times New Roman" w:eastAsia="Times New Roman" w:hAnsi="Times New Roman"/>
          <w:sz w:val="17"/>
          <w:szCs w:val="17"/>
          <w:color w:val="auto"/>
        </w:rPr>
        <w:t xml:space="preserve">Section 2.14.2. </w:t>
      </w:r>
      <w:r>
        <w:rPr>
          <w:rFonts w:ascii="Times New Roman" w:cs="Times New Roman" w:eastAsia="Times New Roman" w:hAnsi="Times New Roman"/>
          <w:sz w:val="17"/>
          <w:szCs w:val="17"/>
          <w:u w:val="single" w:color="auto"/>
          <w:color w:val="auto"/>
        </w:rPr>
        <w:t>Transfer and Exchan</w:t>
      </w:r>
      <w:r>
        <w:rPr>
          <w:rFonts w:ascii="Times New Roman" w:cs="Times New Roman" w:eastAsia="Times New Roman" w:hAnsi="Times New Roman"/>
          <w:sz w:val="17"/>
          <w:szCs w:val="17"/>
          <w:color w:val="auto"/>
        </w:rPr>
        <w:t xml:space="preserve">ge. Notwithstanding any provisions to the contrary contained in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of the Indenture and in addition thereto, any Global Security shall be exchangeable pursuant to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of the Indenture for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(b) the Company executes and delivers to the Trustee an Officer’s Certificate stating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 xml:space="preserve">Except as provided in this </w:t>
      </w:r>
      <w:r>
        <w:rPr>
          <w:rFonts w:ascii="Times New Roman" w:cs="Times New Roman" w:eastAsia="Times New Roman" w:hAnsi="Times New Roman"/>
          <w:sz w:val="17"/>
          <w:szCs w:val="17"/>
          <w:u w:val="single" w:color="auto"/>
          <w:color w:val="auto"/>
        </w:rPr>
        <w:t>Section 2.14.2</w:t>
      </w:r>
      <w:r>
        <w:rPr>
          <w:rFonts w:ascii="Times New Roman" w:cs="Times New Roman" w:eastAsia="Times New Roman" w:hAnsi="Times New Roman"/>
          <w:sz w:val="17"/>
          <w:szCs w:val="17"/>
          <w:color w:val="auto"/>
        </w:rPr>
        <w:t>,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Section 2.14.3. </w:t>
      </w: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Any Global Security issued hereunder shall bear a legend in substantially the following form:</w:t>
      </w:r>
    </w:p>
    <w:p>
      <w:pPr>
        <w:spacing w:after="0" w:line="216" w:lineRule="exact"/>
        <w:rPr>
          <w:sz w:val="20"/>
          <w:szCs w:val="20"/>
          <w:color w:val="auto"/>
        </w:rPr>
      </w:pPr>
    </w:p>
    <w:p>
      <w:pPr>
        <w:jc w:val="both"/>
        <w:ind w:left="620" w:right="620" w:firstLine="617"/>
        <w:spacing w:after="0" w:line="257" w:lineRule="auto"/>
        <w:rPr>
          <w:sz w:val="20"/>
          <w:szCs w:val="20"/>
          <w:color w:val="auto"/>
        </w:rPr>
      </w:pPr>
      <w:r>
        <w:rPr>
          <w:rFonts w:ascii="Times New Roman" w:cs="Times New Roman" w:eastAsia="Times New Roman" w:hAnsi="Times New Roman"/>
          <w:sz w:val="17"/>
          <w:szCs w:val="17"/>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72" w:lineRule="exact"/>
        <w:rPr>
          <w:sz w:val="20"/>
          <w:szCs w:val="20"/>
          <w:color w:val="auto"/>
        </w:rPr>
      </w:pPr>
    </w:p>
    <w:p>
      <w:pPr>
        <w:ind w:firstLine="617"/>
        <w:spacing w:after="0" w:line="290" w:lineRule="auto"/>
        <w:rPr>
          <w:sz w:val="20"/>
          <w:szCs w:val="20"/>
          <w:color w:val="auto"/>
        </w:rPr>
      </w:pPr>
      <w:r>
        <w:rPr>
          <w:rFonts w:ascii="Times New Roman" w:cs="Times New Roman" w:eastAsia="Times New Roman" w:hAnsi="Times New Roman"/>
          <w:sz w:val="17"/>
          <w:szCs w:val="17"/>
          <w:color w:val="auto"/>
        </w:rPr>
        <w:t>In addition, so long as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is the Depositary, each Global Note registered in the name of DTC or its nominee shall bear a legend in substantially the following form:</w:t>
      </w:r>
    </w:p>
    <w:p>
      <w:pPr>
        <w:spacing w:after="0" w:line="148" w:lineRule="exact"/>
        <w:rPr>
          <w:sz w:val="20"/>
          <w:szCs w:val="20"/>
          <w:color w:val="auto"/>
        </w:rPr>
      </w:pPr>
    </w:p>
    <w:p>
      <w:pPr>
        <w:jc w:val="both"/>
        <w:ind w:left="620" w:right="620" w:firstLine="617"/>
        <w:spacing w:after="0" w:line="257" w:lineRule="auto"/>
        <w:rPr>
          <w:sz w:val="20"/>
          <w:szCs w:val="20"/>
          <w:color w:val="auto"/>
        </w:rPr>
      </w:pPr>
      <w:r>
        <w:rPr>
          <w:rFonts w:ascii="Times New Roman" w:cs="Times New Roman" w:eastAsia="Times New Roman" w:hAnsi="Times New Roman"/>
          <w:sz w:val="17"/>
          <w:szCs w:val="17"/>
          <w:color w:val="auto"/>
        </w:rPr>
        <w:t>“UNLESS THIS GLOBAL NOTE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3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33020</wp:posOffset>
            </wp:positionV>
            <wp:extent cx="713867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54" w:name="page55"/>
    <w:bookmarkEnd w:id="54"/>
    <w:p>
      <w:pPr>
        <w:jc w:val="both"/>
        <w:ind w:left="620" w:firstLine="617"/>
        <w:spacing w:after="0" w:line="285" w:lineRule="auto"/>
        <w:rPr>
          <w:sz w:val="20"/>
          <w:szCs w:val="20"/>
          <w:color w:val="auto"/>
        </w:rPr>
      </w:pPr>
      <w:r>
        <w:rPr>
          <w:rFonts w:ascii="Times New Roman" w:cs="Times New Roman" w:eastAsia="Times New Roman" w:hAnsi="Times New Roman"/>
          <w:sz w:val="17"/>
          <w:szCs w:val="17"/>
          <w:color w:val="auto"/>
        </w:rPr>
        <w:t xml:space="preserve">Section 2.14.4. </w:t>
      </w:r>
      <w:r>
        <w:rPr>
          <w:rFonts w:ascii="Times New Roman" w:cs="Times New Roman" w:eastAsia="Times New Roman" w:hAnsi="Times New Roman"/>
          <w:sz w:val="17"/>
          <w:szCs w:val="17"/>
          <w:u w:val="single" w:color="auto"/>
          <w:color w:val="auto"/>
        </w:rPr>
        <w:t>Acts of Holders.</w:t>
      </w:r>
      <w:r>
        <w:rPr>
          <w:rFonts w:ascii="Times New Roman" w:cs="Times New Roman" w:eastAsia="Times New Roman" w:hAnsi="Times New Roman"/>
          <w:sz w:val="17"/>
          <w:szCs w:val="17"/>
          <w:color w:val="auto"/>
        </w:rPr>
        <w:t xml:space="preserve">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52" w:lineRule="exact"/>
        <w:rPr>
          <w:sz w:val="20"/>
          <w:szCs w:val="20"/>
          <w:color w:val="auto"/>
        </w:rPr>
      </w:pPr>
    </w:p>
    <w:p>
      <w:pPr>
        <w:jc w:val="both"/>
        <w:ind w:left="620" w:firstLine="617"/>
        <w:spacing w:after="0" w:line="285" w:lineRule="auto"/>
        <w:rPr>
          <w:sz w:val="20"/>
          <w:szCs w:val="20"/>
          <w:color w:val="auto"/>
        </w:rPr>
      </w:pPr>
      <w:r>
        <w:rPr>
          <w:rFonts w:ascii="Times New Roman" w:cs="Times New Roman" w:eastAsia="Times New Roman" w:hAnsi="Times New Roman"/>
          <w:sz w:val="17"/>
          <w:szCs w:val="17"/>
          <w:color w:val="auto"/>
        </w:rPr>
        <w:t>Section 2.14.5. Pay</w:t>
      </w:r>
      <w:r>
        <w:rPr>
          <w:rFonts w:ascii="Times New Roman" w:cs="Times New Roman" w:eastAsia="Times New Roman" w:hAnsi="Times New Roman"/>
          <w:sz w:val="17"/>
          <w:szCs w:val="17"/>
          <w:u w:val="single" w:color="auto"/>
          <w:color w:val="auto"/>
        </w:rPr>
        <w:t>ments</w:t>
      </w:r>
      <w:r>
        <w:rPr>
          <w:rFonts w:ascii="Times New Roman" w:cs="Times New Roman" w:eastAsia="Times New Roman" w:hAnsi="Times New Roman"/>
          <w:sz w:val="17"/>
          <w:szCs w:val="17"/>
          <w:color w:val="auto"/>
        </w:rPr>
        <w:t xml:space="preserve">. Notwithstanding the other provisions of this Indenture, unless otherwise specified as contemplated by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payment of the principal of and interest, if any, on any Global Security shall be made to the Holder thereof.</w:t>
      </w:r>
    </w:p>
    <w:p>
      <w:pPr>
        <w:spacing w:after="0" w:line="152" w:lineRule="exact"/>
        <w:rPr>
          <w:sz w:val="20"/>
          <w:szCs w:val="20"/>
          <w:color w:val="auto"/>
        </w:rPr>
      </w:pPr>
    </w:p>
    <w:p>
      <w:pPr>
        <w:jc w:val="both"/>
        <w:ind w:left="620" w:firstLine="617"/>
        <w:spacing w:after="0" w:line="263" w:lineRule="auto"/>
        <w:rPr>
          <w:sz w:val="20"/>
          <w:szCs w:val="20"/>
          <w:color w:val="auto"/>
        </w:rPr>
      </w:pPr>
      <w:r>
        <w:rPr>
          <w:rFonts w:ascii="Times New Roman" w:cs="Times New Roman" w:eastAsia="Times New Roman" w:hAnsi="Times New Roman"/>
          <w:sz w:val="17"/>
          <w:szCs w:val="17"/>
          <w:color w:val="auto"/>
        </w:rPr>
        <w:t xml:space="preserve">Section 2.14.6.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Declaration and Directions</w:t>
      </w:r>
      <w:r>
        <w:rPr>
          <w:rFonts w:ascii="Times New Roman" w:cs="Times New Roman" w:eastAsia="Times New Roman" w:hAnsi="Times New Roman"/>
          <w:sz w:val="17"/>
          <w:szCs w:val="17"/>
          <w:color w:val="auto"/>
        </w:rPr>
        <w:t>. The Company, the Trustee and any Agent shall be entitled to conclusively treat a person as the absolute owner of such principal amount of outstanding Securities of such Series represented by a Global Security as shall be specified in a written statement of the Depositary or by the applicable procedures of the Depositary with respect to such Global Security, for purposes of obtaining any consents, declarations, waivers or directions required to be given by the Holders pursuant to this Indenture.</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2.15.</w:t>
      </w:r>
      <w:r>
        <w:rPr>
          <w:sz w:val="20"/>
          <w:szCs w:val="20"/>
          <w:color w:val="auto"/>
        </w:rPr>
        <w:tab/>
      </w:r>
      <w:r>
        <w:rPr>
          <w:rFonts w:ascii="Times New Roman" w:cs="Times New Roman" w:eastAsia="Times New Roman" w:hAnsi="Times New Roman"/>
          <w:sz w:val="17"/>
          <w:szCs w:val="17"/>
          <w:b w:val="1"/>
          <w:bCs w:val="1"/>
          <w:color w:val="auto"/>
        </w:rPr>
        <w:t>CUSIP Numbers.</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in writing of any change in CUSIP numbers.</w:t>
      </w:r>
    </w:p>
    <w:p>
      <w:pPr>
        <w:spacing w:after="0" w:line="1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REDEMPTION</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3.1.</w:t>
      </w:r>
      <w:r>
        <w:rPr>
          <w:sz w:val="20"/>
          <w:szCs w:val="20"/>
          <w:color w:val="auto"/>
        </w:rPr>
        <w:tab/>
      </w:r>
      <w:r>
        <w:rPr>
          <w:rFonts w:ascii="Times New Roman" w:cs="Times New Roman" w:eastAsia="Times New Roman" w:hAnsi="Times New Roman"/>
          <w:sz w:val="16"/>
          <w:szCs w:val="16"/>
          <w:b w:val="1"/>
          <w:bCs w:val="1"/>
          <w:color w:val="auto"/>
        </w:rPr>
        <w:t>Notice to Trustee.</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3.2.</w:t>
      </w:r>
      <w:r>
        <w:rPr>
          <w:sz w:val="20"/>
          <w:szCs w:val="20"/>
          <w:color w:val="auto"/>
        </w:rPr>
        <w:tab/>
      </w:r>
      <w:r>
        <w:rPr>
          <w:rFonts w:ascii="Times New Roman" w:cs="Times New Roman" w:eastAsia="Times New Roman" w:hAnsi="Times New Roman"/>
          <w:sz w:val="17"/>
          <w:szCs w:val="17"/>
          <w:b w:val="1"/>
          <w:bCs w:val="1"/>
          <w:color w:val="auto"/>
        </w:rPr>
        <w:t>Selection of Securities to be Redeemed.</w:t>
      </w:r>
    </w:p>
    <w:p>
      <w:pPr>
        <w:spacing w:after="0" w:line="220" w:lineRule="exact"/>
        <w:rPr>
          <w:sz w:val="20"/>
          <w:szCs w:val="20"/>
          <w:color w:val="auto"/>
        </w:rPr>
      </w:pPr>
    </w:p>
    <w:p>
      <w:pPr>
        <w:jc w:val="both"/>
        <w:ind w:firstLine="617"/>
        <w:spacing w:after="0" w:line="256" w:lineRule="auto"/>
        <w:rPr>
          <w:sz w:val="20"/>
          <w:szCs w:val="20"/>
          <w:color w:val="auto"/>
        </w:rPr>
      </w:pPr>
      <w:r>
        <w:rPr>
          <w:rFonts w:ascii="Times New Roman" w:cs="Times New Roman" w:eastAsia="Times New Roman" w:hAnsi="Times New Roman"/>
          <w:sz w:val="17"/>
          <w:szCs w:val="17"/>
          <w:color w:val="auto"/>
        </w:rPr>
        <w:t xml:space="preserve">Unless otherwise indicated for a particular Series by a Board Resolution, supplemental indenture hereto or Officer’s Certificate, if less than all the Securities of a Series are to be redeemed, the Trustee shall select the Securities of the Series to be redeemed in any manner that the Trustee deems fair and appropriate, including by lot or other method, unless otherwise required by law or applicable stock exchange requirements (as certified by the Company to the Trustee), subject, in the case of Global Securities, to the applicable rules and procedures of the Depositary.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minimum amounts of $1,000 or whole multiples of $1,000 thereof or, with respect to Securities of any Series issuable in other denominations pursuant to </w:t>
      </w:r>
      <w:r>
        <w:rPr>
          <w:rFonts w:ascii="Times New Roman" w:cs="Times New Roman" w:eastAsia="Times New Roman" w:hAnsi="Times New Roman"/>
          <w:sz w:val="17"/>
          <w:szCs w:val="17"/>
          <w:u w:val="single" w:color="auto"/>
          <w:color w:val="auto"/>
        </w:rPr>
        <w:t>Section 2.2.10</w:t>
      </w:r>
      <w:r>
        <w:rPr>
          <w:rFonts w:ascii="Times New Roman" w:cs="Times New Roman" w:eastAsia="Times New Roman" w:hAnsi="Times New Roman"/>
          <w:sz w:val="17"/>
          <w:szCs w:val="17"/>
          <w:color w:val="auto"/>
        </w:rPr>
        <w:t>,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3.3.</w:t>
      </w:r>
      <w:r>
        <w:rPr>
          <w:sz w:val="20"/>
          <w:szCs w:val="20"/>
          <w:color w:val="auto"/>
        </w:rPr>
        <w:tab/>
      </w:r>
      <w:r>
        <w:rPr>
          <w:rFonts w:ascii="Times New Roman" w:cs="Times New Roman" w:eastAsia="Times New Roman" w:hAnsi="Times New Roman"/>
          <w:sz w:val="17"/>
          <w:szCs w:val="17"/>
          <w:b w:val="1"/>
          <w:bCs w:val="1"/>
          <w:color w:val="auto"/>
        </w:rPr>
        <w:t>Notice of Redemption.</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 class mail or electronically, in accordance with the procedures of the Depositary, a notice of redemption to each Holder whose Securities are to be redeemed, with a copy to the Trustee.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notice shall identify the Securities of the Series to be redeemed and shall state:</w:t>
      </w:r>
    </w:p>
    <w:p>
      <w:pPr>
        <w:spacing w:after="0" w:line="216" w:lineRule="exact"/>
        <w:rPr>
          <w:sz w:val="20"/>
          <w:szCs w:val="20"/>
          <w:color w:val="auto"/>
        </w:rPr>
      </w:pPr>
    </w:p>
    <w:p>
      <w:pPr>
        <w:ind w:left="1860" w:hanging="624"/>
        <w:spacing w:after="0"/>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price;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the Paying Agent;</w:t>
      </w:r>
    </w:p>
    <w:p>
      <w:pPr>
        <w:spacing w:after="0" w:line="215" w:lineRule="exact"/>
        <w:rPr>
          <w:rFonts w:ascii="Times New Roman" w:cs="Times New Roman" w:eastAsia="Times New Roman" w:hAnsi="Times New Roman"/>
          <w:sz w:val="17"/>
          <w:szCs w:val="17"/>
          <w:color w:val="auto"/>
        </w:rPr>
      </w:pPr>
    </w:p>
    <w:p>
      <w:pPr>
        <w:jc w:val="both"/>
        <w:ind w:left="1860" w:hanging="624"/>
        <w:spacing w:after="0" w:line="269" w:lineRule="auto"/>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64"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Securities of the Series called for redemption must be surrendered to the Paying Agent to collect the redemption price;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interest on Securities of the Series called for redemption ceases to accrue on and after the redemption date;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CUSIP number, if any; and</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as may be required by the terms of the particular Series or the Securities of a Series being redeemed.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jc w:val="both"/>
        <w:ind w:firstLine="617"/>
        <w:spacing w:after="0" w:line="271" w:lineRule="auto"/>
        <w:rPr>
          <w:sz w:val="20"/>
          <w:szCs w:val="20"/>
          <w:color w:val="auto"/>
        </w:rPr>
      </w:pPr>
      <w:r>
        <w:rPr>
          <w:rFonts w:ascii="Times New Roman" w:cs="Times New Roman" w:eastAsia="Times New Roman" w:hAnsi="Times New Roman"/>
          <w:sz w:val="17"/>
          <w:szCs w:val="17"/>
          <w:color w:val="auto"/>
        </w:rPr>
        <w:t xml:space="preserve">At the Company’s written request, the Trustee shall give the notice of redemption in the Company’s name and at its expense;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has delivered to the Trustee, at least five days (unless a shorter time shall be acceptable to the Trustee) prior to the notice date, such notice and an Officer’s Certificate requesting that the Trustee give such notice and setting forth the information to be stated in such notice in the form of such notice.</w:t>
      </w:r>
    </w:p>
    <w:p>
      <w:pPr>
        <w:spacing w:after="0" w:line="16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3.4.</w:t>
      </w:r>
      <w:r>
        <w:rPr>
          <w:sz w:val="20"/>
          <w:szCs w:val="20"/>
          <w:color w:val="auto"/>
        </w:rPr>
        <w:tab/>
      </w:r>
      <w:r>
        <w:rPr>
          <w:rFonts w:ascii="Times New Roman" w:cs="Times New Roman" w:eastAsia="Times New Roman" w:hAnsi="Times New Roman"/>
          <w:sz w:val="17"/>
          <w:szCs w:val="17"/>
          <w:b w:val="1"/>
          <w:bCs w:val="1"/>
          <w:color w:val="auto"/>
        </w:rPr>
        <w:t>Effect of Notice of Redemption.</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 xml:space="preserve">Once notice of redemption is sent as provided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if any, to the redemption date.</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3.5.</w:t>
      </w:r>
      <w:r>
        <w:rPr>
          <w:sz w:val="20"/>
          <w:szCs w:val="20"/>
          <w:color w:val="auto"/>
        </w:rPr>
        <w:tab/>
      </w:r>
      <w:r>
        <w:rPr>
          <w:rFonts w:ascii="Times New Roman" w:cs="Times New Roman" w:eastAsia="Times New Roman" w:hAnsi="Times New Roman"/>
          <w:sz w:val="17"/>
          <w:szCs w:val="17"/>
          <w:b w:val="1"/>
          <w:bCs w:val="1"/>
          <w:color w:val="auto"/>
        </w:rPr>
        <w:t>Deposit of Redemption Price.</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3.6.</w:t>
      </w:r>
      <w:r>
        <w:rPr>
          <w:sz w:val="20"/>
          <w:szCs w:val="20"/>
          <w:color w:val="auto"/>
        </w:rPr>
        <w:tab/>
      </w:r>
      <w:r>
        <w:rPr>
          <w:rFonts w:ascii="Times New Roman" w:cs="Times New Roman" w:eastAsia="Times New Roman" w:hAnsi="Times New Roman"/>
          <w:sz w:val="17"/>
          <w:szCs w:val="17"/>
          <w:b w:val="1"/>
          <w:bCs w:val="1"/>
          <w:color w:val="auto"/>
        </w:rPr>
        <w:t>Securities Redeemed in Part.</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 xml:space="preserve">In connection with any Security held in physical form, upon surrender of a Security that is redeemed in part, the Company shall execute and, upon receipt of a Company Order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the other deliverables required hereunder from the Company, the Trustee shall authenticate for the Holder at the expense of the Company a new Security of the same Series and the same Maturity equal in principal amount to the unredeemed portion of the Security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Security will be issued in a minimum principal amount of $1,000 or an integral multiple of $1,000 in excess thereof. In the case of any Security held in global form, the records of the Trustee and/or Registrar shall reflect that the Security has been redeemed in part.</w:t>
      </w:r>
    </w:p>
    <w:p>
      <w:pPr>
        <w:spacing w:after="0" w:line="1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4.1.</w:t>
      </w:r>
      <w:r>
        <w:rPr>
          <w:sz w:val="20"/>
          <w:szCs w:val="20"/>
          <w:color w:val="auto"/>
        </w:rPr>
        <w:tab/>
      </w:r>
      <w:r>
        <w:rPr>
          <w:rFonts w:ascii="Times New Roman" w:cs="Times New Roman" w:eastAsia="Times New Roman" w:hAnsi="Times New Roman"/>
          <w:sz w:val="17"/>
          <w:szCs w:val="17"/>
          <w:b w:val="1"/>
          <w:bCs w:val="1"/>
          <w:color w:val="auto"/>
        </w:rPr>
        <w:t>Payment of Principal and Interest.</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The Company covenants and agrees for the benefit of the Holders of each Series of Securities that it shall duly and punctually pay or cause to be paid when due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4.2.</w:t>
      </w:r>
      <w:r>
        <w:rPr>
          <w:sz w:val="20"/>
          <w:szCs w:val="20"/>
          <w:color w:val="auto"/>
        </w:rPr>
        <w:tab/>
      </w:r>
      <w:r>
        <w:rPr>
          <w:rFonts w:ascii="Times New Roman" w:cs="Times New Roman" w:eastAsia="Times New Roman" w:hAnsi="Times New Roman"/>
          <w:sz w:val="17"/>
          <w:szCs w:val="17"/>
          <w:b w:val="1"/>
          <w:bCs w:val="1"/>
          <w:color w:val="auto"/>
        </w:rPr>
        <w:t>SEC Reports.</w:t>
      </w:r>
    </w:p>
    <w:p>
      <w:pPr>
        <w:spacing w:after="0" w:line="220"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 xml:space="preserve">The Company shall, so long as any Securities are outstanding,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as in effect from time to time. The Company shall also comply with the other provisions of TIA Section 314(a). Reports, information and documents filed with the SEC via the EDGAR system (or its successor) will be deemed to be delivered to the Trustee as of the time of such filing for purposes of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Trustee shall have no obligation whatsoever to determine whether or not such information, documents or reports have been filed via EDGAR.</w:t>
      </w:r>
    </w:p>
    <w:p>
      <w:pPr>
        <w:spacing w:after="0" w:line="173"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 xml:space="preserve">Delivery of reports, information and documents to the Trustee under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is for informational purposes only and the Trustee’s receipt of the foregoing shall not constitute constructive or actual notice of any information contained therein or determinable from information contained therein, including the Company’s compliance with any of its covenants hereunder (as to which the Trustee is entitled to rely exclusively on Officer’s Certificates). The Trustee shall have no responsibility for the filing, timeliness or content of any reports, information or documents. The Trustee shall have no obligation to determine whether or not such reports, information or documents have been filed pursuant to the SEC’s EDGAR filing system (or its successor) or postings to any website have occurred, and the Trustee shall have no duty to participate in or monitor any conference calls.</w:t>
      </w:r>
    </w:p>
    <w:p>
      <w:pPr>
        <w:spacing w:after="0" w:line="16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4.3.</w:t>
      </w:r>
      <w:r>
        <w:rPr>
          <w:sz w:val="20"/>
          <w:szCs w:val="20"/>
          <w:color w:val="auto"/>
        </w:rPr>
        <w:tab/>
      </w:r>
      <w:r>
        <w:rPr>
          <w:rFonts w:ascii="Times New Roman" w:cs="Times New Roman" w:eastAsia="Times New Roman" w:hAnsi="Times New Roman"/>
          <w:sz w:val="17"/>
          <w:szCs w:val="17"/>
          <w:b w:val="1"/>
          <w:bCs w:val="1"/>
          <w:color w:val="auto"/>
        </w:rPr>
        <w:t>Compliance Certificate.</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The Company and each Guarantor (to the extent that such Guarantor is so required under the TIA) shall, so long as any Securities are outstanding,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and any Guarantor has kept, observed, performed and fulfilled its obligations under this Indenture, and further stating, as to such Officer signing such certificate, that to the best of such Officer’s knowledge the Company and any Guarantor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such Officer may have knowledge and the nature and status thereof).</w:t>
      </w:r>
    </w:p>
    <w:p>
      <w:pPr>
        <w:spacing w:after="0" w:line="179"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4.4.</w:t>
      </w:r>
      <w:r>
        <w:rPr>
          <w:sz w:val="20"/>
          <w:szCs w:val="20"/>
          <w:color w:val="auto"/>
        </w:rPr>
        <w:tab/>
      </w:r>
      <w:r>
        <w:rPr>
          <w:rFonts w:ascii="Times New Roman" w:cs="Times New Roman" w:eastAsia="Times New Roman" w:hAnsi="Times New Roman"/>
          <w:sz w:val="17"/>
          <w:szCs w:val="17"/>
          <w:b w:val="1"/>
          <w:bCs w:val="1"/>
          <w:color w:val="auto"/>
        </w:rPr>
        <w:t>Stay, Extension and Usury Laws.</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The Company and the Guarantors covenant (to the extent that they may lawfully do so) that they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and the Guarantors (to the extent they may lawfully do so) hereby expressly waive all benefit or advantage of any such law and covenants that they will not, by resort to any such law, hinder, delay or impede the execution of any power herein granted to the Trustee, but will suffer and permit the execution of every such power as though no such law has been enacted.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SUCCESSORS</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5.1.</w:t>
      </w:r>
      <w:r>
        <w:rPr>
          <w:sz w:val="20"/>
          <w:szCs w:val="20"/>
          <w:color w:val="auto"/>
        </w:rPr>
        <w:tab/>
      </w:r>
      <w:r>
        <w:rPr>
          <w:rFonts w:ascii="Times New Roman" w:cs="Times New Roman" w:eastAsia="Times New Roman" w:hAnsi="Times New Roman"/>
          <w:sz w:val="17"/>
          <w:szCs w:val="17"/>
          <w:b w:val="1"/>
          <w:bCs w:val="1"/>
          <w:color w:val="auto"/>
        </w:rPr>
        <w:t>When Company May Merge, Etc.</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The Company shall not consolidate with or merge with or into, or convey, transfer or lease all or substantially all of its properties and assets to, any person (a </w:t>
      </w:r>
      <w:r>
        <w:rPr>
          <w:rFonts w:ascii="Times New Roman" w:cs="Times New Roman" w:eastAsia="Times New Roman" w:hAnsi="Times New Roman"/>
          <w:sz w:val="17"/>
          <w:szCs w:val="17"/>
          <w:b w:val="1"/>
          <w:bCs w:val="1"/>
          <w:color w:val="auto"/>
        </w:rPr>
        <w:t>“successor person”)</w:t>
      </w:r>
      <w:r>
        <w:rPr>
          <w:rFonts w:ascii="Times New Roman" w:cs="Times New Roman" w:eastAsia="Times New Roman" w:hAnsi="Times New Roman"/>
          <w:sz w:val="17"/>
          <w:szCs w:val="17"/>
          <w:color w:val="auto"/>
        </w:rPr>
        <w:t xml:space="preserve"> unless:</w:t>
      </w:r>
    </w:p>
    <w:p>
      <w:pPr>
        <w:spacing w:after="0" w:line="152" w:lineRule="exact"/>
        <w:rPr>
          <w:sz w:val="20"/>
          <w:szCs w:val="20"/>
          <w:color w:val="auto"/>
        </w:rPr>
      </w:pPr>
    </w:p>
    <w:p>
      <w:pPr>
        <w:jc w:val="both"/>
        <w:ind w:left="1860" w:hanging="624"/>
        <w:spacing w:after="0" w:line="269" w:lineRule="auto"/>
        <w:tabs>
          <w:tab w:leader="none" w:pos="1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the surviving entity or the successor person (if other than the Company) is a corporation, partnership, trust or other entity organized and validly existing under the laws of any U.S. domestic jurisdiction and expressly assumes the Company’s obligations on the Securities and under this Indenture; and</w:t>
      </w:r>
    </w:p>
    <w:p>
      <w:pPr>
        <w:spacing w:after="0" w:line="164"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w:t>
      </w:r>
    </w:p>
    <w:p>
      <w:pPr>
        <w:spacing w:after="0" w:line="216"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Notwithstanding the above, any Subsidiary of the Company may consolidate with, merge into or transfer all or part of its properties to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Neither an Officer’s Certificate nor an Opinion of Counsel shall be required to be delivered in connection therewith.</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5.2.</w:t>
      </w:r>
      <w:r>
        <w:rPr>
          <w:sz w:val="20"/>
          <w:szCs w:val="20"/>
          <w:color w:val="auto"/>
        </w:rPr>
        <w:tab/>
      </w:r>
      <w:r>
        <w:rPr>
          <w:rFonts w:ascii="Times New Roman" w:cs="Times New Roman" w:eastAsia="Times New Roman" w:hAnsi="Times New Roman"/>
          <w:sz w:val="17"/>
          <w:szCs w:val="17"/>
          <w:b w:val="1"/>
          <w:bCs w:val="1"/>
          <w:color w:val="auto"/>
        </w:rPr>
        <w:t>Successor Entity Substituted.</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 xml:space="preserve">Upon any consolidation or merger, or any sale, lease, conveyance or other disposition of all or substantially all of the assets of the Company in accordance with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the successor entity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entity had has been named as the Company herein;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predecessor Company in the case of a sale, conveyance or other disposition (other than a lease) shall be released from all obligations and covenants under this Indenture and the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DEFAULTS AND REMEDIES</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6.1.</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16"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“Event of Default,” </w:t>
      </w:r>
      <w:r>
        <w:rPr>
          <w:rFonts w:ascii="Times New Roman" w:cs="Times New Roman" w:eastAsia="Times New Roman" w:hAnsi="Times New Roman"/>
          <w:sz w:val="17"/>
          <w:szCs w:val="17"/>
          <w:color w:val="auto"/>
        </w:rPr>
        <w:t>wherever used herein with respect to Securities of any Series, means any one of the following events, unless in the establishing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supplemental indenture or Officer’s Certificate, it is provided that such Series shall not have the benefit of said Event of Default: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jc w:val="both"/>
        <w:ind w:left="740" w:hanging="624"/>
        <w:spacing w:after="0" w:line="269" w:lineRule="auto"/>
        <w:tabs>
          <w:tab w:leader="none" w:pos="7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any interest upon any Security of that Series when it becomes due and payable, and continuance of such default for a period of 30 days (unless the entire amount of such payment is deposited by the Company with the Trustee or with a Paying Agent prior to the expiration of the 30-day period); or</w:t>
      </w:r>
    </w:p>
    <w:p>
      <w:pPr>
        <w:spacing w:after="0" w:line="164" w:lineRule="exact"/>
        <w:rPr>
          <w:rFonts w:ascii="Times New Roman" w:cs="Times New Roman" w:eastAsia="Times New Roman" w:hAnsi="Times New Roman"/>
          <w:sz w:val="17"/>
          <w:szCs w:val="17"/>
          <w:color w:val="auto"/>
        </w:rPr>
      </w:pPr>
    </w:p>
    <w:p>
      <w:pPr>
        <w:ind w:left="740" w:hanging="624"/>
        <w:spacing w:after="0"/>
        <w:tabs>
          <w:tab w:leader="none" w:pos="7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principal of any Security of that Series at its Maturity; or</w:t>
      </w:r>
    </w:p>
    <w:p>
      <w:pPr>
        <w:spacing w:after="0" w:line="215" w:lineRule="exact"/>
        <w:rPr>
          <w:rFonts w:ascii="Times New Roman" w:cs="Times New Roman" w:eastAsia="Times New Roman" w:hAnsi="Times New Roman"/>
          <w:sz w:val="17"/>
          <w:szCs w:val="17"/>
          <w:color w:val="auto"/>
        </w:rPr>
      </w:pPr>
    </w:p>
    <w:p>
      <w:pPr>
        <w:jc w:val="both"/>
        <w:ind w:left="740" w:hanging="624"/>
        <w:spacing w:after="0" w:line="259" w:lineRule="auto"/>
        <w:tabs>
          <w:tab w:leader="none" w:pos="7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 in the performance or breach of any covenant or warranty of the Company in the Securities of that Series or this Indenture (other than defaults pursuant to </w:t>
      </w:r>
      <w:r>
        <w:rPr>
          <w:rFonts w:ascii="Times New Roman" w:cs="Times New Roman" w:eastAsia="Times New Roman" w:hAnsi="Times New Roman"/>
          <w:sz w:val="17"/>
          <w:szCs w:val="17"/>
          <w:u w:val="single" w:color="auto"/>
          <w:color w:val="auto"/>
        </w:rPr>
        <w:t>para</w:t>
      </w:r>
      <w:r>
        <w:rPr>
          <w:rFonts w:ascii="Times New Roman" w:cs="Times New Roman" w:eastAsia="Times New Roman" w:hAnsi="Times New Roman"/>
          <w:sz w:val="17"/>
          <w:szCs w:val="17"/>
          <w:color w:val="auto"/>
        </w:rPr>
        <w:t>gra</w:t>
      </w:r>
      <w:r>
        <w:rPr>
          <w:rFonts w:ascii="Times New Roman" w:cs="Times New Roman" w:eastAsia="Times New Roman" w:hAnsi="Times New Roman"/>
          <w:sz w:val="17"/>
          <w:szCs w:val="17"/>
          <w:u w:val="single" w:color="auto"/>
          <w:color w:val="auto"/>
        </w:rPr>
        <w:t>ph</w:t>
      </w:r>
      <w:r>
        <w:rPr>
          <w:rFonts w:ascii="Times New Roman" w:cs="Times New Roman" w:eastAsia="Times New Roman" w:hAnsi="Times New Roman"/>
          <w:sz w:val="17"/>
          <w:szCs w:val="17"/>
          <w:color w:val="auto"/>
        </w:rPr>
        <w:t xml:space="preserve">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not less than 25% in principal amount of the outstanding Securities of that Series a written notice specifying such default or breach and requiring it to be remedied and stating that such notice is a “Notice of Default” hereunder; or</w:t>
      </w:r>
    </w:p>
    <w:p>
      <w:pPr>
        <w:spacing w:after="0" w:line="173" w:lineRule="exact"/>
        <w:rPr>
          <w:rFonts w:ascii="Times New Roman" w:cs="Times New Roman" w:eastAsia="Times New Roman" w:hAnsi="Times New Roman"/>
          <w:sz w:val="17"/>
          <w:szCs w:val="17"/>
          <w:color w:val="auto"/>
        </w:rPr>
      </w:pPr>
    </w:p>
    <w:p>
      <w:pPr>
        <w:ind w:left="740" w:hanging="624"/>
        <w:spacing w:after="0"/>
        <w:tabs>
          <w:tab w:leader="none" w:pos="7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Guarantor pursuant to or within the meaning of any Bankruptcy Law:</w:t>
      </w:r>
    </w:p>
    <w:p>
      <w:pPr>
        <w:spacing w:after="0" w:line="215" w:lineRule="exact"/>
        <w:rPr>
          <w:rFonts w:ascii="Times New Roman" w:cs="Times New Roman" w:eastAsia="Times New Roman" w:hAnsi="Times New Roman"/>
          <w:sz w:val="17"/>
          <w:szCs w:val="17"/>
          <w:color w:val="auto"/>
        </w:rPr>
      </w:pPr>
    </w:p>
    <w:p>
      <w:pPr>
        <w:ind w:left="1340" w:hanging="607"/>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commences a voluntary case,</w:t>
      </w:r>
    </w:p>
    <w:p>
      <w:pPr>
        <w:spacing w:after="0" w:line="215" w:lineRule="exact"/>
        <w:rPr>
          <w:rFonts w:ascii="Times New Roman" w:cs="Times New Roman" w:eastAsia="Times New Roman" w:hAnsi="Times New Roman"/>
          <w:sz w:val="17"/>
          <w:szCs w:val="17"/>
          <w:color w:val="auto"/>
        </w:rPr>
      </w:pPr>
    </w:p>
    <w:p>
      <w:pPr>
        <w:ind w:left="1340" w:hanging="607"/>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entry of an order for relief against it in an involuntary case,</w:t>
      </w:r>
    </w:p>
    <w:p>
      <w:pPr>
        <w:spacing w:after="0" w:line="215" w:lineRule="exact"/>
        <w:rPr>
          <w:rFonts w:ascii="Times New Roman" w:cs="Times New Roman" w:eastAsia="Times New Roman" w:hAnsi="Times New Roman"/>
          <w:sz w:val="17"/>
          <w:szCs w:val="17"/>
          <w:color w:val="auto"/>
        </w:rPr>
      </w:pPr>
    </w:p>
    <w:p>
      <w:pPr>
        <w:ind w:left="1340" w:hanging="607"/>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appointment of a Custodian of it or for all or substantially all of its property,</w:t>
      </w:r>
    </w:p>
    <w:p>
      <w:pPr>
        <w:spacing w:after="0" w:line="215" w:lineRule="exact"/>
        <w:rPr>
          <w:rFonts w:ascii="Times New Roman" w:cs="Times New Roman" w:eastAsia="Times New Roman" w:hAnsi="Times New Roman"/>
          <w:sz w:val="17"/>
          <w:szCs w:val="17"/>
          <w:color w:val="auto"/>
        </w:rPr>
      </w:pPr>
    </w:p>
    <w:p>
      <w:pPr>
        <w:ind w:left="1340" w:hanging="607"/>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 general assignment for the benefit of its creditors, or</w:t>
      </w:r>
    </w:p>
    <w:p>
      <w:pPr>
        <w:spacing w:after="0" w:line="215" w:lineRule="exact"/>
        <w:rPr>
          <w:rFonts w:ascii="Times New Roman" w:cs="Times New Roman" w:eastAsia="Times New Roman" w:hAnsi="Times New Roman"/>
          <w:sz w:val="17"/>
          <w:szCs w:val="17"/>
          <w:color w:val="auto"/>
        </w:rPr>
      </w:pPr>
    </w:p>
    <w:p>
      <w:pPr>
        <w:ind w:left="1340" w:hanging="607"/>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is unable to pay its debts as the same become due; or</w:t>
      </w:r>
    </w:p>
    <w:p>
      <w:pPr>
        <w:spacing w:after="0" w:line="215" w:lineRule="exact"/>
        <w:rPr>
          <w:rFonts w:ascii="Times New Roman" w:cs="Times New Roman" w:eastAsia="Times New Roman" w:hAnsi="Times New Roman"/>
          <w:sz w:val="17"/>
          <w:szCs w:val="17"/>
          <w:color w:val="auto"/>
        </w:rPr>
      </w:pPr>
    </w:p>
    <w:p>
      <w:pPr>
        <w:ind w:left="740" w:hanging="624"/>
        <w:spacing w:after="0"/>
        <w:tabs>
          <w:tab w:leader="none" w:pos="7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of competent jurisdiction enters an order or decree under any Bankruptcy Law that:</w:t>
      </w:r>
    </w:p>
    <w:p>
      <w:pPr>
        <w:spacing w:after="0" w:line="215" w:lineRule="exact"/>
        <w:rPr>
          <w:rFonts w:ascii="Times New Roman" w:cs="Times New Roman" w:eastAsia="Times New Roman" w:hAnsi="Times New Roman"/>
          <w:sz w:val="17"/>
          <w:szCs w:val="17"/>
          <w:color w:val="auto"/>
        </w:rPr>
      </w:pPr>
    </w:p>
    <w:p>
      <w:pPr>
        <w:ind w:left="1340" w:hanging="607"/>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for relief against the Company or any Guarantor in an involuntary case,</w:t>
      </w:r>
    </w:p>
    <w:p>
      <w:pPr>
        <w:spacing w:after="0" w:line="215" w:lineRule="exact"/>
        <w:rPr>
          <w:rFonts w:ascii="Times New Roman" w:cs="Times New Roman" w:eastAsia="Times New Roman" w:hAnsi="Times New Roman"/>
          <w:sz w:val="17"/>
          <w:szCs w:val="17"/>
          <w:color w:val="auto"/>
        </w:rPr>
      </w:pPr>
    </w:p>
    <w:p>
      <w:pPr>
        <w:ind w:left="1340" w:hanging="607"/>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appoints a Custodian of the Company, any Guarantor or for all or substantially all of its property, or</w:t>
      </w:r>
    </w:p>
    <w:p>
      <w:pPr>
        <w:spacing w:after="0" w:line="37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33020</wp:posOffset>
            </wp:positionV>
            <wp:extent cx="71386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60" w:name="page61"/>
    <w:bookmarkEnd w:id="60"/>
    <w:p>
      <w:pPr>
        <w:ind w:left="1860"/>
        <w:spacing w:after="0"/>
        <w:rPr>
          <w:sz w:val="20"/>
          <w:szCs w:val="20"/>
          <w:color w:val="auto"/>
        </w:rPr>
      </w:pPr>
      <w:r>
        <w:rPr>
          <w:rFonts w:ascii="Times New Roman" w:cs="Times New Roman" w:eastAsia="Times New Roman" w:hAnsi="Times New Roman"/>
          <w:sz w:val="17"/>
          <w:szCs w:val="17"/>
          <w:color w:val="auto"/>
        </w:rPr>
        <w:t>iii.orders the liquidation of the Company or any Guarantor, and the order or decree remains unstayed and in effect for 60 days; or</w:t>
      </w:r>
    </w:p>
    <w:p>
      <w:pPr>
        <w:spacing w:after="0" w:line="215" w:lineRule="exact"/>
        <w:rPr>
          <w:sz w:val="20"/>
          <w:szCs w:val="20"/>
          <w:color w:val="auto"/>
        </w:rPr>
      </w:pPr>
    </w:p>
    <w:p>
      <w:pPr>
        <w:ind w:left="1860" w:hanging="624"/>
        <w:spacing w:after="0" w:line="285" w:lineRule="auto"/>
        <w:tabs>
          <w:tab w:leader="none" w:pos="18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Event of Default provided with respect to Securities of that Series, which is specified in a Board Resolution, a supplemental indenture hereto or an Officer’s Certificate, in accordance with </w:t>
      </w:r>
      <w:r>
        <w:rPr>
          <w:rFonts w:ascii="Times New Roman" w:cs="Times New Roman" w:eastAsia="Times New Roman" w:hAnsi="Times New Roman"/>
          <w:sz w:val="17"/>
          <w:szCs w:val="17"/>
          <w:u w:val="single" w:color="auto"/>
          <w:color w:val="auto"/>
        </w:rPr>
        <w:t>Section 2.2.18</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firstLine="617"/>
        <w:spacing w:after="0" w:line="290" w:lineRule="auto"/>
        <w:rPr>
          <w:sz w:val="20"/>
          <w:szCs w:val="20"/>
          <w:color w:val="auto"/>
        </w:rPr>
      </w:pPr>
      <w:r>
        <w:rPr>
          <w:rFonts w:ascii="Times New Roman" w:cs="Times New Roman" w:eastAsia="Times New Roman" w:hAnsi="Times New Roman"/>
          <w:sz w:val="17"/>
          <w:szCs w:val="17"/>
          <w:color w:val="auto"/>
        </w:rPr>
        <w:t xml:space="preserve">The term </w:t>
      </w:r>
      <w:r>
        <w:rPr>
          <w:rFonts w:ascii="Times New Roman" w:cs="Times New Roman" w:eastAsia="Times New Roman" w:hAnsi="Times New Roman"/>
          <w:sz w:val="17"/>
          <w:szCs w:val="17"/>
          <w:b w:val="1"/>
          <w:bCs w:val="1"/>
          <w:color w:val="auto"/>
        </w:rPr>
        <w:t>“Bankruptcy Law”</w:t>
      </w:r>
      <w:r>
        <w:rPr>
          <w:rFonts w:ascii="Times New Roman" w:cs="Times New Roman" w:eastAsia="Times New Roman" w:hAnsi="Times New Roman"/>
          <w:sz w:val="17"/>
          <w:szCs w:val="17"/>
          <w:color w:val="auto"/>
        </w:rPr>
        <w:t xml:space="preserve"> means title 11, U.S. Code or any similar federal or state law for the relief of debtors. The term </w:t>
      </w:r>
      <w:r>
        <w:rPr>
          <w:rFonts w:ascii="Times New Roman" w:cs="Times New Roman" w:eastAsia="Times New Roman" w:hAnsi="Times New Roman"/>
          <w:sz w:val="17"/>
          <w:szCs w:val="17"/>
          <w:b w:val="1"/>
          <w:bCs w:val="1"/>
          <w:color w:val="auto"/>
        </w:rPr>
        <w:t>“Custodian”</w:t>
      </w:r>
      <w:r>
        <w:rPr>
          <w:rFonts w:ascii="Times New Roman" w:cs="Times New Roman" w:eastAsia="Times New Roman" w:hAnsi="Times New Roman"/>
          <w:sz w:val="17"/>
          <w:szCs w:val="17"/>
          <w:color w:val="auto"/>
        </w:rPr>
        <w:t xml:space="preserve"> means any receiver, trustee, assignee, liquidator or similar official under any Bankruptcy Law.</w:t>
      </w:r>
    </w:p>
    <w:p>
      <w:pPr>
        <w:spacing w:after="0" w:line="1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6.2.</w:t>
      </w:r>
      <w:r>
        <w:rPr>
          <w:sz w:val="20"/>
          <w:szCs w:val="20"/>
          <w:color w:val="auto"/>
        </w:rPr>
        <w:tab/>
      </w:r>
      <w:r>
        <w:rPr>
          <w:rFonts w:ascii="Times New Roman" w:cs="Times New Roman" w:eastAsia="Times New Roman" w:hAnsi="Times New Roman"/>
          <w:sz w:val="17"/>
          <w:szCs w:val="17"/>
          <w:b w:val="1"/>
          <w:bCs w:val="1"/>
          <w:color w:val="auto"/>
        </w:rPr>
        <w:t>Acceleration of Maturity; Rescission and Annulment.</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 or (e)</w:t>
      </w:r>
      <w:r>
        <w:rPr>
          <w:rFonts w:ascii="Times New Roman" w:cs="Times New Roman" w:eastAsia="Times New Roman" w:hAnsi="Times New Roman"/>
          <w:sz w:val="17"/>
          <w:szCs w:val="17"/>
          <w:color w:val="auto"/>
        </w:rPr>
        <w:t xml:space="preserv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such specified amount) and accrued and unpaid interest, if any, shall become immediately due and payable. If an Event of Default specified in </w:t>
      </w:r>
      <w:r>
        <w:rPr>
          <w:rFonts w:ascii="Times New Roman" w:cs="Times New Roman" w:eastAsia="Times New Roman" w:hAnsi="Times New Roman"/>
          <w:sz w:val="17"/>
          <w:szCs w:val="17"/>
          <w:u w:val="single" w:color="auto"/>
          <w:color w:val="auto"/>
        </w:rPr>
        <w:t>Section 6.1(d) or (e),</w:t>
      </w:r>
      <w:r>
        <w:rPr>
          <w:rFonts w:ascii="Times New Roman" w:cs="Times New Roman" w:eastAsia="Times New Roman" w:hAnsi="Times New Roman"/>
          <w:sz w:val="17"/>
          <w:szCs w:val="17"/>
          <w:color w:val="auto"/>
        </w:rPr>
        <w:t xml:space="preserv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76"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including any related payment default that resulted from such acceleration, if all Events of Default with respect to Securities of that Series, other than the non-payment of the principal and interest, if any, of Securities of that Series which have become due solely by such declaration of acceleration, have been cured or waived as provided in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such rescission shall affect any subsequent Default or impair any right consequent thereon.</w:t>
      </w:r>
    </w:p>
    <w:p>
      <w:pPr>
        <w:spacing w:after="0" w:line="21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6.3.</w:t>
      </w:r>
      <w:r>
        <w:rPr>
          <w:sz w:val="20"/>
          <w:szCs w:val="20"/>
          <w:color w:val="auto"/>
        </w:rPr>
        <w:tab/>
      </w:r>
      <w:r>
        <w:rPr>
          <w:rFonts w:ascii="Times New Roman" w:cs="Times New Roman" w:eastAsia="Times New Roman" w:hAnsi="Times New Roman"/>
          <w:sz w:val="17"/>
          <w:szCs w:val="17"/>
          <w:b w:val="1"/>
          <w:bCs w:val="1"/>
          <w:color w:val="auto"/>
        </w:rPr>
        <w:t>Collection of Indebtedness and Suits for Enforcement by Trustee.</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covenants that if:</w:t>
      </w:r>
    </w:p>
    <w:p>
      <w:pPr>
        <w:spacing w:after="0" w:line="216" w:lineRule="exact"/>
        <w:rPr>
          <w:sz w:val="20"/>
          <w:szCs w:val="20"/>
          <w:color w:val="auto"/>
        </w:rPr>
      </w:pPr>
    </w:p>
    <w:p>
      <w:pPr>
        <w:ind w:left="1860" w:hanging="624"/>
        <w:spacing w:after="0" w:line="285" w:lineRule="auto"/>
        <w:tabs>
          <w:tab w:leader="none" w:pos="18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is made in the payment of any interest on any Security when such interest becomes due and payable and such default continues for a period of 30 days, 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ind w:left="1860" w:hanging="624"/>
        <w:spacing w:after="0"/>
        <w:tabs>
          <w:tab w:leader="none" w:pos="18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is made in the payment of principal of any Security at the Maturity thereof, or</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is made in the deposit of any sinking fund payment when and as due by the terms of a Security,</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then, the Company and the Guarantors shall,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71"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If the Company or the Guarantors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any Guarantor or any other obligor upon such Securities and collect the moneys adjudged or deemed to be payable in the manner provided by law out of the property of the Company, any Guarantor or any other obligor upon such Securities, wherever situated.</w:t>
      </w:r>
    </w:p>
    <w:p>
      <w:pPr>
        <w:spacing w:after="0" w:line="171"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If an Event of Default with respect to any Securities of any Series occurs and is continuing, the Trustee may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6.4.</w:t>
      </w:r>
      <w:r>
        <w:rPr>
          <w:sz w:val="20"/>
          <w:szCs w:val="20"/>
          <w:color w:val="auto"/>
        </w:rPr>
        <w:tab/>
      </w:r>
      <w:r>
        <w:rPr>
          <w:rFonts w:ascii="Times New Roman" w:cs="Times New Roman" w:eastAsia="Times New Roman" w:hAnsi="Times New Roman"/>
          <w:sz w:val="17"/>
          <w:szCs w:val="17"/>
          <w:b w:val="1"/>
          <w:bCs w:val="1"/>
          <w:color w:val="auto"/>
        </w:rPr>
        <w:t>Trustee May File Proofs of Claim.</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5" w:lineRule="exact"/>
        <w:rPr>
          <w:sz w:val="20"/>
          <w:szCs w:val="20"/>
          <w:color w:val="auto"/>
        </w:rPr>
      </w:pPr>
    </w:p>
    <w:p>
      <w:pPr>
        <w:jc w:val="both"/>
        <w:ind w:left="1860" w:hanging="624"/>
        <w:spacing w:after="0" w:line="260" w:lineRule="auto"/>
        <w:tabs>
          <w:tab w:leader="none" w:pos="18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file and prove a claim for the whole amount of principal or, if the Securities of such Series are Discount Securities, such amounts as may be due and payable with respect to such Securities pursuant to an acceleration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jc w:val="both"/>
        <w:ind w:left="1860" w:hanging="624"/>
        <w:spacing w:after="0" w:line="260" w:lineRule="auto"/>
        <w:tabs>
          <w:tab w:leader="none" w:pos="1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such payments shall be made directly to the Holders, to pay to the Trustee any amount due it for the reasonable compensation, expenses, disbursements and advances of the Trustee, its agents and counsel, and any other amounts due the Trustee under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6.5.</w:t>
      </w:r>
      <w:r>
        <w:rPr>
          <w:sz w:val="20"/>
          <w:szCs w:val="20"/>
          <w:color w:val="auto"/>
        </w:rPr>
        <w:tab/>
      </w:r>
      <w:r>
        <w:rPr>
          <w:rFonts w:ascii="Times New Roman" w:cs="Times New Roman" w:eastAsia="Times New Roman" w:hAnsi="Times New Roman"/>
          <w:sz w:val="17"/>
          <w:szCs w:val="17"/>
          <w:b w:val="1"/>
          <w:bCs w:val="1"/>
          <w:color w:val="auto"/>
        </w:rPr>
        <w:t>Trustee May Enforce Claims Without Possession of Securities.</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6.6.</w:t>
      </w:r>
      <w:r>
        <w:rPr>
          <w:sz w:val="20"/>
          <w:szCs w:val="20"/>
          <w:color w:val="auto"/>
        </w:rPr>
        <w:tab/>
      </w:r>
      <w:r>
        <w:rPr>
          <w:rFonts w:ascii="Times New Roman" w:cs="Times New Roman" w:eastAsia="Times New Roman" w:hAnsi="Times New Roman"/>
          <w:sz w:val="17"/>
          <w:szCs w:val="17"/>
          <w:b w:val="1"/>
          <w:bCs w:val="1"/>
          <w:color w:val="auto"/>
        </w:rPr>
        <w:t>Application of Money Collected.</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First: To the payment of all amounts due the Trustee (acting in any capacity hereunder) under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and</w:t>
      </w:r>
    </w:p>
    <w:p>
      <w:pPr>
        <w:spacing w:after="0" w:line="216"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Third: To the Company or the Guarantors, as applicable.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6.7.</w:t>
      </w:r>
      <w:r>
        <w:rPr>
          <w:sz w:val="20"/>
          <w:szCs w:val="20"/>
          <w:color w:val="auto"/>
        </w:rPr>
        <w:tab/>
      </w:r>
      <w:r>
        <w:rPr>
          <w:rFonts w:ascii="Times New Roman" w:cs="Times New Roman" w:eastAsia="Times New Roman" w:hAnsi="Times New Roman"/>
          <w:sz w:val="16"/>
          <w:szCs w:val="16"/>
          <w:b w:val="1"/>
          <w:bCs w:val="1"/>
          <w:color w:val="auto"/>
        </w:rPr>
        <w:t>Limitation on Suits.</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No Holder of any Security of any Series shall have any right to institute any proceeding, judicial or otherwise, with respect to this Indenture, or for the appointment of a receiver or trustee, or for any remedy hereunder, unless</w:t>
      </w:r>
    </w:p>
    <w:p>
      <w:pPr>
        <w:spacing w:after="0" w:line="152" w:lineRule="exact"/>
        <w:rPr>
          <w:sz w:val="20"/>
          <w:szCs w:val="20"/>
          <w:color w:val="auto"/>
        </w:rPr>
      </w:pPr>
    </w:p>
    <w:p>
      <w:pPr>
        <w:ind w:left="1860" w:hanging="624"/>
        <w:spacing w:after="0" w:line="285" w:lineRule="auto"/>
        <w:tabs>
          <w:tab w:leader="none" w:pos="18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previously given written notice to the Trustee of a continuing Event of Default with respect to the Securities of that Series;</w:t>
      </w:r>
    </w:p>
    <w:p>
      <w:pPr>
        <w:spacing w:after="0" w:line="152"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52"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 Holders have offered to the Trustee indemnity or security reasonably satisfactory to the Trustee against the costs, claims, expenses and liabilities which might be incurred by the Trustee in compliance with such request;</w:t>
      </w:r>
    </w:p>
    <w:p>
      <w:pPr>
        <w:spacing w:after="0" w:line="152"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for 60 days after its receipt of such notice, request and offer of indemnity has failed to institute any such proceeding; and</w:t>
      </w:r>
    </w:p>
    <w:p>
      <w:pPr>
        <w:spacing w:after="0" w:line="215"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direction inconsistent with such written request has been given to the Trustee during such 60-day period by the Holders of a majority in principal amount of the outstanding Securities of that Series;</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(it being expressly understood that the Trustee shall not have an affirmative duty to ascertain whether such action is prejudicial).</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6.8.</w:t>
      </w:r>
      <w:r>
        <w:rPr>
          <w:sz w:val="20"/>
          <w:szCs w:val="20"/>
          <w:color w:val="auto"/>
        </w:rPr>
        <w:tab/>
      </w:r>
      <w:r>
        <w:rPr>
          <w:rFonts w:ascii="Times New Roman" w:cs="Times New Roman" w:eastAsia="Times New Roman" w:hAnsi="Times New Roman"/>
          <w:sz w:val="17"/>
          <w:szCs w:val="17"/>
          <w:b w:val="1"/>
          <w:bCs w:val="1"/>
          <w:color w:val="auto"/>
        </w:rPr>
        <w:t>Unconditional Right of Holders to Receive Principal and Interest.</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6.9.</w:t>
      </w:r>
      <w:r>
        <w:rPr>
          <w:sz w:val="20"/>
          <w:szCs w:val="20"/>
          <w:color w:val="auto"/>
        </w:rPr>
        <w:tab/>
      </w:r>
      <w:r>
        <w:rPr>
          <w:rFonts w:ascii="Times New Roman" w:cs="Times New Roman" w:eastAsia="Times New Roman" w:hAnsi="Times New Roman"/>
          <w:sz w:val="17"/>
          <w:szCs w:val="17"/>
          <w:b w:val="1"/>
          <w:bCs w:val="1"/>
          <w:color w:val="auto"/>
        </w:rPr>
        <w:t>Restoration of Rights and Remedies.</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6.10.</w:t>
      </w:r>
      <w:r>
        <w:rPr>
          <w:sz w:val="20"/>
          <w:szCs w:val="20"/>
          <w:color w:val="auto"/>
        </w:rPr>
        <w:tab/>
      </w:r>
      <w:r>
        <w:rPr>
          <w:rFonts w:ascii="Times New Roman" w:cs="Times New Roman" w:eastAsia="Times New Roman" w:hAnsi="Times New Roman"/>
          <w:sz w:val="17"/>
          <w:szCs w:val="17"/>
          <w:b w:val="1"/>
          <w:bCs w:val="1"/>
          <w:color w:val="auto"/>
        </w:rPr>
        <w:t>Rights and Remedies Cumulative.</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 xml:space="preserve">Except as otherwise provided with respect to the replacement or payment of mutilated, destroyed, lost or stolen Securities in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6.11.</w:t>
      </w:r>
      <w:r>
        <w:rPr>
          <w:sz w:val="20"/>
          <w:szCs w:val="20"/>
          <w:color w:val="auto"/>
        </w:rPr>
        <w:tab/>
      </w:r>
      <w:r>
        <w:rPr>
          <w:rFonts w:ascii="Times New Roman" w:cs="Times New Roman" w:eastAsia="Times New Roman" w:hAnsi="Times New Roman"/>
          <w:sz w:val="16"/>
          <w:szCs w:val="16"/>
          <w:b w:val="1"/>
          <w:bCs w:val="1"/>
          <w:color w:val="auto"/>
        </w:rPr>
        <w:t>Delay or Omission Not Waiver.</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6.12.</w:t>
      </w:r>
      <w:r>
        <w:rPr>
          <w:sz w:val="20"/>
          <w:szCs w:val="20"/>
          <w:color w:val="auto"/>
        </w:rPr>
        <w:tab/>
      </w:r>
      <w:r>
        <w:rPr>
          <w:rFonts w:ascii="Times New Roman" w:cs="Times New Roman" w:eastAsia="Times New Roman" w:hAnsi="Times New Roman"/>
          <w:sz w:val="17"/>
          <w:szCs w:val="17"/>
          <w:b w:val="1"/>
          <w:bCs w:val="1"/>
          <w:color w:val="auto"/>
        </w:rPr>
        <w:t>Control by Holders.</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65" w:lineRule="exact"/>
        <w:rPr>
          <w:sz w:val="20"/>
          <w:szCs w:val="20"/>
          <w:color w:val="auto"/>
        </w:rPr>
      </w:pPr>
    </w:p>
    <w:p>
      <w:pPr>
        <w:ind w:left="1860" w:hanging="624"/>
        <w:spacing w:after="0"/>
        <w:tabs>
          <w:tab w:leader="none" w:pos="18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direction shall not be in conflict with any rule of law or with this Indenture;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take any other action deemed proper by the Trustee which is not inconsistent with such direction;</w:t>
      </w:r>
    </w:p>
    <w:p>
      <w:pPr>
        <w:spacing w:after="0" w:line="215" w:lineRule="exact"/>
        <w:rPr>
          <w:rFonts w:ascii="Times New Roman" w:cs="Times New Roman" w:eastAsia="Times New Roman" w:hAnsi="Times New Roman"/>
          <w:sz w:val="17"/>
          <w:szCs w:val="17"/>
          <w:color w:val="auto"/>
        </w:rPr>
      </w:pPr>
    </w:p>
    <w:p>
      <w:pPr>
        <w:jc w:val="both"/>
        <w:ind w:left="1860" w:hanging="624"/>
        <w:spacing w:after="0" w:line="260" w:lineRule="auto"/>
        <w:tabs>
          <w:tab w:leader="none" w:pos="18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shall have the right to decline to follow any such direction if the Trustee in good faith shall, by a Responsible Officer of the Trustee, determine that the proceeding so directed would involve the Trustee in personal liability, the direction is in conflict with any law or this Indenture, or the direction would be unduly prejudicial to the Holders of such Series not joining therein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Trustee may take any other action deemed proper by the Trustee that is not inconsistent with such direction (it being expressly understood that the Trustee shall not have an affirmative duty to ascertain whether such action is prejudicial); and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ind w:left="1860" w:hanging="624"/>
        <w:spacing w:after="0" w:line="285" w:lineRule="auto"/>
        <w:tabs>
          <w:tab w:leader="none" w:pos="18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taking any action as directed under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the Trustee shall receive indemnity or security satisfactory to it against the costs, claims, expenses and liabilities which might be incurred by it in compliance with such request or direction.</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6.13.</w:t>
      </w:r>
      <w:r>
        <w:rPr>
          <w:sz w:val="20"/>
          <w:szCs w:val="20"/>
          <w:color w:val="auto"/>
        </w:rPr>
        <w:tab/>
      </w:r>
      <w:r>
        <w:rPr>
          <w:rFonts w:ascii="Times New Roman" w:cs="Times New Roman" w:eastAsia="Times New Roman" w:hAnsi="Times New Roman"/>
          <w:sz w:val="16"/>
          <w:szCs w:val="16"/>
          <w:b w:val="1"/>
          <w:bCs w:val="1"/>
          <w:color w:val="auto"/>
        </w:rPr>
        <w:t>Waiver of Past Defaults.</w:t>
      </w:r>
    </w:p>
    <w:p>
      <w:pPr>
        <w:spacing w:after="0" w:line="220"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 xml:space="preserve">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6.14.</w:t>
      </w:r>
      <w:r>
        <w:rPr>
          <w:sz w:val="20"/>
          <w:szCs w:val="20"/>
          <w:color w:val="auto"/>
        </w:rPr>
        <w:tab/>
      </w:r>
      <w:r>
        <w:rPr>
          <w:rFonts w:ascii="Times New Roman" w:cs="Times New Roman" w:eastAsia="Times New Roman" w:hAnsi="Times New Roman"/>
          <w:sz w:val="17"/>
          <w:szCs w:val="17"/>
          <w:b w:val="1"/>
          <w:bCs w:val="1"/>
          <w:color w:val="auto"/>
        </w:rPr>
        <w:t>Undertaking for Costs.</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7.1.</w:t>
      </w:r>
      <w:r>
        <w:rPr>
          <w:sz w:val="20"/>
          <w:szCs w:val="20"/>
          <w:color w:val="auto"/>
        </w:rPr>
        <w:tab/>
      </w:r>
      <w:r>
        <w:rPr>
          <w:rFonts w:ascii="Times New Roman" w:cs="Times New Roman" w:eastAsia="Times New Roman" w:hAnsi="Times New Roman"/>
          <w:sz w:val="16"/>
          <w:szCs w:val="16"/>
          <w:b w:val="1"/>
          <w:bCs w:val="1"/>
          <w:color w:val="auto"/>
        </w:rPr>
        <w:t>Duties of Trustee.</w:t>
      </w:r>
    </w:p>
    <w:p>
      <w:pPr>
        <w:spacing w:after="0" w:line="220" w:lineRule="exact"/>
        <w:rPr>
          <w:sz w:val="20"/>
          <w:szCs w:val="20"/>
          <w:color w:val="auto"/>
        </w:rPr>
      </w:pPr>
    </w:p>
    <w:p>
      <w:pPr>
        <w:jc w:val="both"/>
        <w:ind w:left="1240" w:hanging="620"/>
        <w:spacing w:after="0" w:line="269"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ind w:left="620" w:hanging="620"/>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during the continuance of an Event of Default:</w:t>
      </w:r>
    </w:p>
    <w:p>
      <w:pPr>
        <w:spacing w:after="0" w:line="215" w:lineRule="exact"/>
        <w:rPr>
          <w:rFonts w:ascii="Times New Roman" w:cs="Times New Roman" w:eastAsia="Times New Roman" w:hAnsi="Times New Roman"/>
          <w:sz w:val="17"/>
          <w:szCs w:val="17"/>
          <w:color w:val="auto"/>
        </w:rPr>
      </w:pPr>
    </w:p>
    <w:p>
      <w:pPr>
        <w:ind w:left="1240" w:hanging="624"/>
        <w:spacing w:after="0" w:line="285" w:lineRule="auto"/>
        <w:tabs>
          <w:tab w:leader="none" w:pos="12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need perform only those duties that are specifically set forth in this Indenture and no others, and no implied covenants or obligations shall be read into this Indenture against the Trustee.</w:t>
      </w:r>
    </w:p>
    <w:p>
      <w:pPr>
        <w:spacing w:after="0" w:line="152" w:lineRule="exact"/>
        <w:rPr>
          <w:rFonts w:ascii="Times New Roman" w:cs="Times New Roman" w:eastAsia="Times New Roman" w:hAnsi="Times New Roman"/>
          <w:sz w:val="17"/>
          <w:szCs w:val="17"/>
          <w:color w:val="auto"/>
        </w:rPr>
      </w:pPr>
    </w:p>
    <w:p>
      <w:pPr>
        <w:jc w:val="both"/>
        <w:ind w:left="1240" w:hanging="624"/>
        <w:spacing w:after="0" w:line="257" w:lineRule="auto"/>
        <w:tabs>
          <w:tab w:leader="none" w:pos="12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may require and conclusively rely upon an Officer’s Certificate and/or an Opinion of Counsel.</w:t>
      </w:r>
    </w:p>
    <w:p>
      <w:pPr>
        <w:spacing w:after="0" w:line="175" w:lineRule="exact"/>
        <w:rPr>
          <w:rFonts w:ascii="Times New Roman" w:cs="Times New Roman" w:eastAsia="Times New Roman" w:hAnsi="Times New Roman"/>
          <w:sz w:val="17"/>
          <w:szCs w:val="17"/>
          <w:color w:val="auto"/>
        </w:rPr>
      </w:pPr>
    </w:p>
    <w:p>
      <w:pPr>
        <w:ind w:left="620" w:hanging="620"/>
        <w:spacing w:after="0" w:line="285"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not be relieved from liability for its own negligent action, its own negligent failure to act or its own willful misconduct, except that:</w:t>
      </w:r>
    </w:p>
    <w:p>
      <w:pPr>
        <w:spacing w:after="0" w:line="152"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paragraph does not limit the effect of </w:t>
      </w:r>
      <w:r>
        <w:rPr>
          <w:rFonts w:ascii="Times New Roman" w:cs="Times New Roman" w:eastAsia="Times New Roman" w:hAnsi="Times New Roman"/>
          <w:sz w:val="17"/>
          <w:szCs w:val="17"/>
          <w:u w:val="single" w:color="auto"/>
          <w:color w:val="auto"/>
        </w:rPr>
        <w:t>para</w:t>
      </w:r>
      <w:r>
        <w:rPr>
          <w:rFonts w:ascii="Times New Roman" w:cs="Times New Roman" w:eastAsia="Times New Roman" w:hAnsi="Times New Roman"/>
          <w:sz w:val="17"/>
          <w:szCs w:val="17"/>
          <w:color w:val="auto"/>
        </w:rPr>
        <w:t>gra</w:t>
      </w:r>
      <w:r>
        <w:rPr>
          <w:rFonts w:ascii="Times New Roman" w:cs="Times New Roman" w:eastAsia="Times New Roman" w:hAnsi="Times New Roman"/>
          <w:sz w:val="17"/>
          <w:szCs w:val="17"/>
          <w:u w:val="single" w:color="auto"/>
          <w:color w:val="auto"/>
        </w:rPr>
        <w:t>ph</w:t>
      </w:r>
      <w:r>
        <w:rPr>
          <w:rFonts w:ascii="Times New Roman" w:cs="Times New Roman" w:eastAsia="Times New Roman" w:hAnsi="Times New Roman"/>
          <w:sz w:val="17"/>
          <w:szCs w:val="17"/>
          <w:color w:val="auto"/>
        </w:rPr>
        <w:t xml:space="preserve"> (b) of this Section.</w:t>
      </w:r>
    </w:p>
    <w:p>
      <w:pPr>
        <w:spacing w:after="0" w:line="215" w:lineRule="exact"/>
        <w:rPr>
          <w:rFonts w:ascii="Times New Roman" w:cs="Times New Roman" w:eastAsia="Times New Roman" w:hAnsi="Times New Roman"/>
          <w:sz w:val="17"/>
          <w:szCs w:val="17"/>
          <w:color w:val="auto"/>
        </w:rPr>
      </w:pPr>
    </w:p>
    <w:p>
      <w:pPr>
        <w:ind w:left="1240" w:hanging="624"/>
        <w:spacing w:after="0" w:line="285" w:lineRule="auto"/>
        <w:tabs>
          <w:tab w:leader="none" w:pos="12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any error of judgment made in good faith by a Responsible Officer, unless it is proved that the Trustee was negligent in ascertaining the pertinent facts.</w:t>
      </w:r>
    </w:p>
    <w:p>
      <w:pPr>
        <w:spacing w:after="0" w:line="152" w:lineRule="exact"/>
        <w:rPr>
          <w:rFonts w:ascii="Times New Roman" w:cs="Times New Roman" w:eastAsia="Times New Roman" w:hAnsi="Times New Roman"/>
          <w:sz w:val="17"/>
          <w:szCs w:val="17"/>
          <w:color w:val="auto"/>
        </w:rPr>
      </w:pPr>
    </w:p>
    <w:p>
      <w:pPr>
        <w:jc w:val="both"/>
        <w:ind w:left="1240" w:hanging="624"/>
        <w:spacing w:after="0" w:line="260" w:lineRule="auto"/>
        <w:tabs>
          <w:tab w:leader="none" w:pos="12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left="620" w:hanging="620"/>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Every provision of this Indenture that in any way relates to the Trustee is subject to </w:t>
      </w:r>
      <w:r>
        <w:rPr>
          <w:rFonts w:ascii="Times New Roman" w:cs="Times New Roman" w:eastAsia="Times New Roman" w:hAnsi="Times New Roman"/>
          <w:sz w:val="17"/>
          <w:szCs w:val="17"/>
          <w:u w:val="single" w:color="auto"/>
          <w:color w:val="auto"/>
        </w:rPr>
        <w:t>para</w:t>
      </w:r>
      <w:r>
        <w:rPr>
          <w:rFonts w:ascii="Times New Roman" w:cs="Times New Roman" w:eastAsia="Times New Roman" w:hAnsi="Times New Roman"/>
          <w:sz w:val="17"/>
          <w:szCs w:val="17"/>
          <w:color w:val="auto"/>
        </w:rPr>
        <w:t>gra</w:t>
      </w:r>
      <w:r>
        <w:rPr>
          <w:rFonts w:ascii="Times New Roman" w:cs="Times New Roman" w:eastAsia="Times New Roman" w:hAnsi="Times New Roman"/>
          <w:sz w:val="17"/>
          <w:szCs w:val="17"/>
          <w:u w:val="single" w:color="auto"/>
          <w:color w:val="auto"/>
        </w:rPr>
        <w:t>ph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 (b) and (c)</w:t>
      </w:r>
      <w:r>
        <w:rPr>
          <w:rFonts w:ascii="Times New Roman" w:cs="Times New Roman" w:eastAsia="Times New Roman" w:hAnsi="Times New Roman"/>
          <w:sz w:val="17"/>
          <w:szCs w:val="17"/>
          <w:color w:val="auto"/>
        </w:rPr>
        <w:t xml:space="preserve"> of this Section.</w:t>
      </w:r>
    </w:p>
    <w:p>
      <w:pPr>
        <w:spacing w:after="0" w:line="215" w:lineRule="exact"/>
        <w:rPr>
          <w:rFonts w:ascii="Times New Roman" w:cs="Times New Roman" w:eastAsia="Times New Roman" w:hAnsi="Times New Roman"/>
          <w:sz w:val="17"/>
          <w:szCs w:val="17"/>
          <w:color w:val="auto"/>
        </w:rPr>
      </w:pPr>
    </w:p>
    <w:p>
      <w:pPr>
        <w:jc w:val="both"/>
        <w:ind w:left="620" w:hanging="620"/>
        <w:spacing w:after="0" w:line="269"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refuse to perform any duty or exercise any right or power unless it receives security or indemnity satisfactory to it against the losses, costs, claims, expenses and liabilities which might be incurred by it in performing such duty or exercising such right or power (including, but in no way limited to, the fees and disbursements of agents and attorneys).</w:t>
      </w:r>
    </w:p>
    <w:p>
      <w:pPr>
        <w:spacing w:after="0" w:line="3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33020</wp:posOffset>
            </wp:positionV>
            <wp:extent cx="713867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67" w:name="page68"/>
    <w:bookmarkEnd w:id="67"/>
    <w:p>
      <w:pPr>
        <w:ind w:left="1240" w:hanging="620"/>
        <w:spacing w:after="0" w:line="28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52" w:lineRule="exact"/>
        <w:rPr>
          <w:rFonts w:ascii="Times New Roman" w:cs="Times New Roman" w:eastAsia="Times New Roman" w:hAnsi="Times New Roman"/>
          <w:sz w:val="17"/>
          <w:szCs w:val="17"/>
          <w:color w:val="auto"/>
        </w:rPr>
      </w:pPr>
    </w:p>
    <w:p>
      <w:pPr>
        <w:jc w:val="both"/>
        <w:ind w:left="1240" w:hanging="620"/>
        <w:spacing w:after="0" w:line="269"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Indenture shall require the Trustee to expend or risk its own funds or otherwise incur any financial liability in the performance of any of its duties, or in the exercise of any of its rights or powers. The Trustee shall not be required to give any bond or surety in respect of the performance of its powers or duties hereunder.</w:t>
      </w:r>
    </w:p>
    <w:p>
      <w:pPr>
        <w:spacing w:after="0" w:line="164" w:lineRule="exact"/>
        <w:rPr>
          <w:rFonts w:ascii="Times New Roman" w:cs="Times New Roman" w:eastAsia="Times New Roman" w:hAnsi="Times New Roman"/>
          <w:sz w:val="17"/>
          <w:szCs w:val="17"/>
          <w:color w:val="auto"/>
        </w:rPr>
      </w:pPr>
    </w:p>
    <w:p>
      <w:pPr>
        <w:ind w:left="1240" w:hanging="620"/>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Paying Agent, the Registrar and any authenticating agent shall be entitled to the protections and immunities as are set forth in </w:t>
      </w:r>
      <w:r>
        <w:rPr>
          <w:rFonts w:ascii="Times New Roman" w:cs="Times New Roman" w:eastAsia="Times New Roman" w:hAnsi="Times New Roman"/>
          <w:sz w:val="17"/>
          <w:szCs w:val="17"/>
          <w:u w:val="single" w:color="auto"/>
          <w:color w:val="auto"/>
        </w:rPr>
        <w:t>para</w:t>
      </w:r>
      <w:r>
        <w:rPr>
          <w:rFonts w:ascii="Times New Roman" w:cs="Times New Roman" w:eastAsia="Times New Roman" w:hAnsi="Times New Roman"/>
          <w:sz w:val="17"/>
          <w:szCs w:val="17"/>
          <w:color w:val="auto"/>
        </w:rPr>
        <w:t>gra</w:t>
      </w:r>
      <w:r>
        <w:rPr>
          <w:rFonts w:ascii="Times New Roman" w:cs="Times New Roman" w:eastAsia="Times New Roman" w:hAnsi="Times New Roman"/>
          <w:sz w:val="17"/>
          <w:szCs w:val="17"/>
          <w:u w:val="single" w:color="auto"/>
          <w:color w:val="auto"/>
        </w:rPr>
        <w:t>phs (e),</w:t>
      </w:r>
    </w:p>
    <w:p>
      <w:pPr>
        <w:spacing w:after="0" w:line="27"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 and (g)</w:t>
      </w:r>
      <w:r>
        <w:rPr>
          <w:rFonts w:ascii="Times New Roman" w:cs="Times New Roman" w:eastAsia="Times New Roman" w:hAnsi="Times New Roman"/>
          <w:sz w:val="17"/>
          <w:szCs w:val="17"/>
          <w:color w:val="auto"/>
        </w:rPr>
        <w:t xml:space="preserve"> of this Section, each with respect to the Trustee.</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7.2.</w:t>
      </w:r>
      <w:r>
        <w:rPr>
          <w:sz w:val="20"/>
          <w:szCs w:val="20"/>
          <w:color w:val="auto"/>
        </w:rPr>
        <w:tab/>
      </w:r>
      <w:r>
        <w:rPr>
          <w:rFonts w:ascii="Times New Roman" w:cs="Times New Roman" w:eastAsia="Times New Roman" w:hAnsi="Times New Roman"/>
          <w:sz w:val="17"/>
          <w:szCs w:val="17"/>
          <w:b w:val="1"/>
          <w:bCs w:val="1"/>
          <w:color w:val="auto"/>
        </w:rPr>
        <w:t>Rights of Trustee.</w:t>
      </w:r>
    </w:p>
    <w:p>
      <w:pPr>
        <w:spacing w:after="0" w:line="220" w:lineRule="exact"/>
        <w:rPr>
          <w:sz w:val="20"/>
          <w:szCs w:val="20"/>
          <w:color w:val="auto"/>
        </w:rPr>
      </w:pPr>
    </w:p>
    <w:p>
      <w:pPr>
        <w:jc w:val="both"/>
        <w:ind w:left="1240" w:hanging="620"/>
        <w:spacing w:after="0" w:line="269"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entitled to conclusively rely on and shall be protected in acting or refraining from acting upon any document (whether in its original, facsimile or electronic (including .pdf) form) reasonably believed by it to be genuine and to have been signed or presented by the proper person. The Trustee need not investigate any fact or matter stated in the document.</w:t>
      </w:r>
    </w:p>
    <w:p>
      <w:pPr>
        <w:spacing w:after="0" w:line="164" w:lineRule="exact"/>
        <w:rPr>
          <w:rFonts w:ascii="Times New Roman" w:cs="Times New Roman" w:eastAsia="Times New Roman" w:hAnsi="Times New Roman"/>
          <w:sz w:val="17"/>
          <w:szCs w:val="17"/>
          <w:color w:val="auto"/>
        </w:rPr>
      </w:pPr>
    </w:p>
    <w:p>
      <w:pPr>
        <w:jc w:val="both"/>
        <w:ind w:left="1240" w:hanging="620"/>
        <w:spacing w:after="0" w:line="269"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Before the Trustee acts or refrains from acting, it may require and shall be entitled to receive an Officer’s Certificate and an Opinion of Counsel, or both, which shall conform to the provisions of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The Trustee shall be protected and shall not be liable for any action it takes or omits to take in good faith in reliance on such Officer’s Certificate and Opinion of Counsel.</w:t>
      </w:r>
    </w:p>
    <w:p>
      <w:pPr>
        <w:spacing w:after="0" w:line="164" w:lineRule="exact"/>
        <w:rPr>
          <w:rFonts w:ascii="Times New Roman" w:cs="Times New Roman" w:eastAsia="Times New Roman" w:hAnsi="Times New Roman"/>
          <w:sz w:val="17"/>
          <w:szCs w:val="17"/>
          <w:color w:val="auto"/>
        </w:rPr>
      </w:pPr>
    </w:p>
    <w:p>
      <w:pPr>
        <w:ind w:left="1240" w:hanging="620"/>
        <w:spacing w:after="0" w:line="28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52" w:lineRule="exact"/>
        <w:rPr>
          <w:rFonts w:ascii="Times New Roman" w:cs="Times New Roman" w:eastAsia="Times New Roman" w:hAnsi="Times New Roman"/>
          <w:sz w:val="17"/>
          <w:szCs w:val="17"/>
          <w:color w:val="auto"/>
        </w:rPr>
      </w:pPr>
    </w:p>
    <w:p>
      <w:pPr>
        <w:ind w:left="1240" w:hanging="620"/>
        <w:spacing w:after="0" w:line="28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shall not be liable for any action it takes or omits to take in good faith which it believes to be authorized or within its rights or powers;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Trustee’s conduct does not constitute willful misconduct or negligence.</w:t>
      </w:r>
    </w:p>
    <w:p>
      <w:pPr>
        <w:spacing w:after="0" w:line="152" w:lineRule="exact"/>
        <w:rPr>
          <w:rFonts w:ascii="Times New Roman" w:cs="Times New Roman" w:eastAsia="Times New Roman" w:hAnsi="Times New Roman"/>
          <w:sz w:val="17"/>
          <w:szCs w:val="17"/>
          <w:color w:val="auto"/>
        </w:rPr>
      </w:pPr>
    </w:p>
    <w:p>
      <w:pPr>
        <w:jc w:val="both"/>
        <w:ind w:left="1240" w:hanging="620"/>
        <w:spacing w:after="0" w:line="269"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of its selection and the advice of such counsel or any Opinion of Counsel shall be full and complete authorization and protection from liability in respect of any action taken, suffered or omitted by it hereunder without willful misconduct or negligence, and in reliance on the advice or opinion of such counsel.</w:t>
      </w:r>
    </w:p>
    <w:p>
      <w:pPr>
        <w:spacing w:after="0" w:line="164" w:lineRule="exact"/>
        <w:rPr>
          <w:rFonts w:ascii="Times New Roman" w:cs="Times New Roman" w:eastAsia="Times New Roman" w:hAnsi="Times New Roman"/>
          <w:sz w:val="17"/>
          <w:szCs w:val="17"/>
          <w:color w:val="auto"/>
        </w:rPr>
      </w:pPr>
    </w:p>
    <w:p>
      <w:pPr>
        <w:jc w:val="both"/>
        <w:ind w:left="1240" w:hanging="620"/>
        <w:spacing w:after="0" w:line="269"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privileges, protections, immunities and benefits given to the Trustee, including, without limitation, its right to be compensated, reimbursed and indemnified, are extended to, and shall be enforceable by, the Trustee in each of its capacities hereunder (including, but not limited to, as Registrar and Paying Agent), each Agent, and each agent, custodian and other person employed to act hereunder.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jc w:val="both"/>
        <w:ind w:left="620" w:hanging="620"/>
        <w:spacing w:after="0" w:line="269"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claims, expenses and liabilities which might be incurred by it in compliance with such request or direction.</w:t>
      </w:r>
    </w:p>
    <w:p>
      <w:pPr>
        <w:spacing w:after="0" w:line="164" w:lineRule="exact"/>
        <w:rPr>
          <w:rFonts w:ascii="Times New Roman" w:cs="Times New Roman" w:eastAsia="Times New Roman" w:hAnsi="Times New Roman"/>
          <w:sz w:val="17"/>
          <w:szCs w:val="17"/>
          <w:color w:val="auto"/>
        </w:rPr>
      </w:pPr>
    </w:p>
    <w:p>
      <w:pPr>
        <w:jc w:val="both"/>
        <w:ind w:left="620" w:hanging="620"/>
        <w:spacing w:after="0" w:line="269"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make such further inquiry or investigation into such facts or matters as it may see fit.</w:t>
      </w:r>
    </w:p>
    <w:p>
      <w:pPr>
        <w:spacing w:after="0" w:line="164" w:lineRule="exact"/>
        <w:rPr>
          <w:rFonts w:ascii="Times New Roman" w:cs="Times New Roman" w:eastAsia="Times New Roman" w:hAnsi="Times New Roman"/>
          <w:sz w:val="17"/>
          <w:szCs w:val="17"/>
          <w:color w:val="auto"/>
        </w:rPr>
      </w:pPr>
    </w:p>
    <w:p>
      <w:pPr>
        <w:jc w:val="both"/>
        <w:ind w:left="620" w:hanging="620"/>
        <w:spacing w:after="0" w:line="269"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deemed to have notice of any Default or Event of Default unless a Responsible Officer of the Trustee has actual knowledge thereof or unless written notice of any event which is in fact such a default is actually received by the Trustee at the Corporate Trust Office of the Trustee, and such notice references the Securities generally or the Securities of a particular Series and this Indenture.</w:t>
      </w:r>
    </w:p>
    <w:p>
      <w:pPr>
        <w:spacing w:after="0" w:line="164" w:lineRule="exact"/>
        <w:rPr>
          <w:rFonts w:ascii="Times New Roman" w:cs="Times New Roman" w:eastAsia="Times New Roman" w:hAnsi="Times New Roman"/>
          <w:sz w:val="17"/>
          <w:szCs w:val="17"/>
          <w:color w:val="auto"/>
        </w:rPr>
      </w:pPr>
    </w:p>
    <w:p>
      <w:pPr>
        <w:ind w:left="620" w:hanging="620"/>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permissive right or authority granted to the Trustee shall not be construed as a mandatory duty.</w:t>
      </w:r>
    </w:p>
    <w:p>
      <w:pPr>
        <w:spacing w:after="0" w:line="215" w:lineRule="exact"/>
        <w:rPr>
          <w:rFonts w:ascii="Times New Roman" w:cs="Times New Roman" w:eastAsia="Times New Roman" w:hAnsi="Times New Roman"/>
          <w:sz w:val="17"/>
          <w:szCs w:val="17"/>
          <w:color w:val="auto"/>
        </w:rPr>
      </w:pPr>
    </w:p>
    <w:p>
      <w:pPr>
        <w:jc w:val="both"/>
        <w:ind w:left="620" w:hanging="620"/>
        <w:spacing w:after="0" w:line="269"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4" w:lineRule="exact"/>
        <w:rPr>
          <w:rFonts w:ascii="Times New Roman" w:cs="Times New Roman" w:eastAsia="Times New Roman" w:hAnsi="Times New Roman"/>
          <w:sz w:val="17"/>
          <w:szCs w:val="17"/>
          <w:color w:val="auto"/>
        </w:rPr>
      </w:pPr>
    </w:p>
    <w:p>
      <w:pPr>
        <w:jc w:val="both"/>
        <w:ind w:left="620" w:hanging="620"/>
        <w:spacing w:after="0" w:line="269"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arising in connection with the Indenture.</w:t>
      </w:r>
    </w:p>
    <w:p>
      <w:pPr>
        <w:spacing w:after="0" w:line="164" w:lineRule="exact"/>
        <w:rPr>
          <w:rFonts w:ascii="Times New Roman" w:cs="Times New Roman" w:eastAsia="Times New Roman" w:hAnsi="Times New Roman"/>
          <w:sz w:val="17"/>
          <w:szCs w:val="17"/>
          <w:color w:val="auto"/>
        </w:rPr>
      </w:pPr>
    </w:p>
    <w:p>
      <w:pPr>
        <w:ind w:left="620" w:hanging="620"/>
        <w:spacing w:after="0" w:line="285"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required to give any bond or surety in respect of the execution of the trusts and powers or otherwise in respect of the Indenture.</w:t>
      </w:r>
    </w:p>
    <w:p>
      <w:pPr>
        <w:spacing w:after="0" w:line="152" w:lineRule="exact"/>
        <w:rPr>
          <w:rFonts w:ascii="Times New Roman" w:cs="Times New Roman" w:eastAsia="Times New Roman" w:hAnsi="Times New Roman"/>
          <w:sz w:val="17"/>
          <w:szCs w:val="17"/>
          <w:color w:val="auto"/>
        </w:rPr>
      </w:pPr>
    </w:p>
    <w:p>
      <w:pPr>
        <w:ind w:left="620" w:hanging="620"/>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no circumstances shall the Trustee be liable in its individual capacity for the obligations evidenced by the Securities.</w:t>
      </w:r>
    </w:p>
    <w:p>
      <w:pPr>
        <w:spacing w:after="0" w:line="215" w:lineRule="exact"/>
        <w:rPr>
          <w:rFonts w:ascii="Times New Roman" w:cs="Times New Roman" w:eastAsia="Times New Roman" w:hAnsi="Times New Roman"/>
          <w:sz w:val="17"/>
          <w:szCs w:val="17"/>
          <w:color w:val="auto"/>
        </w:rPr>
      </w:pPr>
    </w:p>
    <w:p>
      <w:pPr>
        <w:ind w:left="620" w:hanging="620"/>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not responsible for monitoring the performance by any third party of their duties or for their failure to perform.</w:t>
      </w:r>
    </w:p>
    <w:p>
      <w:pPr>
        <w:spacing w:after="0" w:line="3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33020</wp:posOffset>
            </wp:positionV>
            <wp:extent cx="713867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69" w:name="page70"/>
    <w:bookmarkEnd w:id="69"/>
    <w:p>
      <w:pPr>
        <w:jc w:val="both"/>
        <w:ind w:left="1240" w:hanging="620"/>
        <w:spacing w:after="0" w:line="269" w:lineRule="auto"/>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be construed to impose an obligation on the part of the Trustee to monitor, recalculate, evaluate or verify any report, certificate or information received from the Company or any other person (unless and except to the extent expressly set forth herein), or to monitor, verify or independently determine compliance by the Company with the terms hereof.</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7.3.</w:t>
      </w:r>
      <w:r>
        <w:rPr>
          <w:sz w:val="20"/>
          <w:szCs w:val="20"/>
          <w:color w:val="auto"/>
        </w:rPr>
        <w:tab/>
      </w:r>
      <w:r>
        <w:rPr>
          <w:rFonts w:ascii="Times New Roman" w:cs="Times New Roman" w:eastAsia="Times New Roman" w:hAnsi="Times New Roman"/>
          <w:sz w:val="17"/>
          <w:szCs w:val="17"/>
          <w:b w:val="1"/>
          <w:bCs w:val="1"/>
          <w:color w:val="auto"/>
        </w:rPr>
        <w:t>Individual Rights of Trustee.</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w:t>
      </w:r>
      <w:r>
        <w:rPr>
          <w:rFonts w:ascii="Times New Roman" w:cs="Times New Roman" w:eastAsia="Times New Roman" w:hAnsi="Times New Roman"/>
          <w:sz w:val="17"/>
          <w:szCs w:val="17"/>
          <w:u w:val="single" w:color="auto"/>
          <w:color w:val="auto"/>
        </w:rPr>
        <w:t>Sections 7.10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7.11</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7.4.</w:t>
      </w:r>
      <w:r>
        <w:rPr>
          <w:sz w:val="20"/>
          <w:szCs w:val="20"/>
          <w:color w:val="auto"/>
        </w:rPr>
        <w:tab/>
      </w:r>
      <w:r>
        <w:rPr>
          <w:rFonts w:ascii="Times New Roman" w:cs="Times New Roman" w:eastAsia="Times New Roman" w:hAnsi="Times New Roman"/>
          <w:sz w:val="16"/>
          <w:szCs w:val="16"/>
          <w:b w:val="1"/>
          <w:bCs w:val="1"/>
          <w:color w:val="auto"/>
        </w:rPr>
        <w:t>Trustee’s Disclaimer.</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7.5.</w:t>
      </w:r>
      <w:r>
        <w:rPr>
          <w:sz w:val="20"/>
          <w:szCs w:val="20"/>
          <w:color w:val="auto"/>
        </w:rPr>
        <w:tab/>
      </w:r>
      <w:r>
        <w:rPr>
          <w:rFonts w:ascii="Times New Roman" w:cs="Times New Roman" w:eastAsia="Times New Roman" w:hAnsi="Times New Roman"/>
          <w:sz w:val="17"/>
          <w:szCs w:val="17"/>
          <w:b w:val="1"/>
          <w:bCs w:val="1"/>
          <w:color w:val="auto"/>
        </w:rPr>
        <w:t>Notice of Defaults.</w:t>
      </w:r>
    </w:p>
    <w:p>
      <w:pPr>
        <w:spacing w:after="0" w:line="220"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 xml:space="preserve">If a Default or Event of Default occurs and is continuing with respect to the Securities of any Series and if it is actually known to a Responsible Officer of the Trustee, the Trustee shall deliver to each Securityholder of the Securities of that Series, in the manner set forth in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the Trustee in good faith determines that withholding the notice is in the interests of Securityholders of that Series.</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7.6.</w:t>
      </w:r>
      <w:r>
        <w:rPr>
          <w:sz w:val="20"/>
          <w:szCs w:val="20"/>
          <w:color w:val="auto"/>
        </w:rPr>
        <w:tab/>
      </w:r>
      <w:r>
        <w:rPr>
          <w:rFonts w:ascii="Times New Roman" w:cs="Times New Roman" w:eastAsia="Times New Roman" w:hAnsi="Times New Roman"/>
          <w:sz w:val="16"/>
          <w:szCs w:val="16"/>
          <w:b w:val="1"/>
          <w:bCs w:val="1"/>
          <w:color w:val="auto"/>
        </w:rPr>
        <w:t>Reports by Trustee to Holders.</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Within 60 days after May 15 of each year, the Trustee shall transmit to all Securityholders, as their names and addresses appear on the register kept by the Registrar, a brief report dated as of such anniversary date, in accordance with, and to the extent required under, TIA Section 313.</w:t>
      </w:r>
    </w:p>
    <w:p>
      <w:pPr>
        <w:spacing w:after="0" w:line="152"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A copy of each report at the time of its delivery to Securityholders of any Series shall be filed with the SEC and each national securities exchange on which the Securities of that Series are listed. The Company shall promptly notify the Trustee in writing when Securities of any Series are listed or de-listed on any national securities exchange and of any delisting thereof.</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7.7.</w:t>
      </w:r>
      <w:r>
        <w:rPr>
          <w:sz w:val="20"/>
          <w:szCs w:val="20"/>
          <w:color w:val="auto"/>
        </w:rPr>
        <w:tab/>
      </w:r>
      <w:r>
        <w:rPr>
          <w:rFonts w:ascii="Times New Roman" w:cs="Times New Roman" w:eastAsia="Times New Roman" w:hAnsi="Times New Roman"/>
          <w:sz w:val="16"/>
          <w:szCs w:val="16"/>
          <w:b w:val="1"/>
          <w:bCs w:val="1"/>
          <w:color w:val="auto"/>
        </w:rPr>
        <w:t>Compensation and Indemnity.</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The Company shall pay to the Trustee (acting in any capacity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and Agents upon request for all reasonable disbursements, out-of-pocket expenses and advances incurred or made by it. Such expenses shall include the reasonable compensation, disbursements and expenses of the Trustee’s agents and counsel.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 xml:space="preserve">The Company shall indemnify each of the Trustee (acting in any capacity hereunder) and any predecessor Trustee (including the cost of defending itself) against any cost, claim,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7.7</w:t>
      </w:r>
      <w:r>
        <w:rPr>
          <w:rFonts w:ascii="Times New Roman" w:cs="Times New Roman" w:eastAsia="Times New Roman" w:hAnsi="Times New Roman"/>
          <w:sz w:val="17"/>
          <w:szCs w:val="17"/>
          <w:color w:val="auto"/>
        </w:rPr>
        <w:t>. The Company shall defend the claim and the Trustee shall cooperate in the defense. The Trustee may have separate counsel of its selection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(acting in any capacity hereunder).</w:t>
      </w:r>
    </w:p>
    <w:p>
      <w:pPr>
        <w:spacing w:after="0" w:line="179"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Company need not reimburse any expense or indemnify against any loss or liability incurred by the Trustee or by any officer, director, employee, shareholder or agent of the Trustee through willful misconduct or negligence, as determined by a final non-appealable order of a court of competent jurisdiction.</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5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When the Trustee incurs expenses or renders services after an Event of Default specified in </w:t>
      </w:r>
      <w:r>
        <w:rPr>
          <w:rFonts w:ascii="Times New Roman" w:cs="Times New Roman" w:eastAsia="Times New Roman" w:hAnsi="Times New Roman"/>
          <w:sz w:val="17"/>
          <w:szCs w:val="17"/>
          <w:u w:val="single" w:color="auto"/>
          <w:color w:val="auto"/>
        </w:rPr>
        <w:t>Section 6.1(d) or (e)</w:t>
      </w:r>
      <w:r>
        <w:rPr>
          <w:rFonts w:ascii="Times New Roman" w:cs="Times New Roman" w:eastAsia="Times New Roman" w:hAnsi="Times New Roman"/>
          <w:sz w:val="17"/>
          <w:szCs w:val="17"/>
          <w:color w:val="auto"/>
        </w:rPr>
        <w:t xml:space="preserve"> occurs, the expenses and the compensation for the services are intended to constitute expenses of administration under any Bankruptcy Law.</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provisions of this Section shall survive the termination of this Indenture and the earlier resignation or removal of the Trustee.</w:t>
      </w:r>
    </w:p>
    <w:p>
      <w:pPr>
        <w:spacing w:after="0" w:line="21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7.8.</w:t>
      </w:r>
      <w:r>
        <w:rPr>
          <w:sz w:val="20"/>
          <w:szCs w:val="20"/>
          <w:color w:val="auto"/>
        </w:rPr>
        <w:tab/>
      </w:r>
      <w:r>
        <w:rPr>
          <w:rFonts w:ascii="Times New Roman" w:cs="Times New Roman" w:eastAsia="Times New Roman" w:hAnsi="Times New Roman"/>
          <w:sz w:val="16"/>
          <w:szCs w:val="16"/>
          <w:b w:val="1"/>
          <w:bCs w:val="1"/>
          <w:color w:val="auto"/>
        </w:rPr>
        <w:t>Replacement of Trustee.</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A resignation or removal of the Trustee and appointment of a successor Trustee shall become effective only upon the successor Trustee’s acceptance of appointment as provided in this Section.</w:t>
      </w:r>
    </w:p>
    <w:p>
      <w:pPr>
        <w:spacing w:after="0" w:line="152"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The Trustee may resign with respect to the Securities of one or more Series by so notifying the Company at least 30 days prior to the date of the proposed resignation and the retiring or resigning Trustee shall have no liability or responsibility for the action or inaction of any successor Trustee.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1" w:lineRule="exact"/>
        <w:rPr>
          <w:sz w:val="20"/>
          <w:szCs w:val="20"/>
          <w:color w:val="auto"/>
        </w:rPr>
      </w:pPr>
    </w:p>
    <w:p>
      <w:pPr>
        <w:ind w:left="1240" w:hanging="620"/>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fails to comply with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ind w:left="1240" w:hanging="620"/>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215" w:lineRule="exact"/>
        <w:rPr>
          <w:rFonts w:ascii="Times New Roman" w:cs="Times New Roman" w:eastAsia="Times New Roman" w:hAnsi="Times New Roman"/>
          <w:sz w:val="17"/>
          <w:szCs w:val="17"/>
          <w:color w:val="auto"/>
        </w:rPr>
      </w:pPr>
    </w:p>
    <w:p>
      <w:pPr>
        <w:ind w:left="1240" w:hanging="620"/>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Custodian or public officer takes charge of the Trustee or its property; or</w:t>
      </w:r>
    </w:p>
    <w:p>
      <w:pPr>
        <w:spacing w:after="0" w:line="215" w:lineRule="exact"/>
        <w:rPr>
          <w:rFonts w:ascii="Times New Roman" w:cs="Times New Roman" w:eastAsia="Times New Roman" w:hAnsi="Times New Roman"/>
          <w:sz w:val="17"/>
          <w:szCs w:val="17"/>
          <w:color w:val="auto"/>
        </w:rPr>
      </w:pPr>
    </w:p>
    <w:p>
      <w:pPr>
        <w:ind w:left="1240" w:hanging="620"/>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becomes incapable of acting.</w:t>
      </w:r>
    </w:p>
    <w:p>
      <w:pPr>
        <w:spacing w:after="0" w:line="216"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65" w:lineRule="exact"/>
        <w:rPr>
          <w:sz w:val="20"/>
          <w:szCs w:val="20"/>
          <w:color w:val="auto"/>
        </w:rPr>
      </w:pPr>
    </w:p>
    <w:p>
      <w:pPr>
        <w:jc w:val="both"/>
        <w:ind w:firstLine="617"/>
        <w:spacing w:after="0" w:line="256" w:lineRule="auto"/>
        <w:rPr>
          <w:sz w:val="20"/>
          <w:szCs w:val="20"/>
          <w:color w:val="auto"/>
        </w:rPr>
      </w:pPr>
      <w:r>
        <w:rPr>
          <w:rFonts w:ascii="Times New Roman" w:cs="Times New Roman" w:eastAsia="Times New Roman" w:hAnsi="Times New Roman"/>
          <w:sz w:val="17"/>
          <w:szCs w:val="17"/>
          <w:color w:val="auto"/>
        </w:rPr>
        <w:t xml:space="preserve">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at the Company’s sole cost and expense, petition any court of competent jurisdiction for the appointment of a successor Trustee. A successor Trustee shall deliver a written acceptance of its appointment to the retiring Trustee and to the Company. Immediately after that, the retiring Trustee shall transfer all property held by it as Trustee to the successor Trustee subject to the lien provided for in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deliver a notice of its succession to each Securityholder of each such Series. Notwithstanding replacement of the Trustee pursuant to this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xml:space="preserve">, the Company’s obligations under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7.9.</w:t>
      </w:r>
      <w:r>
        <w:rPr>
          <w:sz w:val="20"/>
          <w:szCs w:val="20"/>
          <w:color w:val="auto"/>
        </w:rPr>
        <w:tab/>
      </w:r>
      <w:r>
        <w:rPr>
          <w:rFonts w:ascii="Times New Roman" w:cs="Times New Roman" w:eastAsia="Times New Roman" w:hAnsi="Times New Roman"/>
          <w:sz w:val="16"/>
          <w:szCs w:val="16"/>
          <w:b w:val="1"/>
          <w:bCs w:val="1"/>
          <w:color w:val="auto"/>
        </w:rPr>
        <w:t>Successor Trustee by Merger, Etc.</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If the Trustee consolidates with, merges or converts into, or transfers all or substantially all of its corporate trust business to, another corporation or banking association, the successor corporation or banking association without any further act shall be the successor Trustee, subject to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7.10.</w:t>
      </w:r>
      <w:r>
        <w:rPr>
          <w:sz w:val="20"/>
          <w:szCs w:val="20"/>
          <w:color w:val="auto"/>
        </w:rPr>
        <w:tab/>
      </w:r>
      <w:r>
        <w:rPr>
          <w:rFonts w:ascii="Times New Roman" w:cs="Times New Roman" w:eastAsia="Times New Roman" w:hAnsi="Times New Roman"/>
          <w:sz w:val="17"/>
          <w:szCs w:val="17"/>
          <w:b w:val="1"/>
          <w:bCs w:val="1"/>
          <w:color w:val="auto"/>
        </w:rPr>
        <w:t>Eligibility; Disqualification.</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This Indenture shall always have a Trustee who satisfies the requirements of TIA Section 310(a)(1), (2) and (5). The Trustee shall always have a combined capital and surplus of at least $25,000,000 as set forth in its most recent published annual report of condition. The Trustee shall comply with TIA Section 310(b). In determining whether the Trustee has a conflicting interest as defined in Section 310(b) of the TIA with respect to the Securities of any Series, there shall be excluded Securities of any particular Series of Securities other than that Series.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7.11.</w:t>
      </w:r>
      <w:r>
        <w:rPr>
          <w:sz w:val="20"/>
          <w:szCs w:val="20"/>
          <w:color w:val="auto"/>
        </w:rPr>
        <w:tab/>
      </w:r>
      <w:r>
        <w:rPr>
          <w:rFonts w:ascii="Times New Roman" w:cs="Times New Roman" w:eastAsia="Times New Roman" w:hAnsi="Times New Roman"/>
          <w:sz w:val="17"/>
          <w:szCs w:val="17"/>
          <w:b w:val="1"/>
          <w:bCs w:val="1"/>
          <w:color w:val="auto"/>
        </w:rPr>
        <w:t>Preferential Collection of Claims Against Company.</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Trustee is subject to TIA Section 311(a), excluding any creditor relationship listed in TIA Section 311(b). A Trustee who has resigned or been removed shall be subject to TIA Section 311(a) to the extent indicated.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SATISFACTION AND DISCHARGE; DEFEASANCE</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8.1.</w:t>
      </w:r>
      <w:r>
        <w:rPr>
          <w:sz w:val="20"/>
          <w:szCs w:val="20"/>
          <w:color w:val="auto"/>
        </w:rPr>
        <w:tab/>
      </w:r>
      <w:r>
        <w:rPr>
          <w:rFonts w:ascii="Times New Roman" w:cs="Times New Roman" w:eastAsia="Times New Roman" w:hAnsi="Times New Roman"/>
          <w:sz w:val="17"/>
          <w:szCs w:val="17"/>
          <w:b w:val="1"/>
          <w:bCs w:val="1"/>
          <w:color w:val="auto"/>
        </w:rPr>
        <w:t>Satisfaction and Discharge of Indenture.</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 xml:space="preserve">This Indenture shall upon Company Order be discharged with respect to the Securities of any Series and cease to be of further effect as to all Securities of such Series (except as hereinafter provided in this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and the Trustee, at the expense of the Company, shall execute instruments reasonably requested by the Company acknowledging satisfaction and discharge of this Indenture, when</w:t>
      </w:r>
    </w:p>
    <w:p>
      <w:pPr>
        <w:spacing w:after="0" w:line="165" w:lineRule="exact"/>
        <w:rPr>
          <w:sz w:val="20"/>
          <w:szCs w:val="20"/>
          <w:color w:val="auto"/>
        </w:rPr>
      </w:pPr>
    </w:p>
    <w:p>
      <w:pPr>
        <w:ind w:left="1240" w:hanging="620"/>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215"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52"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such Securities of such Series not theretofore delivered to the Trustee for cancellation:</w:t>
      </w:r>
    </w:p>
    <w:p>
      <w:pPr>
        <w:spacing w:after="0" w:line="215" w:lineRule="exact"/>
        <w:rPr>
          <w:rFonts w:ascii="Times New Roman" w:cs="Times New Roman" w:eastAsia="Times New Roman" w:hAnsi="Times New Roman"/>
          <w:sz w:val="17"/>
          <w:szCs w:val="17"/>
          <w:color w:val="auto"/>
        </w:rPr>
      </w:pPr>
    </w:p>
    <w:p>
      <w:pPr>
        <w:ind w:left="2460" w:hanging="607"/>
        <w:spacing w:after="0"/>
        <w:tabs>
          <w:tab w:leader="none" w:pos="2460"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become due and payable by reason of sending a notice of redemption or otherwise, or</w:t>
      </w:r>
    </w:p>
    <w:p>
      <w:pPr>
        <w:spacing w:after="0" w:line="215" w:lineRule="exact"/>
        <w:rPr>
          <w:rFonts w:ascii="Times New Roman" w:cs="Times New Roman" w:eastAsia="Times New Roman" w:hAnsi="Times New Roman"/>
          <w:sz w:val="17"/>
          <w:szCs w:val="17"/>
          <w:color w:val="auto"/>
        </w:rPr>
      </w:pPr>
    </w:p>
    <w:p>
      <w:pPr>
        <w:ind w:left="2460" w:hanging="607"/>
        <w:spacing w:after="0"/>
        <w:tabs>
          <w:tab w:leader="none" w:pos="2460"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become due and payable at their Stated Maturity within one year, or</w:t>
      </w:r>
    </w:p>
    <w:p>
      <w:pPr>
        <w:spacing w:after="0" w:line="215" w:lineRule="exact"/>
        <w:rPr>
          <w:rFonts w:ascii="Times New Roman" w:cs="Times New Roman" w:eastAsia="Times New Roman" w:hAnsi="Times New Roman"/>
          <w:sz w:val="17"/>
          <w:szCs w:val="17"/>
          <w:color w:val="auto"/>
        </w:rPr>
      </w:pPr>
    </w:p>
    <w:p>
      <w:pPr>
        <w:ind w:left="2460" w:hanging="607"/>
        <w:spacing w:after="0" w:line="285" w:lineRule="auto"/>
        <w:tabs>
          <w:tab w:leader="none" w:pos="2460"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52" w:lineRule="exact"/>
        <w:rPr>
          <w:rFonts w:ascii="Times New Roman" w:cs="Times New Roman" w:eastAsia="Times New Roman" w:hAnsi="Times New Roman"/>
          <w:sz w:val="17"/>
          <w:szCs w:val="17"/>
          <w:color w:val="auto"/>
        </w:rPr>
      </w:pPr>
    </w:p>
    <w:p>
      <w:pPr>
        <w:jc w:val="both"/>
        <w:ind w:left="2460" w:hanging="607"/>
        <w:spacing w:after="0" w:line="259" w:lineRule="auto"/>
        <w:tabs>
          <w:tab w:leader="none" w:pos="2460"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are deemed paid and discharged pursuant to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as applicable and the Company, in the case of (1), (2) or (3) above, has irrevocably deposited or caused to be irrevocably deposited with the Trustee as trust funds in trust an amount of money or U.S. Government Obligations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ind w:left="1240" w:hanging="620"/>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paid or caused to be paid all other sums payable hereunder by the Company; and</w:t>
      </w:r>
    </w:p>
    <w:p>
      <w:pPr>
        <w:spacing w:after="0" w:line="215" w:lineRule="exact"/>
        <w:rPr>
          <w:rFonts w:ascii="Times New Roman" w:cs="Times New Roman" w:eastAsia="Times New Roman" w:hAnsi="Times New Roman"/>
          <w:sz w:val="17"/>
          <w:szCs w:val="17"/>
          <w:color w:val="auto"/>
        </w:rPr>
      </w:pPr>
    </w:p>
    <w:p>
      <w:pPr>
        <w:ind w:left="1240" w:hanging="620"/>
        <w:spacing w:after="0" w:line="285"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52"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Notwithstanding the satisfaction and discharge of this Indenture, the obligations of the Company to the Trustee under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and, if money shall have been deposited with the Trustee pursuant to </w:t>
      </w:r>
      <w:r>
        <w:rPr>
          <w:rFonts w:ascii="Times New Roman" w:cs="Times New Roman" w:eastAsia="Times New Roman" w:hAnsi="Times New Roman"/>
          <w:sz w:val="17"/>
          <w:szCs w:val="17"/>
          <w:u w:val="single" w:color="auto"/>
          <w:color w:val="auto"/>
        </w:rPr>
        <w:t>clause</w:t>
      </w:r>
      <w:r>
        <w:rPr>
          <w:rFonts w:ascii="Times New Roman" w:cs="Times New Roman" w:eastAsia="Times New Roman" w:hAnsi="Times New Roman"/>
          <w:sz w:val="17"/>
          <w:szCs w:val="17"/>
          <w:color w:val="auto"/>
        </w:rPr>
        <w:t xml:space="preserve"> (a) of this Section, the provisions of </w:t>
      </w:r>
      <w:r>
        <w:rPr>
          <w:rFonts w:ascii="Times New Roman" w:cs="Times New Roman" w:eastAsia="Times New Roman" w:hAnsi="Times New Roman"/>
          <w:sz w:val="17"/>
          <w:szCs w:val="17"/>
          <w:u w:val="single" w:color="auto"/>
          <w:color w:val="auto"/>
        </w:rPr>
        <w:t>Sections 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8.5</w:t>
      </w:r>
      <w:r>
        <w:rPr>
          <w:rFonts w:ascii="Times New Roman" w:cs="Times New Roman" w:eastAsia="Times New Roman" w:hAnsi="Times New Roman"/>
          <w:sz w:val="17"/>
          <w:szCs w:val="17"/>
          <w:color w:val="auto"/>
        </w:rPr>
        <w:t xml:space="preserve"> shall survive.</w:t>
      </w:r>
    </w:p>
    <w:p>
      <w:pPr>
        <w:spacing w:after="0" w:line="152"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If the Company exercises the satisfaction and discharge provisions in compliance with this Indenture with respect to Securities of a particular Series that are entitled to the benefit of the Guarantee of any Guarantor, the Guarantee will terminate with respect to that Series of Securities.</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8.2.</w:t>
      </w:r>
      <w:r>
        <w:rPr>
          <w:sz w:val="20"/>
          <w:szCs w:val="20"/>
          <w:color w:val="auto"/>
        </w:rPr>
        <w:tab/>
      </w:r>
      <w:r>
        <w:rPr>
          <w:rFonts w:ascii="Times New Roman" w:cs="Times New Roman" w:eastAsia="Times New Roman" w:hAnsi="Times New Roman"/>
          <w:sz w:val="17"/>
          <w:szCs w:val="17"/>
          <w:b w:val="1"/>
          <w:bCs w:val="1"/>
          <w:color w:val="auto"/>
        </w:rPr>
        <w:t>Application of Trust Funds; Indemnification.</w:t>
      </w:r>
    </w:p>
    <w:p>
      <w:pPr>
        <w:spacing w:after="0" w:line="220" w:lineRule="exact"/>
        <w:rPr>
          <w:sz w:val="20"/>
          <w:szCs w:val="20"/>
          <w:color w:val="auto"/>
        </w:rPr>
      </w:pPr>
    </w:p>
    <w:p>
      <w:pPr>
        <w:jc w:val="both"/>
        <w:ind w:left="1240" w:hanging="620"/>
        <w:spacing w:after="0" w:line="257"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all money or U.S. Government Obligations deposited with the Trustee pursuant to </w:t>
      </w:r>
      <w:r>
        <w:rPr>
          <w:rFonts w:ascii="Times New Roman" w:cs="Times New Roman" w:eastAsia="Times New Roman" w:hAnsi="Times New Roman"/>
          <w:sz w:val="17"/>
          <w:szCs w:val="17"/>
          <w:u w:val="single" w:color="auto"/>
          <w:color w:val="auto"/>
        </w:rPr>
        <w:t>Section 8 1</w:t>
      </w:r>
      <w:r>
        <w:rPr>
          <w:rFonts w:ascii="Times New Roman" w:cs="Times New Roman" w:eastAsia="Times New Roman" w:hAnsi="Times New Roman"/>
          <w:sz w:val="17"/>
          <w:szCs w:val="17"/>
          <w:color w:val="auto"/>
        </w:rPr>
        <w:t xml:space="preserve"> all money and U.S. Government Obligations or Foreign Government Obligations deposited with the Trustee pursuant to </w:t>
      </w:r>
      <w:r>
        <w:rPr>
          <w:rFonts w:ascii="Times New Roman" w:cs="Times New Roman" w:eastAsia="Times New Roman" w:hAnsi="Times New Roman"/>
          <w:sz w:val="17"/>
          <w:szCs w:val="17"/>
          <w:u w:val="single" w:color="auto"/>
          <w:color w:val="auto"/>
        </w:rPr>
        <w:t>Sections 8.3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and all money received by the Trustee in respect of U.S. Government Obligations or Foreign Government Obligations deposited with the Trustee pursuant to </w:t>
      </w:r>
      <w:r>
        <w:rPr>
          <w:rFonts w:ascii="Times New Roman" w:cs="Times New Roman" w:eastAsia="Times New Roman" w:hAnsi="Times New Roman"/>
          <w:sz w:val="17"/>
          <w:szCs w:val="17"/>
          <w:u w:val="single" w:color="auto"/>
          <w:color w:val="auto"/>
        </w:rPr>
        <w:t>Sections 8.3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w:t>
      </w:r>
      <w:r>
        <w:rPr>
          <w:rFonts w:ascii="Times New Roman" w:cs="Times New Roman" w:eastAsia="Times New Roman" w:hAnsi="Times New Roman"/>
          <w:sz w:val="17"/>
          <w:szCs w:val="17"/>
          <w:u w:val="single" w:color="auto"/>
          <w:color w:val="auto"/>
        </w:rPr>
        <w:t>Sections 8.3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jc w:val="both"/>
        <w:ind w:left="1240" w:hanging="620"/>
        <w:spacing w:after="0" w:line="269"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pay and shall indemnify the Trustee (and any Agent as applicable) against any tax, fee or other charge imposed on or assessed against U.S. Government Obligations or Foreign Government Obligations deposited pursuant to </w:t>
      </w:r>
      <w:r>
        <w:rPr>
          <w:rFonts w:ascii="Times New Roman" w:cs="Times New Roman" w:eastAsia="Times New Roman" w:hAnsi="Times New Roman"/>
          <w:sz w:val="17"/>
          <w:szCs w:val="17"/>
          <w:u w:val="single" w:color="auto"/>
          <w:color w:val="auto"/>
        </w:rPr>
        <w:t>Sections 8.3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or the interest and principal received in respect of such obligations other than any payable by or on behalf of Holders.</w:t>
      </w:r>
    </w:p>
    <w:p>
      <w:pPr>
        <w:spacing w:after="0" w:line="164" w:lineRule="exact"/>
        <w:rPr>
          <w:rFonts w:ascii="Times New Roman" w:cs="Times New Roman" w:eastAsia="Times New Roman" w:hAnsi="Times New Roman"/>
          <w:sz w:val="17"/>
          <w:szCs w:val="17"/>
          <w:color w:val="auto"/>
        </w:rPr>
      </w:pPr>
    </w:p>
    <w:p>
      <w:pPr>
        <w:jc w:val="both"/>
        <w:ind w:left="1240" w:hanging="620"/>
        <w:spacing w:after="0" w:line="259"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shall deliver or pay to the Company from time to time upon Company Order any U.S. Government Obligations or Foreign Government Obligations or money held by it as provided in </w:t>
      </w:r>
      <w:r>
        <w:rPr>
          <w:rFonts w:ascii="Times New Roman" w:cs="Times New Roman" w:eastAsia="Times New Roman" w:hAnsi="Times New Roman"/>
          <w:sz w:val="17"/>
          <w:szCs w:val="17"/>
          <w:u w:val="single" w:color="auto"/>
          <w:color w:val="auto"/>
        </w:rPr>
        <w:t>Sections 8.3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8.3.</w:t>
      </w:r>
      <w:r>
        <w:rPr>
          <w:sz w:val="20"/>
          <w:szCs w:val="20"/>
          <w:color w:val="auto"/>
        </w:rPr>
        <w:tab/>
      </w:r>
      <w:r>
        <w:rPr>
          <w:rFonts w:ascii="Times New Roman" w:cs="Times New Roman" w:eastAsia="Times New Roman" w:hAnsi="Times New Roman"/>
          <w:sz w:val="17"/>
          <w:szCs w:val="17"/>
          <w:b w:val="1"/>
          <w:bCs w:val="1"/>
          <w:color w:val="auto"/>
        </w:rPr>
        <w:t>Legal Defeasance of Securities of any Series.</w:t>
      </w:r>
    </w:p>
    <w:p>
      <w:pPr>
        <w:spacing w:after="0" w:line="220" w:lineRule="exact"/>
        <w:rPr>
          <w:sz w:val="20"/>
          <w:szCs w:val="20"/>
          <w:color w:val="auto"/>
        </w:rPr>
      </w:pPr>
    </w:p>
    <w:p>
      <w:pPr>
        <w:ind w:firstLine="617"/>
        <w:spacing w:after="0" w:line="262" w:lineRule="auto"/>
        <w:rPr>
          <w:sz w:val="20"/>
          <w:szCs w:val="20"/>
          <w:color w:val="auto"/>
        </w:rPr>
      </w:pPr>
      <w:r>
        <w:rPr>
          <w:rFonts w:ascii="Times New Roman" w:cs="Times New Roman" w:eastAsia="Times New Roman" w:hAnsi="Times New Roman"/>
          <w:sz w:val="17"/>
          <w:szCs w:val="17"/>
          <w:color w:val="auto"/>
        </w:rPr>
        <w:t xml:space="preserve">Unless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is otherwise specified,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to be inapplicable to Securities of any Series, the Company shall be deemed to have paid and discharged the entire indebtedness on all the outstanding Securities of any Series on the 91st day after the date of the deposit referred to in </w:t>
      </w:r>
      <w:r>
        <w:rPr>
          <w:rFonts w:ascii="Times New Roman" w:cs="Times New Roman" w:eastAsia="Times New Roman" w:hAnsi="Times New Roman"/>
          <w:sz w:val="17"/>
          <w:szCs w:val="17"/>
          <w:u w:val="single" w:color="auto"/>
          <w:color w:val="auto"/>
        </w:rPr>
        <w:t>subpara</w:t>
      </w:r>
      <w:r>
        <w:rPr>
          <w:rFonts w:ascii="Times New Roman" w:cs="Times New Roman" w:eastAsia="Times New Roman" w:hAnsi="Times New Roman"/>
          <w:sz w:val="17"/>
          <w:szCs w:val="17"/>
          <w:color w:val="auto"/>
        </w:rPr>
        <w:t>gra</w:t>
      </w:r>
      <w:r>
        <w:rPr>
          <w:rFonts w:ascii="Times New Roman" w:cs="Times New Roman" w:eastAsia="Times New Roman" w:hAnsi="Times New Roman"/>
          <w:sz w:val="17"/>
          <w:szCs w:val="17"/>
          <w:u w:val="single" w:color="auto"/>
          <w:color w:val="auto"/>
        </w:rPr>
        <w:t>ph</w:t>
      </w:r>
    </w:p>
    <w:p>
      <w:pPr>
        <w:spacing w:after="0" w:line="1" w:lineRule="exact"/>
        <w:rPr>
          <w:sz w:val="20"/>
          <w:szCs w:val="20"/>
          <w:color w:val="auto"/>
        </w:rPr>
      </w:pPr>
    </w:p>
    <w:p>
      <w:pPr>
        <w:jc w:val="both"/>
        <w:ind w:firstLine="3"/>
        <w:spacing w:after="0" w:line="258" w:lineRule="auto"/>
        <w:tabs>
          <w:tab w:leader="none" w:pos="25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hereof, and the provisions of this Indenture, as it relates to such outstanding Securities of such Series, shall no longer be in effect and any Guarantee will terminate with respect to that Series of Securities (and the Trustee, at the expense of the Company, shall, upon receipt of a Company Order, execute instruments reasonably requested by the Company acknowledging the same), except as to:</w:t>
      </w:r>
    </w:p>
    <w:p>
      <w:pPr>
        <w:spacing w:after="0" w:line="174" w:lineRule="exact"/>
        <w:rPr>
          <w:rFonts w:ascii="Times New Roman" w:cs="Times New Roman" w:eastAsia="Times New Roman" w:hAnsi="Times New Roman"/>
          <w:sz w:val="17"/>
          <w:szCs w:val="17"/>
          <w:color w:val="auto"/>
        </w:rPr>
      </w:pPr>
    </w:p>
    <w:p>
      <w:pPr>
        <w:jc w:val="both"/>
        <w:ind w:left="1860" w:hanging="624"/>
        <w:spacing w:after="0" w:line="260" w:lineRule="auto"/>
        <w:tabs>
          <w:tab w:leader="none" w:pos="186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of Holders of Securities of such Series to receive, from the trust funds described in </w:t>
      </w:r>
      <w:r>
        <w:rPr>
          <w:rFonts w:ascii="Times New Roman" w:cs="Times New Roman" w:eastAsia="Times New Roman" w:hAnsi="Times New Roman"/>
          <w:sz w:val="17"/>
          <w:szCs w:val="17"/>
          <w:u w:val="single" w:color="auto"/>
          <w:color w:val="auto"/>
        </w:rPr>
        <w:t>subpara</w:t>
      </w:r>
      <w:r>
        <w:rPr>
          <w:rFonts w:ascii="Times New Roman" w:cs="Times New Roman" w:eastAsia="Times New Roman" w:hAnsi="Times New Roman"/>
          <w:sz w:val="17"/>
          <w:szCs w:val="17"/>
          <w:color w:val="auto"/>
        </w:rPr>
        <w:t>gra</w:t>
      </w:r>
      <w:r>
        <w:rPr>
          <w:rFonts w:ascii="Times New Roman" w:cs="Times New Roman" w:eastAsia="Times New Roman" w:hAnsi="Times New Roman"/>
          <w:sz w:val="17"/>
          <w:szCs w:val="17"/>
          <w:u w:val="single" w:color="auto"/>
          <w:color w:val="auto"/>
        </w:rPr>
        <w:t>ph</w:t>
      </w:r>
      <w:r>
        <w:rPr>
          <w:rFonts w:ascii="Times New Roman" w:cs="Times New Roman" w:eastAsia="Times New Roman" w:hAnsi="Times New Roman"/>
          <w:sz w:val="17"/>
          <w:szCs w:val="17"/>
          <w:color w:val="auto"/>
        </w:rPr>
        <w:t xml:space="preserve"> (c)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4"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w:t>
      </w:r>
      <w:r>
        <w:rPr>
          <w:rFonts w:ascii="Times New Roman" w:cs="Times New Roman" w:eastAsia="Times New Roman" w:hAnsi="Times New Roman"/>
          <w:sz w:val="17"/>
          <w:szCs w:val="17"/>
          <w:u w:val="single" w:color="auto"/>
          <w:color w:val="auto"/>
        </w:rPr>
        <w:t>Sections 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8.5</w:t>
      </w:r>
      <w:r>
        <w:rPr>
          <w:rFonts w:ascii="Times New Roman" w:cs="Times New Roman" w:eastAsia="Times New Roman" w:hAnsi="Times New Roman"/>
          <w:sz w:val="17"/>
          <w:szCs w:val="17"/>
          <w:color w:val="auto"/>
        </w:rPr>
        <w:t>; and</w:t>
      </w:r>
    </w:p>
    <w:p>
      <w:pPr>
        <w:spacing w:after="0" w:line="211" w:lineRule="exact"/>
        <w:rPr>
          <w:rFonts w:ascii="Times New Roman" w:cs="Times New Roman" w:eastAsia="Times New Roman" w:hAnsi="Times New Roman"/>
          <w:sz w:val="17"/>
          <w:szCs w:val="17"/>
          <w:color w:val="auto"/>
        </w:rPr>
      </w:pPr>
    </w:p>
    <w:p>
      <w:pPr>
        <w:ind w:left="1860" w:hanging="624"/>
        <w:spacing w:after="0" w:line="290" w:lineRule="auto"/>
        <w:tabs>
          <w:tab w:leader="none" w:pos="186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powers, trust and immunities of the Trustee hereunder and the Company’s obligations in connection therewith;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following conditions shall have been satisfied:</w:t>
      </w:r>
    </w:p>
    <w:p>
      <w:pPr>
        <w:spacing w:after="0" w:line="148" w:lineRule="exact"/>
        <w:rPr>
          <w:rFonts w:ascii="Times New Roman" w:cs="Times New Roman" w:eastAsia="Times New Roman" w:hAnsi="Times New Roman"/>
          <w:sz w:val="17"/>
          <w:szCs w:val="17"/>
          <w:color w:val="auto"/>
        </w:rPr>
      </w:pPr>
    </w:p>
    <w:p>
      <w:pPr>
        <w:jc w:val="both"/>
        <w:ind w:left="2460" w:hanging="607"/>
        <w:spacing w:after="0" w:line="255" w:lineRule="auto"/>
        <w:tabs>
          <w:tab w:leader="none" w:pos="2460"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have deposited or caused to be irrevocably deposited (except as provided in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both"/>
        <w:ind w:left="2460" w:hanging="607"/>
        <w:spacing w:after="0" w:line="263" w:lineRule="auto"/>
        <w:tabs>
          <w:tab w:leader="none" w:pos="2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deposit will not result in a breach or violation of, or constitute a default under, this Indenture or any other agreement or instrument to which the Company is a party or by which it is bound (other than a Default or Event of Default resulting from the borrowing of funds to be applied to such deposit (and any similar concurrent deposit related to other indebtedness of the Company or any Subsidiary) and the granting of liens to secure such borrowings);</w:t>
      </w:r>
    </w:p>
    <w:p>
      <w:pPr>
        <w:spacing w:after="0" w:line="171" w:lineRule="exact"/>
        <w:rPr>
          <w:rFonts w:ascii="Times New Roman" w:cs="Times New Roman" w:eastAsia="Times New Roman" w:hAnsi="Times New Roman"/>
          <w:sz w:val="17"/>
          <w:szCs w:val="17"/>
          <w:color w:val="auto"/>
        </w:rPr>
      </w:pPr>
    </w:p>
    <w:p>
      <w:pPr>
        <w:ind w:left="2460" w:hanging="607"/>
        <w:spacing w:after="0" w:line="285" w:lineRule="auto"/>
        <w:tabs>
          <w:tab w:leader="none" w:pos="2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Securities of such Series shall have occurred and be continuing on the date of such deposit or during the period ending on the 91st day after such date;</w:t>
      </w:r>
    </w:p>
    <w:p>
      <w:pPr>
        <w:spacing w:after="0" w:line="152" w:lineRule="exact"/>
        <w:rPr>
          <w:rFonts w:ascii="Times New Roman" w:cs="Times New Roman" w:eastAsia="Times New Roman" w:hAnsi="Times New Roman"/>
          <w:sz w:val="17"/>
          <w:szCs w:val="17"/>
          <w:color w:val="auto"/>
        </w:rPr>
      </w:pPr>
    </w:p>
    <w:p>
      <w:pPr>
        <w:jc w:val="both"/>
        <w:ind w:left="2460" w:hanging="607"/>
        <w:spacing w:after="0" w:line="257" w:lineRule="auto"/>
        <w:tabs>
          <w:tab w:leader="none" w:pos="2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stating that (i) the Company has received from, or there has been published by, the Internal Revenue Service a ruling, or (ii) since the date of execution of this Indenture, there has been a change in the applicable U.S. federal income tax law, in either case stating that, and based thereon such Opinion of Counsel shall confirm that, the Holders of the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w:t>
      </w:r>
    </w:p>
    <w:p>
      <w:pPr>
        <w:spacing w:after="0" w:line="179" w:lineRule="exact"/>
        <w:rPr>
          <w:rFonts w:ascii="Times New Roman" w:cs="Times New Roman" w:eastAsia="Times New Roman" w:hAnsi="Times New Roman"/>
          <w:sz w:val="17"/>
          <w:szCs w:val="17"/>
          <w:color w:val="auto"/>
        </w:rPr>
      </w:pPr>
    </w:p>
    <w:p>
      <w:pPr>
        <w:ind w:left="2460" w:hanging="607"/>
        <w:spacing w:after="0" w:line="285" w:lineRule="auto"/>
        <w:tabs>
          <w:tab w:leader="none" w:pos="2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52" w:lineRule="exact"/>
        <w:rPr>
          <w:rFonts w:ascii="Times New Roman" w:cs="Times New Roman" w:eastAsia="Times New Roman" w:hAnsi="Times New Roman"/>
          <w:sz w:val="17"/>
          <w:szCs w:val="17"/>
          <w:color w:val="auto"/>
        </w:rPr>
      </w:pPr>
    </w:p>
    <w:p>
      <w:pPr>
        <w:ind w:left="2460" w:hanging="607"/>
        <w:spacing w:after="0" w:line="285" w:lineRule="auto"/>
        <w:tabs>
          <w:tab w:leader="none" w:pos="2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4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Section 8.4.</w:t>
      </w:r>
      <w:r>
        <w:rPr>
          <w:sz w:val="20"/>
          <w:szCs w:val="20"/>
          <w:color w:val="auto"/>
        </w:rPr>
        <w:tab/>
      </w:r>
      <w:r>
        <w:rPr>
          <w:rFonts w:ascii="Times New Roman" w:cs="Times New Roman" w:eastAsia="Times New Roman" w:hAnsi="Times New Roman"/>
          <w:sz w:val="17"/>
          <w:szCs w:val="17"/>
          <w:b w:val="1"/>
          <w:bCs w:val="1"/>
          <w:color w:val="auto"/>
        </w:rPr>
        <w:t>Covenant Defeasance.</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 xml:space="preserve">Unless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is otherwise specified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to be inapplicable to Securities of any Series, the Company may omit to comply with respect to the Securities of any Series with any term, provision or condition set forth under </w:t>
      </w:r>
      <w:r>
        <w:rPr>
          <w:rFonts w:ascii="Times New Roman" w:cs="Times New Roman" w:eastAsia="Times New Roman" w:hAnsi="Times New Roman"/>
          <w:sz w:val="17"/>
          <w:szCs w:val="17"/>
          <w:u w:val="single" w:color="auto"/>
          <w:color w:val="auto"/>
        </w:rPr>
        <w:t>Sections 4.2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w:t>
      </w:r>
      <w:r>
        <w:rPr>
          <w:rFonts w:ascii="Times New Roman" w:cs="Times New Roman" w:eastAsia="Times New Roman" w:hAnsi="Times New Roman"/>
          <w:sz w:val="17"/>
          <w:szCs w:val="17"/>
          <w:color w:val="auto"/>
        </w:rPr>
        <w:t xml:space="preserve"> as well as any additional covenants specified in a supplemental indenture for such Series of Securities or a Board Resolution or an Officer’s Certificate delivered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the failure to comply with any such covenants shall not constitute a Default or Event of Default with respect to such Series under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the occurrence of any event specified in a supplemental indenture for such Series of Securities or a Board Resolution or an Officer’s Certificate delivered pursuant to </w:t>
      </w:r>
      <w:r>
        <w:rPr>
          <w:rFonts w:ascii="Times New Roman" w:cs="Times New Roman" w:eastAsia="Times New Roman" w:hAnsi="Times New Roman"/>
          <w:sz w:val="17"/>
          <w:szCs w:val="17"/>
          <w:u w:val="single" w:color="auto"/>
          <w:color w:val="auto"/>
        </w:rPr>
        <w:t>Section 2.2.18</w:t>
      </w:r>
      <w:r>
        <w:rPr>
          <w:rFonts w:ascii="Times New Roman" w:cs="Times New Roman" w:eastAsia="Times New Roman" w:hAnsi="Times New Roman"/>
          <w:sz w:val="17"/>
          <w:szCs w:val="17"/>
          <w:color w:val="auto"/>
        </w:rPr>
        <w:t xml:space="preserve"> and designated as an Event of Default shall not constitute a Default or Event of Default hereunder, with respect to the Securities of such Series;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following conditions shall have been satisfied: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jc w:val="both"/>
        <w:ind w:left="740" w:hanging="624"/>
        <w:spacing w:after="0" w:line="255" w:lineRule="auto"/>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reference to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the Company has deposited or caused to be irrevocably deposited (except as provided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82" w:lineRule="exact"/>
        <w:rPr>
          <w:rFonts w:ascii="Times New Roman" w:cs="Times New Roman" w:eastAsia="Times New Roman" w:hAnsi="Times New Roman"/>
          <w:sz w:val="17"/>
          <w:szCs w:val="17"/>
          <w:color w:val="auto"/>
        </w:rPr>
      </w:pPr>
    </w:p>
    <w:p>
      <w:pPr>
        <w:jc w:val="both"/>
        <w:ind w:left="740" w:hanging="624"/>
        <w:spacing w:after="0" w:line="263" w:lineRule="auto"/>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deposit will not result in a breach or violation of, or constitute a default under, this Indenture or any other agreement or instrument to which the Company is a party or by which it is bound (other than a Default or Event of Default resulting from the borrowing of funds to be applied to such deposit (and any similar concurrent deposit related to other indebtedness of the Company or any Subsidiary) and the granting of liens to secure such borrowings);</w:t>
      </w:r>
    </w:p>
    <w:p>
      <w:pPr>
        <w:spacing w:after="0" w:line="171" w:lineRule="exact"/>
        <w:rPr>
          <w:rFonts w:ascii="Times New Roman" w:cs="Times New Roman" w:eastAsia="Times New Roman" w:hAnsi="Times New Roman"/>
          <w:sz w:val="17"/>
          <w:szCs w:val="17"/>
          <w:color w:val="auto"/>
        </w:rPr>
      </w:pPr>
    </w:p>
    <w:p>
      <w:pPr>
        <w:ind w:left="740" w:hanging="624"/>
        <w:spacing w:after="0" w:line="285" w:lineRule="auto"/>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Securities of such Series shall have occurred and be continuing on the date of such deposit;</w:t>
      </w:r>
    </w:p>
    <w:p>
      <w:pPr>
        <w:spacing w:after="0" w:line="152" w:lineRule="exact"/>
        <w:rPr>
          <w:rFonts w:ascii="Times New Roman" w:cs="Times New Roman" w:eastAsia="Times New Roman" w:hAnsi="Times New Roman"/>
          <w:sz w:val="17"/>
          <w:szCs w:val="17"/>
          <w:color w:val="auto"/>
        </w:rPr>
      </w:pPr>
    </w:p>
    <w:p>
      <w:pPr>
        <w:jc w:val="both"/>
        <w:ind w:left="740" w:hanging="624"/>
        <w:spacing w:after="0" w:line="263" w:lineRule="auto"/>
        <w:tabs>
          <w:tab w:leader="none" w:pos="7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Opinion of Counsel stating that the Holders of the Securities of such Series will not recognize income, gain or loss for U.S. federal income tax purposes as a result of such deposit and covenant defeasance and will be subject to U.S. federal income tax on the same amounts, in the same manner and at the same times as would have been the case if such deposit and covenant defeasance had not occurred;</w:t>
      </w:r>
    </w:p>
    <w:p>
      <w:pPr>
        <w:spacing w:after="0" w:line="3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33020</wp:posOffset>
            </wp:positionV>
            <wp:extent cx="71386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77" w:name="page78"/>
    <w:bookmarkEnd w:id="77"/>
    <w:p>
      <w:pPr>
        <w:ind w:left="1860" w:hanging="624"/>
        <w:spacing w:after="0" w:line="285" w:lineRule="auto"/>
        <w:tabs>
          <w:tab w:leader="none" w:pos="18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52"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8.5.</w:t>
      </w:r>
      <w:r>
        <w:rPr>
          <w:sz w:val="20"/>
          <w:szCs w:val="20"/>
          <w:color w:val="auto"/>
        </w:rPr>
        <w:tab/>
      </w:r>
      <w:r>
        <w:rPr>
          <w:rFonts w:ascii="Times New Roman" w:cs="Times New Roman" w:eastAsia="Times New Roman" w:hAnsi="Times New Roman"/>
          <w:sz w:val="16"/>
          <w:szCs w:val="16"/>
          <w:b w:val="1"/>
          <w:bCs w:val="1"/>
          <w:color w:val="auto"/>
        </w:rPr>
        <w:t>Repayment to Company.</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8.6.</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 xml:space="preserve">If the Trustee or the Paying Agent is unable to apply any money deposited with respect to Securities of any Series in accordance with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until such time as the Trustee or the Paying Agent is permitted to apply all such money in accordance with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AMENDMENTS AND WAIVERS</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9.1.</w:t>
      </w:r>
      <w:r>
        <w:rPr>
          <w:sz w:val="20"/>
          <w:szCs w:val="20"/>
          <w:color w:val="auto"/>
        </w:rPr>
        <w:tab/>
      </w:r>
      <w:r>
        <w:rPr>
          <w:rFonts w:ascii="Times New Roman" w:cs="Times New Roman" w:eastAsia="Times New Roman" w:hAnsi="Times New Roman"/>
          <w:sz w:val="17"/>
          <w:szCs w:val="17"/>
          <w:b w:val="1"/>
          <w:bCs w:val="1"/>
          <w:color w:val="auto"/>
        </w:rPr>
        <w:t>Without Consent of Holders.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any Guarantors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Securityholder:</w:t>
      </w:r>
    </w:p>
    <w:p>
      <w:pPr>
        <w:spacing w:after="0" w:line="199" w:lineRule="exact"/>
        <w:rPr>
          <w:sz w:val="20"/>
          <w:szCs w:val="20"/>
          <w:color w:val="auto"/>
        </w:rPr>
      </w:pPr>
    </w:p>
    <w:p>
      <w:pPr>
        <w:ind w:left="1860" w:hanging="624"/>
        <w:spacing w:after="0"/>
        <w:tabs>
          <w:tab w:leader="none" w:pos="18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comply with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ind w:left="1860" w:hanging="624"/>
        <w:spacing w:after="0" w:line="290" w:lineRule="auto"/>
        <w:tabs>
          <w:tab w:leader="none" w:pos="18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provide for uncertificated Securities in addition to or in place of certificated Securities;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uncertificated Securities are issued in registered form for purposes of Section 163(f) of the Code;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the Company’s rights or powers under this Indenture;</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the holders of Securities of any Series;</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applicable procedures of the applicable Depositary;</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Securityholder;</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Securities of any Series as permitted by this Indenture;</w:t>
      </w:r>
    </w:p>
    <w:p>
      <w:pPr>
        <w:spacing w:after="0" w:line="215" w:lineRule="exact"/>
        <w:rPr>
          <w:rFonts w:ascii="Times New Roman" w:cs="Times New Roman" w:eastAsia="Times New Roman" w:hAnsi="Times New Roman"/>
          <w:sz w:val="17"/>
          <w:szCs w:val="17"/>
          <w:color w:val="auto"/>
        </w:rPr>
      </w:pPr>
    </w:p>
    <w:p>
      <w:pPr>
        <w:jc w:val="both"/>
        <w:ind w:left="1860" w:hanging="624"/>
        <w:spacing w:after="0" w:line="269" w:lineRule="auto"/>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64"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this Indenture under the TIA;</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reflect the release of any Guarantor in accordance with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or</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Guarantors with respect to any or all of the Securities or to secure any or all of the Securities or the Guarantees.</w:t>
      </w:r>
    </w:p>
    <w:p>
      <w:pPr>
        <w:spacing w:after="0" w:line="21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9.2.</w:t>
      </w:r>
      <w:r>
        <w:rPr>
          <w:sz w:val="20"/>
          <w:szCs w:val="20"/>
          <w:color w:val="auto"/>
        </w:rPr>
        <w:tab/>
      </w:r>
      <w:r>
        <w:rPr>
          <w:rFonts w:ascii="Times New Roman" w:cs="Times New Roman" w:eastAsia="Times New Roman" w:hAnsi="Times New Roman"/>
          <w:sz w:val="17"/>
          <w:szCs w:val="17"/>
          <w:b w:val="1"/>
          <w:bCs w:val="1"/>
          <w:color w:val="auto"/>
        </w:rPr>
        <w:t>With Consent of Holders.</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 xml:space="preserve">The Company, any Guarantors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9"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 xml:space="preserve">It shall not be necessary for the consent of the Holders of Securities under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(with a copy to the Trustee), a notice briefly describing the supplemental indenture or waiver.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ind w:firstLine="617"/>
        <w:spacing w:after="0" w:line="285" w:lineRule="auto"/>
        <w:rPr>
          <w:sz w:val="20"/>
          <w:szCs w:val="20"/>
          <w:color w:val="auto"/>
        </w:rPr>
      </w:pPr>
      <w:r>
        <w:rPr>
          <w:rFonts w:ascii="Times New Roman" w:cs="Times New Roman" w:eastAsia="Times New Roman" w:hAnsi="Times New Roman"/>
          <w:sz w:val="17"/>
          <w:szCs w:val="17"/>
          <w:color w:val="auto"/>
        </w:rPr>
        <w:t>Any failure by the Company to send such notice, or any defect therein, shall not, however, in any way impair or affect the validity of any such supplemental indenture or waiver.</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9.3.</w:t>
      </w:r>
      <w:r>
        <w:rPr>
          <w:sz w:val="20"/>
          <w:szCs w:val="20"/>
          <w:color w:val="auto"/>
        </w:rPr>
        <w:tab/>
      </w:r>
      <w:r>
        <w:rPr>
          <w:rFonts w:ascii="Times New Roman" w:cs="Times New Roman" w:eastAsia="Times New Roman" w:hAnsi="Times New Roman"/>
          <w:sz w:val="16"/>
          <w:szCs w:val="16"/>
          <w:b w:val="1"/>
          <w:bCs w:val="1"/>
          <w:color w:val="auto"/>
        </w:rPr>
        <w:t>Limitations.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Without the consent of each Securityholder affected, an amendment or waiver may not:</w:t>
      </w:r>
    </w:p>
    <w:p>
      <w:pPr>
        <w:spacing w:after="0" w:line="216" w:lineRule="exact"/>
        <w:rPr>
          <w:sz w:val="20"/>
          <w:szCs w:val="20"/>
          <w:color w:val="auto"/>
        </w:rPr>
      </w:pPr>
    </w:p>
    <w:p>
      <w:pPr>
        <w:ind w:left="1860" w:hanging="624"/>
        <w:spacing w:after="0"/>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Securities whose Holders must consent to an amendment, supplement or waiver;</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(including default interest) on any Security;</w:t>
      </w:r>
    </w:p>
    <w:p>
      <w:pPr>
        <w:spacing w:after="0" w:line="215"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or change the Stated Maturity of any Security or reduce the amount of, or postpone the date fixed for, the payment of any sinking fund or analogous obligation;</w:t>
      </w:r>
    </w:p>
    <w:p>
      <w:pPr>
        <w:spacing w:after="0" w:line="152"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the maturity thereof;</w:t>
      </w:r>
    </w:p>
    <w:p>
      <w:pPr>
        <w:spacing w:after="0" w:line="215" w:lineRule="exact"/>
        <w:rPr>
          <w:rFonts w:ascii="Times New Roman" w:cs="Times New Roman" w:eastAsia="Times New Roman" w:hAnsi="Times New Roman"/>
          <w:sz w:val="17"/>
          <w:szCs w:val="17"/>
          <w:color w:val="auto"/>
        </w:rPr>
      </w:pPr>
    </w:p>
    <w:p>
      <w:pPr>
        <w:jc w:val="both"/>
        <w:ind w:left="1860" w:hanging="624"/>
        <w:spacing w:after="0" w:line="269" w:lineRule="auto"/>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64"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interest, if any, on any Security payable in any currency other than that stated in the Security;</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any change in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9.3</w:t>
      </w:r>
      <w:r>
        <w:rPr>
          <w:rFonts w:ascii="Times New Roman" w:cs="Times New Roman" w:eastAsia="Times New Roman" w:hAnsi="Times New Roman"/>
          <w:sz w:val="17"/>
          <w:szCs w:val="17"/>
          <w:color w:val="auto"/>
        </w:rPr>
        <w:t xml:space="preserve"> (this sentence);</w:t>
      </w:r>
    </w:p>
    <w:p>
      <w:pPr>
        <w:spacing w:after="0" w:line="211"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waive a redemption payment with respect to any Security;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redemption is made at the Company’s option; or</w:t>
      </w:r>
    </w:p>
    <w:p>
      <w:pPr>
        <w:spacing w:after="0" w:line="219"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of that Series are entitled to the benefit of the Guarantee, release any Guarantor of such Series other than as provided in this Indenture or modify the Guarantee in any manner adverse to the Holders.</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9.4.</w:t>
      </w:r>
      <w:r>
        <w:rPr>
          <w:sz w:val="20"/>
          <w:szCs w:val="20"/>
          <w:color w:val="auto"/>
        </w:rPr>
        <w:tab/>
      </w:r>
      <w:r>
        <w:rPr>
          <w:rFonts w:ascii="Times New Roman" w:cs="Times New Roman" w:eastAsia="Times New Roman" w:hAnsi="Times New Roman"/>
          <w:sz w:val="17"/>
          <w:szCs w:val="17"/>
          <w:b w:val="1"/>
          <w:bCs w:val="1"/>
          <w:color w:val="auto"/>
        </w:rPr>
        <w:t>Compliance with Trust Indenture Act.</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Every amendment to this Indenture or the Securities of one or more Series shall be set forth in a supplemental indenture hereto that complies with the TIA as then in effect.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9.5.</w:t>
      </w:r>
      <w:r>
        <w:rPr>
          <w:sz w:val="20"/>
          <w:szCs w:val="20"/>
          <w:color w:val="auto"/>
        </w:rPr>
        <w:tab/>
      </w:r>
      <w:r>
        <w:rPr>
          <w:rFonts w:ascii="Times New Roman" w:cs="Times New Roman" w:eastAsia="Times New Roman" w:hAnsi="Times New Roman"/>
          <w:sz w:val="17"/>
          <w:szCs w:val="17"/>
          <w:b w:val="1"/>
          <w:bCs w:val="1"/>
          <w:color w:val="auto"/>
        </w:rPr>
        <w:t>Revocation and Effect of Consents.</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71"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 xml:space="preserve">Any amendment or waiver once effective shall bind every Securityholder of each Series affected by such amendment or waiver unless it is of the type described in any of </w:t>
      </w:r>
      <w:r>
        <w:rPr>
          <w:rFonts w:ascii="Times New Roman" w:cs="Times New Roman" w:eastAsia="Times New Roman" w:hAnsi="Times New Roman"/>
          <w:sz w:val="17"/>
          <w:szCs w:val="17"/>
          <w:u w:val="single" w:color="auto"/>
          <w:color w:val="auto"/>
        </w:rPr>
        <w:t>clauses (a) through (h)</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or requires the consent of each Security Holder affected, as set forth in a supplemental indenture or Officer’s Certificate in respect to a particular Series of Securities. In that case, the amendment or waiver shall bind each Holder of a Security who has consented to it and every subsequent Holder of a Security or portion of a Security that evidences the same debt as the consenting Holder’s Security.</w:t>
      </w:r>
    </w:p>
    <w:p>
      <w:pPr>
        <w:spacing w:after="0" w:line="171"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9.6.</w:t>
      </w:r>
      <w:r>
        <w:rPr>
          <w:sz w:val="20"/>
          <w:szCs w:val="20"/>
          <w:color w:val="auto"/>
        </w:rPr>
        <w:tab/>
      </w:r>
      <w:r>
        <w:rPr>
          <w:rFonts w:ascii="Times New Roman" w:cs="Times New Roman" w:eastAsia="Times New Roman" w:hAnsi="Times New Roman"/>
          <w:sz w:val="17"/>
          <w:szCs w:val="17"/>
          <w:b w:val="1"/>
          <w:bCs w:val="1"/>
          <w:color w:val="auto"/>
        </w:rPr>
        <w:t>Notation on or Exchange of Securities.</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9.7.</w:t>
      </w:r>
      <w:r>
        <w:rPr>
          <w:sz w:val="20"/>
          <w:szCs w:val="20"/>
          <w:color w:val="auto"/>
        </w:rPr>
        <w:tab/>
      </w:r>
      <w:r>
        <w:rPr>
          <w:rFonts w:ascii="Times New Roman" w:cs="Times New Roman" w:eastAsia="Times New Roman" w:hAnsi="Times New Roman"/>
          <w:sz w:val="16"/>
          <w:szCs w:val="16"/>
          <w:b w:val="1"/>
          <w:bCs w:val="1"/>
          <w:color w:val="auto"/>
        </w:rPr>
        <w:t>Trustee Protected.</w:t>
      </w:r>
    </w:p>
    <w:p>
      <w:pPr>
        <w:spacing w:after="0" w:line="216" w:lineRule="exact"/>
        <w:rPr>
          <w:sz w:val="20"/>
          <w:szCs w:val="20"/>
          <w:color w:val="auto"/>
        </w:rPr>
      </w:pPr>
    </w:p>
    <w:p>
      <w:pPr>
        <w:jc w:val="both"/>
        <w:ind w:firstLine="617"/>
        <w:spacing w:after="0" w:line="258" w:lineRule="auto"/>
        <w:rPr>
          <w:sz w:val="20"/>
          <w:szCs w:val="20"/>
          <w:color w:val="auto"/>
        </w:rPr>
      </w:pPr>
      <w:r>
        <w:rPr>
          <w:rFonts w:ascii="Times New Roman" w:cs="Times New Roman" w:eastAsia="Times New Roman" w:hAnsi="Times New Roman"/>
          <w:sz w:val="17"/>
          <w:szCs w:val="17"/>
          <w:color w:val="auto"/>
        </w:rPr>
        <w:t xml:space="preserve">The Trustee will execute and deliver any amendment or supplemental indenture authorized pursuant to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Trustee need not (but may, in its sole and absolute discretion) execute or deliver any such amendment or supplemental indenture that the Trustee reasonably concludes adversely affects the Trustee’s rights, duties, liabilities or immunities. In executing, or accepting the additional trusts created by, any supplemental indenture permitted by this Article or the modifications thereby of the trusts created by this Indenture, the Trustee shall receive, and (subject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shall be fully protected in relying upon, an Officer’s Certificate or an Opinion of Counsel stating that the execution of such supplemental indenture is authorized or permitted by this Indenture. The Trustee shall sign all supplemental indentures upon delivery of such an Officer’s Certificate or Opinion of Counsel, except that the Trustee need not sign any supplemental indenture that adversely affects its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5579745</wp:posOffset>
            </wp:positionH>
            <wp:positionV relativeFrom="paragraph">
              <wp:posOffset>-814705</wp:posOffset>
            </wp:positionV>
            <wp:extent cx="27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w:t>
      </w:r>
      <w:r>
        <w:rPr>
          <w:sz w:val="20"/>
          <w:szCs w:val="20"/>
          <w:color w:val="auto"/>
        </w:rPr>
        <w:tab/>
      </w:r>
      <w:r>
        <w:rPr>
          <w:rFonts w:ascii="Times New Roman" w:cs="Times New Roman" w:eastAsia="Times New Roman" w:hAnsi="Times New Roman"/>
          <w:sz w:val="16"/>
          <w:szCs w:val="16"/>
          <w:b w:val="1"/>
          <w:bCs w:val="1"/>
          <w:color w:val="auto"/>
        </w:rPr>
        <w:t>Trust Indenture Act Controls.</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If any provision of this Indenture limits, qualifies, or conflicts with another provision which is required or deemed to be included in this Indenture by the TIA, such required or deemed provision shall control.</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Any notice or communication by the Company, any Guarantor or the Trustee to the other, or by a Holder to the Company, any Guarantor or the Trustee, is duly given if in writing and delivered in person or mailed by first-class mail:</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if to the Company or any Guarantor</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Intertechnology Technology, Inc.</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63 Lancaster Avenue</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Malvern, Pennsylvania 19355-2143</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Attention: Michael O’Sullivan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with a copy to:</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Troutman Pepper Locke LLP</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3000 Two Logan Square,</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Eighteenth and​Arch Streets</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Philadelphia, PA 19103​</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Attention: Barry Abelson, Esq.</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if to the Trustee:</w:t>
      </w:r>
    </w:p>
    <w:p>
      <w:pPr>
        <w:spacing w:after="0" w:line="222" w:lineRule="exact"/>
        <w:rPr>
          <w:sz w:val="20"/>
          <w:szCs w:val="20"/>
          <w:color w:val="auto"/>
        </w:rPr>
      </w:pPr>
    </w:p>
    <w:p>
      <w:pPr>
        <w:ind w:left="1100" w:hanging="480"/>
        <w:spacing w:after="0"/>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1100" w:hanging="480"/>
        <w:spacing w:after="0"/>
        <w:tabs>
          <w:tab w:leader="none" w:pos="11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0" w:lineRule="exact"/>
        <w:rPr>
          <w:rFonts w:ascii="Times New Roman" w:cs="Times New Roman" w:eastAsia="Times New Roman" w:hAnsi="Times New Roman"/>
          <w:sz w:val="17"/>
          <w:szCs w:val="17"/>
          <w:color w:val="auto"/>
        </w:rPr>
      </w:pPr>
    </w:p>
    <w:p>
      <w:pPr>
        <w:ind w:left="1100" w:hanging="480"/>
        <w:spacing w:after="0"/>
        <w:tabs>
          <w:tab w:leader="none" w:pos="11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0"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17"/>
          <w:szCs w:val="17"/>
          <w:color w:val="auto"/>
        </w:rPr>
        <w:t>Attention: [</w:t>
      </w:r>
      <w:r>
        <w:rPr>
          <w:sz w:val="20"/>
          <w:szCs w:val="20"/>
          <w:color w:val="auto"/>
        </w:rPr>
        <w:tab/>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The Company, any Guarantor or the Trustee by notice to the other may designate additional or different addresses for subsequent notices or communications.</w:t>
      </w:r>
    </w:p>
    <w:p>
      <w:pPr>
        <w:spacing w:after="0" w:line="152"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Any notice or communication to a Securityholder shall be sent electronically or by first-class mail to his, her or its address shown on the register kept by the Registrar, in accordance with the procedures of the Depositary.</w:t>
      </w:r>
    </w:p>
    <w:p>
      <w:pPr>
        <w:spacing w:after="0" w:line="152"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Failure to send a notice or communication to a Securityholder of any Series or any defect in it shall not affect its sufficiency with respect to other Securityholders of that or any other Series.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If a notice or communication is sent or published in the manner provided above, within the time prescribed, it is duly given, whether or not the Securityholder receives it.</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the Company or any Guarantor mails a notice or communication to Securityholders, it shall mail a copy to the Trustee and each Agent at the same time.</w:t>
      </w:r>
    </w:p>
    <w:p>
      <w:pPr>
        <w:spacing w:after="0" w:line="216"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10.3.</w:t>
      </w:r>
      <w:r>
        <w:rPr>
          <w:sz w:val="20"/>
          <w:szCs w:val="20"/>
          <w:color w:val="auto"/>
        </w:rPr>
        <w:tab/>
      </w:r>
      <w:r>
        <w:rPr>
          <w:rFonts w:ascii="Times New Roman" w:cs="Times New Roman" w:eastAsia="Times New Roman" w:hAnsi="Times New Roman"/>
          <w:sz w:val="17"/>
          <w:szCs w:val="17"/>
          <w:b w:val="1"/>
          <w:bCs w:val="1"/>
          <w:color w:val="auto"/>
        </w:rPr>
        <w:t>Communication by Holders with Other Holders.</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Securityholders of any Series may communicate pursuant to TIA Section 312(b) with other Securityholders of that Series or any other Series with respect to their rights under this Indenture or the Securities of that Series or all Series. The Company, the Trustee, the Registrar and anyone else shall have the protection of TIA Section 312(c).</w:t>
      </w:r>
    </w:p>
    <w:p>
      <w:pPr>
        <w:spacing w:after="0" w:line="16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Section 10.4.</w:t>
      </w:r>
      <w:r>
        <w:rPr>
          <w:sz w:val="20"/>
          <w:szCs w:val="20"/>
          <w:color w:val="auto"/>
        </w:rPr>
        <w:tab/>
      </w:r>
      <w:r>
        <w:rPr>
          <w:rFonts w:ascii="Times New Roman" w:cs="Times New Roman" w:eastAsia="Times New Roman" w:hAnsi="Times New Roman"/>
          <w:sz w:val="17"/>
          <w:szCs w:val="17"/>
          <w:b w:val="1"/>
          <w:bCs w:val="1"/>
          <w:color w:val="auto"/>
        </w:rPr>
        <w:t>Certificate and Opinion as to Conditions Precedent.</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Upon any request or application by the Company to the Trustee to take any action under this Indenture, the Company shall furnish to the Trustee:</w:t>
      </w:r>
    </w:p>
    <w:p>
      <w:pPr>
        <w:spacing w:after="0" w:line="216" w:lineRule="exact"/>
        <w:rPr>
          <w:sz w:val="20"/>
          <w:szCs w:val="20"/>
          <w:color w:val="auto"/>
        </w:rPr>
      </w:pPr>
    </w:p>
    <w:p>
      <w:pPr>
        <w:ind w:left="1860" w:hanging="624"/>
        <w:spacing w:after="0" w:line="285" w:lineRule="auto"/>
        <w:tabs>
          <w:tab w:leader="none" w:pos="18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Officer’s Certificate stating that, in the opinion of the signers, all covenants and conditions precedent, if any, provided for in this Indenture relating to the proposed action have been complied with; and</w:t>
      </w:r>
    </w:p>
    <w:p>
      <w:pPr>
        <w:spacing w:after="0" w:line="152" w:lineRule="exact"/>
        <w:rPr>
          <w:rFonts w:ascii="Times New Roman" w:cs="Times New Roman" w:eastAsia="Times New Roman" w:hAnsi="Times New Roman"/>
          <w:sz w:val="17"/>
          <w:szCs w:val="17"/>
          <w:color w:val="auto"/>
        </w:rPr>
      </w:pPr>
    </w:p>
    <w:p>
      <w:pPr>
        <w:ind w:left="1860" w:hanging="624"/>
        <w:spacing w:after="0" w:line="262" w:lineRule="auto"/>
        <w:tabs>
          <w:tab w:leader="none" w:pos="18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of Counsel stating that, in the opinion of such counsel, all such covenants and conditions precedent have been complied with.</w:t>
      </w:r>
    </w:p>
    <w:p>
      <w:pPr>
        <w:spacing w:after="0" w:line="39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10.5.</w:t>
      </w:r>
      <w:r>
        <w:rPr>
          <w:sz w:val="20"/>
          <w:szCs w:val="20"/>
          <w:color w:val="auto"/>
        </w:rPr>
        <w:tab/>
      </w:r>
      <w:r>
        <w:rPr>
          <w:rFonts w:ascii="Times New Roman" w:cs="Times New Roman" w:eastAsia="Times New Roman" w:hAnsi="Times New Roman"/>
          <w:sz w:val="17"/>
          <w:szCs w:val="17"/>
          <w:b w:val="1"/>
          <w:bCs w:val="1"/>
          <w:color w:val="auto"/>
        </w:rPr>
        <w:t>Statements Required in Certificate or Opinion.</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Each certificate or opinion with respect to compliance with a condition or covenant provided for in this Indenture (other than a certificate provided pursuant to TIA Section 314(a)(4)) shall comply with the provisions of TIA Section 314(e) and shall include:</w:t>
      </w:r>
    </w:p>
    <w:p>
      <w:pPr>
        <w:spacing w:after="0" w:line="152" w:lineRule="exact"/>
        <w:rPr>
          <w:sz w:val="20"/>
          <w:szCs w:val="20"/>
          <w:color w:val="auto"/>
        </w:rPr>
      </w:pPr>
    </w:p>
    <w:p>
      <w:pPr>
        <w:ind w:left="1860" w:hanging="624"/>
        <w:spacing w:after="0"/>
        <w:tabs>
          <w:tab w:leader="none" w:pos="18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the person making such certificate or opinion has read such covenant or condition;</w:t>
      </w:r>
    </w:p>
    <w:p>
      <w:pPr>
        <w:spacing w:after="0" w:line="215" w:lineRule="exact"/>
        <w:rPr>
          <w:rFonts w:ascii="Times New Roman" w:cs="Times New Roman" w:eastAsia="Times New Roman" w:hAnsi="Times New Roman"/>
          <w:sz w:val="17"/>
          <w:szCs w:val="17"/>
          <w:color w:val="auto"/>
        </w:rPr>
      </w:pPr>
    </w:p>
    <w:p>
      <w:pPr>
        <w:ind w:left="1860" w:right="80" w:hanging="624"/>
        <w:spacing w:after="0" w:line="285" w:lineRule="auto"/>
        <w:tabs>
          <w:tab w:leader="none" w:pos="18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statement as to the nature and scope of the examination or investigation upon which the statements or opinions contained in such certificate or opinion are based;</w:t>
      </w:r>
    </w:p>
    <w:p>
      <w:pPr>
        <w:spacing w:after="0" w:line="152" w:lineRule="exact"/>
        <w:rPr>
          <w:rFonts w:ascii="Times New Roman" w:cs="Times New Roman" w:eastAsia="Times New Roman" w:hAnsi="Times New Roman"/>
          <w:sz w:val="17"/>
          <w:szCs w:val="17"/>
          <w:color w:val="auto"/>
        </w:rPr>
      </w:pPr>
    </w:p>
    <w:p>
      <w:pPr>
        <w:ind w:left="1860" w:hanging="624"/>
        <w:spacing w:after="0" w:line="285" w:lineRule="auto"/>
        <w:tabs>
          <w:tab w:leader="none" w:pos="18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ind w:left="1860" w:hanging="624"/>
        <w:spacing w:after="0"/>
        <w:tabs>
          <w:tab w:leader="none" w:pos="18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as to whether or not, in the opinion of such person, such condition or covenant has been complied with.</w:t>
      </w:r>
    </w:p>
    <w:p>
      <w:pPr>
        <w:spacing w:after="0" w:line="21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10.6.</w:t>
      </w:r>
      <w:r>
        <w:rPr>
          <w:sz w:val="20"/>
          <w:szCs w:val="20"/>
          <w:color w:val="auto"/>
        </w:rPr>
        <w:tab/>
      </w:r>
      <w:r>
        <w:rPr>
          <w:rFonts w:ascii="Times New Roman" w:cs="Times New Roman" w:eastAsia="Times New Roman" w:hAnsi="Times New Roman"/>
          <w:sz w:val="16"/>
          <w:szCs w:val="16"/>
          <w:b w:val="1"/>
          <w:bCs w:val="1"/>
          <w:color w:val="auto"/>
        </w:rPr>
        <w:t>Rules by Trustee and Agents.</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Trustee may make reasonable rules for action by or a meeting of Securityholders of one or more Series. Any Agent may make reasonable rules and set reasonable requirements for its functions.</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10.7.</w:t>
      </w:r>
      <w:r>
        <w:rPr>
          <w:sz w:val="20"/>
          <w:szCs w:val="20"/>
          <w:color w:val="auto"/>
        </w:rPr>
        <w:tab/>
      </w:r>
      <w:r>
        <w:rPr>
          <w:rFonts w:ascii="Times New Roman" w:cs="Times New Roman" w:eastAsia="Times New Roman" w:hAnsi="Times New Roman"/>
          <w:sz w:val="17"/>
          <w:szCs w:val="17"/>
          <w:b w:val="1"/>
          <w:bCs w:val="1"/>
          <w:color w:val="auto"/>
        </w:rPr>
        <w:t>Legal Holidays.</w:t>
      </w:r>
    </w:p>
    <w:p>
      <w:pPr>
        <w:spacing w:after="0" w:line="216" w:lineRule="exact"/>
        <w:rPr>
          <w:sz w:val="20"/>
          <w:szCs w:val="20"/>
          <w:color w:val="auto"/>
        </w:rPr>
      </w:pPr>
    </w:p>
    <w:p>
      <w:pPr>
        <w:jc w:val="both"/>
        <w:ind w:firstLine="617"/>
        <w:spacing w:after="0" w:line="271" w:lineRule="auto"/>
        <w:rPr>
          <w:sz w:val="20"/>
          <w:szCs w:val="20"/>
          <w:color w:val="auto"/>
        </w:rPr>
      </w:pPr>
      <w:r>
        <w:rPr>
          <w:rFonts w:ascii="Times New Roman" w:cs="Times New Roman" w:eastAsia="Times New Roman" w:hAnsi="Times New Roman"/>
          <w:sz w:val="17"/>
          <w:szCs w:val="17"/>
          <w:color w:val="auto"/>
        </w:rPr>
        <w:t xml:space="preserve">Unless otherwise provided by Board Resolution, Officer’s Certificate or supplemental indenture hereto for a particular Series, a </w:t>
      </w:r>
      <w:r>
        <w:rPr>
          <w:rFonts w:ascii="Times New Roman" w:cs="Times New Roman" w:eastAsia="Times New Roman" w:hAnsi="Times New Roman"/>
          <w:sz w:val="17"/>
          <w:szCs w:val="17"/>
          <w:b w:val="1"/>
          <w:bCs w:val="1"/>
          <w:color w:val="auto"/>
        </w:rPr>
        <w:t>“Legal Holiday”</w:t>
      </w:r>
      <w:r>
        <w:rPr>
          <w:rFonts w:ascii="Times New Roman" w:cs="Times New Roman" w:eastAsia="Times New Roman" w:hAnsi="Times New Roman"/>
          <w:sz w:val="17"/>
          <w:szCs w:val="17"/>
          <w:color w:val="auto"/>
        </w:rPr>
        <w:t xml:space="preserve">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6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10.8.</w:t>
      </w:r>
      <w:r>
        <w:rPr>
          <w:sz w:val="20"/>
          <w:szCs w:val="20"/>
          <w:color w:val="auto"/>
        </w:rPr>
        <w:tab/>
      </w:r>
      <w:r>
        <w:rPr>
          <w:rFonts w:ascii="Times New Roman" w:cs="Times New Roman" w:eastAsia="Times New Roman" w:hAnsi="Times New Roman"/>
          <w:sz w:val="17"/>
          <w:szCs w:val="17"/>
          <w:b w:val="1"/>
          <w:bCs w:val="1"/>
          <w:color w:val="auto"/>
        </w:rPr>
        <w:t>No Recourse Against Others.</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A director, officer, employee or stockholder (past or present), as such, of the Company or any Guarantor shall not have any liability for any obligations of the Company under the Securities, the Guarantee or this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10.9.</w:t>
      </w:r>
      <w:r>
        <w:rPr>
          <w:sz w:val="20"/>
          <w:szCs w:val="20"/>
          <w:color w:val="auto"/>
        </w:rPr>
        <w:tab/>
      </w:r>
      <w:r>
        <w:rPr>
          <w:rFonts w:ascii="Times New Roman" w:cs="Times New Roman" w:eastAsia="Times New Roman" w:hAnsi="Times New Roman"/>
          <w:sz w:val="16"/>
          <w:szCs w:val="16"/>
          <w:b w:val="1"/>
          <w:bCs w:val="1"/>
          <w:color w:val="auto"/>
        </w:rPr>
        <w:t>Counterparts.</w:t>
      </w:r>
    </w:p>
    <w:p>
      <w:pPr>
        <w:spacing w:after="0" w:line="220" w:lineRule="exact"/>
        <w:rPr>
          <w:sz w:val="20"/>
          <w:szCs w:val="20"/>
          <w:color w:val="auto"/>
        </w:rPr>
      </w:pPr>
    </w:p>
    <w:p>
      <w:pPr>
        <w:jc w:val="both"/>
        <w:ind w:firstLine="617"/>
        <w:spacing w:after="0" w:line="253" w:lineRule="auto"/>
        <w:rPr>
          <w:sz w:val="20"/>
          <w:szCs w:val="20"/>
          <w:color w:val="auto"/>
        </w:rPr>
      </w:pPr>
      <w:r>
        <w:rPr>
          <w:rFonts w:ascii="Times New Roman" w:cs="Times New Roman" w:eastAsia="Times New Roman" w:hAnsi="Times New Roman"/>
          <w:sz w:val="17"/>
          <w:szCs w:val="17"/>
          <w:color w:val="auto"/>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The words “execution,” “signed,” “signature,” and words of like import in this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Indenture to the contrary notwithstanding, (a) any Officer’s Certificate, Company Order, Opinion of Counsel, Security, Guarantee endorsed on any Security, opinion of counsel, instrument, agreement or other document delivered pursuant to this Indenture may be executed, attested and transmitted by any of the foregoing electronic means and formats, (b) all references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or elsewhere in this Indenture to the execution, attestation or authentication of any Security, any Guarantee endorsed on any Security, or any certificate of authentication appearing on or attached to any Security by means of a manual or facsimile signature shall be deemed to include signatures that are made or transmitted by any of the foregoing electronic means or formats, and (c) any requirement in this Indenture that any signature be made under a corporate seal (or facsimile thereof) shall not be applicable to the Securities or any Guarantees endorsed on any Securities. The Company agrees to assume all risks arising out of the use of using digital signatures, including without limitation the risk of the Trustee acting on unauthorized instructions. The Trustee shall not have any duty to confirm that the person sending any notice, instruction or other communication (a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xml:space="preserve">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Each other party assumes all risks arising out of the use of electronic signatures and electronic methods to send Notices to the Trustee, including without limitation the risk of the Trustee acting on an unauthorized Notice, and the risk of interception or misuse by third parties.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Section 10.10.</w:t>
      </w:r>
      <w:r>
        <w:rPr>
          <w:sz w:val="20"/>
          <w:szCs w:val="20"/>
          <w:color w:val="auto"/>
        </w:rPr>
        <w:tab/>
      </w:r>
      <w:r>
        <w:rPr>
          <w:rFonts w:ascii="Times New Roman" w:cs="Times New Roman" w:eastAsia="Times New Roman" w:hAnsi="Times New Roman"/>
          <w:sz w:val="17"/>
          <w:szCs w:val="17"/>
          <w:b w:val="1"/>
          <w:bCs w:val="1"/>
          <w:color w:val="auto"/>
        </w:rPr>
        <w:t>Governing Law; Waiver of Jury Trial; Consent to Jurisdiction.</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THIS INDENTURE AND THE SECURITIES, INCLUDING ANY CLAIM OR CONTROVERSY ARISING OUT OF OR RELATING TO THE INDENTURE OR THE SECURITIES, SHALL BE GOVERNED BY THE LAWS OF THE STATE OF NEW YORK (WITHOUT REGARD TO THE CONFLICTS OF LAWS PROVISIONS THEREOF OTHER THAN SECTION 5-1401 OF THE GENERAL OBLIGATIONS LAW).</w:t>
      </w:r>
    </w:p>
    <w:p>
      <w:pPr>
        <w:spacing w:after="0" w:line="165"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THE COMPANY, THE GUARANTORS,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71"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 xml:space="preserve">Any legal suit, action or proceeding arising out of or based upon this Indenture or the transactions contemplated hereby may be instituted in the federal courts of the United States of America located in the Borough of Manhattan, the City of New York or the courts of the State of New York in each case located in the Borough of Manhattan, the City of New York (collectively, the </w:t>
      </w:r>
      <w:r>
        <w:rPr>
          <w:rFonts w:ascii="Times New Roman" w:cs="Times New Roman" w:eastAsia="Times New Roman" w:hAnsi="Times New Roman"/>
          <w:sz w:val="17"/>
          <w:szCs w:val="17"/>
          <w:b w:val="1"/>
          <w:bCs w:val="1"/>
          <w:color w:val="auto"/>
        </w:rPr>
        <w:t>“Specified Courts”</w:t>
      </w:r>
      <w:r>
        <w:rPr>
          <w:rFonts w:ascii="Times New Roman" w:cs="Times New Roman" w:eastAsia="Times New Roman" w:hAnsi="Times New Roman"/>
          <w:sz w:val="17"/>
          <w:szCs w:val="17"/>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Guarantors,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10.11.</w:t>
        <w:tab/>
        <w:t>No Adverse Interpretation of Other Agreements.</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10.12.</w:t>
        <w:tab/>
        <w:t>Successors.</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All agreements of the Company and the Guarantors in this Indenture and the Securities shall bind their respective successors. All agreements of the Trustee in this Indenture shall bind its successor.</w:t>
      </w:r>
    </w:p>
    <w:p>
      <w:pPr>
        <w:spacing w:after="0" w:line="14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Section 10.13.</w:t>
      </w:r>
      <w:r>
        <w:rPr>
          <w:sz w:val="20"/>
          <w:szCs w:val="20"/>
          <w:color w:val="auto"/>
        </w:rPr>
        <w:tab/>
      </w:r>
      <w:r>
        <w:rPr>
          <w:rFonts w:ascii="Times New Roman" w:cs="Times New Roman" w:eastAsia="Times New Roman" w:hAnsi="Times New Roman"/>
          <w:sz w:val="16"/>
          <w:szCs w:val="16"/>
          <w:b w:val="1"/>
          <w:bCs w:val="1"/>
          <w:color w:val="auto"/>
        </w:rPr>
        <w:t>Severability.</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10.14.</w:t>
        <w:tab/>
        <w:t>Table of Contents, Headings, Etc.</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10.15.</w:t>
        <w:tab/>
        <w:t>Securities in a Foreign Currency.</w:t>
      </w:r>
    </w:p>
    <w:p>
      <w:pPr>
        <w:spacing w:after="0" w:line="220" w:lineRule="exact"/>
        <w:rPr>
          <w:sz w:val="20"/>
          <w:szCs w:val="20"/>
          <w:color w:val="auto"/>
        </w:rPr>
      </w:pPr>
    </w:p>
    <w:p>
      <w:pPr>
        <w:jc w:val="both"/>
        <w:ind w:firstLine="617"/>
        <w:spacing w:after="0" w:line="255" w:lineRule="auto"/>
        <w:rPr>
          <w:sz w:val="20"/>
          <w:szCs w:val="20"/>
          <w:color w:val="auto"/>
        </w:rPr>
      </w:pPr>
      <w:r>
        <w:rPr>
          <w:rFonts w:ascii="Times New Roman" w:cs="Times New Roman" w:eastAsia="Times New Roman" w:hAnsi="Times New Roman"/>
          <w:sz w:val="17"/>
          <w:szCs w:val="17"/>
          <w:color w:val="auto"/>
        </w:rPr>
        <w:t xml:space="preserve">Unless otherwise specified in a Board Resolution, a supplemental indenture hereto or an Officer’s Certificate delivered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this Indenture with respect to a particular Series of Securities, such conversion shall be made by the Company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82"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10.16.</w:t>
      </w:r>
      <w:r>
        <w:rPr>
          <w:sz w:val="20"/>
          <w:szCs w:val="20"/>
          <w:color w:val="auto"/>
        </w:rPr>
        <w:tab/>
      </w:r>
      <w:r>
        <w:rPr>
          <w:rFonts w:ascii="Times New Roman" w:cs="Times New Roman" w:eastAsia="Times New Roman" w:hAnsi="Times New Roman"/>
          <w:sz w:val="16"/>
          <w:szCs w:val="16"/>
          <w:b w:val="1"/>
          <w:bCs w:val="1"/>
          <w:color w:val="auto"/>
        </w:rPr>
        <w:t>Judgment Currency.</w:t>
      </w:r>
    </w:p>
    <w:p>
      <w:pPr>
        <w:spacing w:after="0" w:line="220" w:lineRule="exact"/>
        <w:rPr>
          <w:sz w:val="20"/>
          <w:szCs w:val="20"/>
          <w:color w:val="auto"/>
        </w:rPr>
      </w:pPr>
    </w:p>
    <w:p>
      <w:pPr>
        <w:jc w:val="both"/>
        <w:ind w:firstLine="617"/>
        <w:spacing w:after="0" w:line="254" w:lineRule="auto"/>
        <w:rPr>
          <w:sz w:val="20"/>
          <w:szCs w:val="20"/>
          <w:color w:val="auto"/>
        </w:rPr>
      </w:pPr>
      <w:r>
        <w:rPr>
          <w:rFonts w:ascii="Times New Roman" w:cs="Times New Roman" w:eastAsia="Times New Roman" w:hAnsi="Times New Roman"/>
          <w:sz w:val="17"/>
          <w:szCs w:val="17"/>
          <w:color w:val="auto"/>
        </w:rPr>
        <w:t xml:space="preserve">The Company and each Guarantor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7"/>
          <w:szCs w:val="17"/>
          <w:b w:val="1"/>
          <w:bCs w:val="1"/>
          <w:color w:val="auto"/>
        </w:rPr>
        <w:t>“Required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Currency”</w:t>
      </w:r>
      <w:r>
        <w:rPr>
          <w:rFonts w:ascii="Times New Roman" w:cs="Times New Roman" w:eastAsia="Times New Roman" w:hAnsi="Times New Roman"/>
          <w:sz w:val="17"/>
          <w:szCs w:val="17"/>
          <w:color w:val="auto"/>
        </w:rPr>
        <w:t>) into a currency in which a judgment will be rendered (the</w:t>
      </w:r>
      <w:r>
        <w:rPr>
          <w:rFonts w:ascii="Times New Roman" w:cs="Times New Roman" w:eastAsia="Times New Roman" w:hAnsi="Times New Roman"/>
          <w:sz w:val="17"/>
          <w:szCs w:val="17"/>
          <w:b w:val="1"/>
          <w:bCs w:val="1"/>
          <w:color w:val="auto"/>
        </w:rPr>
        <w:t xml:space="preserve"> “Judgment Currency”</w:t>
      </w:r>
      <w:r>
        <w:rPr>
          <w:rFonts w:ascii="Times New Roman" w:cs="Times New Roman" w:eastAsia="Times New Roman" w:hAnsi="Times New Roman"/>
          <w:sz w:val="17"/>
          <w:szCs w:val="17"/>
          <w:color w:val="auto"/>
        </w:rPr>
        <w:t>), the rate of exchange used shall be the rate at which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w:t>
      </w:r>
      <w:r>
        <w:rPr>
          <w:rFonts w:ascii="Times New Roman" w:cs="Times New Roman" w:eastAsia="Times New Roman" w:hAnsi="Times New Roman"/>
          <w:sz w:val="17"/>
          <w:szCs w:val="17"/>
          <w:u w:val="single" w:color="auto"/>
          <w:color w:val="auto"/>
        </w:rPr>
        <w:t>subsection</w:t>
      </w:r>
      <w:r>
        <w:rPr>
          <w:rFonts w:ascii="Times New Roman" w:cs="Times New Roman" w:eastAsia="Times New Roman" w:hAnsi="Times New Roman"/>
          <w:sz w:val="17"/>
          <w:szCs w:val="17"/>
          <w:color w:val="auto"/>
        </w:rPr>
        <w:t xml:space="preserv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7"/>
          <w:szCs w:val="17"/>
          <w:b w:val="1"/>
          <w:bCs w:val="1"/>
          <w:color w:val="auto"/>
        </w:rPr>
        <w:t>“New York Banking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Day” </w:t>
      </w:r>
      <w:r>
        <w:rPr>
          <w:rFonts w:ascii="Times New Roman" w:cs="Times New Roman" w:eastAsia="Times New Roman" w:hAnsi="Times New Roman"/>
          <w:sz w:val="17"/>
          <w:szCs w:val="17"/>
          <w:color w:val="auto"/>
        </w:rPr>
        <w:t>means any day except a Saturday, Sunday or a legal holiday in The City of New York on which banking institutions are authorized or required by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 or executive order to close.</w:t>
      </w:r>
    </w:p>
    <w:p>
      <w:pPr>
        <w:spacing w:after="0" w:line="18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10.17.</w:t>
        <w:tab/>
        <w:t>USA Patriot Act.</w:t>
      </w:r>
    </w:p>
    <w:p>
      <w:pPr>
        <w:spacing w:after="0" w:line="220"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 xml:space="preserve">The parties hereto acknowledge that, in accordance with Section 326 of the USA Patriot Act (Title III of Pub. L. 107-56 (signed into law October 26, 2001)) (as amended, modified or supplemented from time to time, the </w:t>
      </w:r>
      <w:r>
        <w:rPr>
          <w:rFonts w:ascii="Times New Roman" w:cs="Times New Roman" w:eastAsia="Times New Roman" w:hAnsi="Times New Roman"/>
          <w:sz w:val="17"/>
          <w:szCs w:val="17"/>
          <w:b w:val="1"/>
          <w:bCs w:val="1"/>
          <w:color w:val="auto"/>
        </w:rPr>
        <w:t>“USA Patriot Act”</w:t>
      </w:r>
      <w:r>
        <w:rPr>
          <w:rFonts w:ascii="Times New Roman" w:cs="Times New Roman" w:eastAsia="Times New Roman" w:hAnsi="Times New Roman"/>
          <w:sz w:val="17"/>
          <w:szCs w:val="17"/>
          <w:color w:val="auto"/>
        </w:rPr>
        <w:t>), the Trustee, like all financial institutions, is required to obtain, verify, and record information that identifies each person or legal entity that opens an account. The parties to this Indenture agree that they will provide the Trustee with such information as the Trustee may reasonably request in order for the Trustee to satisfy the requirements of the USA Patriot Act.</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10.18.</w:t>
      </w:r>
      <w:r>
        <w:rPr>
          <w:sz w:val="20"/>
          <w:szCs w:val="20"/>
          <w:color w:val="auto"/>
        </w:rPr>
        <w:tab/>
      </w:r>
      <w:r>
        <w:rPr>
          <w:rFonts w:ascii="Times New Roman" w:cs="Times New Roman" w:eastAsia="Times New Roman" w:hAnsi="Times New Roman"/>
          <w:sz w:val="16"/>
          <w:szCs w:val="16"/>
          <w:b w:val="1"/>
          <w:bCs w:val="1"/>
          <w:color w:val="auto"/>
        </w:rPr>
        <w:t>Force Majeure.</w:t>
      </w:r>
    </w:p>
    <w:p>
      <w:pPr>
        <w:spacing w:after="0" w:line="220"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pandemics, epidemics, recognized public emergencies, quarantine restrictions, nuclear or natural catastrophes or acts of God, and interruptions, loss or malfunctions of utilities, communications or computer (software and hardware) services, hacking, cyber-attacks, or other use or infiltration of the Trustee’s technological infrastructure exceeding authorized access; it being understood that the Trustee shall use reasonable efforts which are consistent with accepted practices in the banking industry to resume performance as soon as practicable under the circumstances.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SINKING FUNDS</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Applicability of Article.</w:t>
      </w:r>
    </w:p>
    <w:p>
      <w:pPr>
        <w:spacing w:after="0" w:line="220"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The provisions of this Article shall be applicable to any sinking fund for the retirement of the Securities of a Series if so provided by the terms of such Securities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except as otherwise permitted or required by any form of Security of such Series issued pursuant to this Indenture.</w:t>
      </w:r>
    </w:p>
    <w:p>
      <w:pPr>
        <w:spacing w:after="0" w:line="152"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 xml:space="preserve">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Each sinking fund payment shall be applied to the redemption of Securities of any Series as provided for by the terms of the Securities of such Series.</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11.2.</w:t>
      </w:r>
      <w:r>
        <w:rPr>
          <w:sz w:val="20"/>
          <w:szCs w:val="20"/>
          <w:color w:val="auto"/>
        </w:rPr>
        <w:tab/>
      </w:r>
      <w:r>
        <w:rPr>
          <w:rFonts w:ascii="Times New Roman" w:cs="Times New Roman" w:eastAsia="Times New Roman" w:hAnsi="Times New Roman"/>
          <w:sz w:val="17"/>
          <w:szCs w:val="17"/>
          <w:b w:val="1"/>
          <w:bCs w:val="1"/>
          <w:color w:val="auto"/>
        </w:rPr>
        <w:t>Satisfaction of Sinking Fund Payments with Securities.</w:t>
      </w:r>
    </w:p>
    <w:p>
      <w:pPr>
        <w:spacing w:after="0" w:line="220" w:lineRule="exact"/>
        <w:rPr>
          <w:sz w:val="20"/>
          <w:szCs w:val="20"/>
          <w:color w:val="auto"/>
        </w:rPr>
      </w:pPr>
    </w:p>
    <w:p>
      <w:pPr>
        <w:jc w:val="both"/>
        <w:ind w:firstLine="617"/>
        <w:spacing w:after="0" w:line="254" w:lineRule="auto"/>
        <w:rPr>
          <w:sz w:val="20"/>
          <w:szCs w:val="20"/>
          <w:color w:val="auto"/>
        </w:rPr>
      </w:pPr>
      <w:r>
        <w:rPr>
          <w:rFonts w:ascii="Times New Roman" w:cs="Times New Roman" w:eastAsia="Times New Roman" w:hAnsi="Times New Roman"/>
          <w:sz w:val="17"/>
          <w:szCs w:val="17"/>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11.3.</w:t>
      </w:r>
      <w:r>
        <w:rPr>
          <w:sz w:val="20"/>
          <w:szCs w:val="20"/>
          <w:color w:val="auto"/>
        </w:rPr>
        <w:tab/>
      </w:r>
      <w:r>
        <w:rPr>
          <w:rFonts w:ascii="Times New Roman" w:cs="Times New Roman" w:eastAsia="Times New Roman" w:hAnsi="Times New Roman"/>
          <w:sz w:val="17"/>
          <w:szCs w:val="17"/>
          <w:b w:val="1"/>
          <w:bCs w:val="1"/>
          <w:color w:val="auto"/>
        </w:rPr>
        <w:t>Redemption of Securities for Sinking Fund.</w:t>
      </w:r>
    </w:p>
    <w:p>
      <w:pPr>
        <w:spacing w:after="0" w:line="220" w:lineRule="exact"/>
        <w:rPr>
          <w:sz w:val="20"/>
          <w:szCs w:val="20"/>
          <w:color w:val="auto"/>
        </w:rPr>
      </w:pPr>
    </w:p>
    <w:p>
      <w:pPr>
        <w:jc w:val="both"/>
        <w:ind w:firstLine="617"/>
        <w:spacing w:after="0" w:line="256" w:lineRule="auto"/>
        <w:rPr>
          <w:sz w:val="20"/>
          <w:szCs w:val="20"/>
          <w:color w:val="auto"/>
        </w:rPr>
      </w:pPr>
      <w:r>
        <w:rPr>
          <w:rFonts w:ascii="Times New Roman" w:cs="Times New Roman" w:eastAsia="Times New Roman" w:hAnsi="Times New Roman"/>
          <w:sz w:val="17"/>
          <w:szCs w:val="17"/>
          <w:color w:val="auto"/>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3.6</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GUARANTEE</w:t>
      </w:r>
    </w:p>
    <w:p>
      <w:pPr>
        <w:spacing w:after="0" w:line="1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12.1.</w:t>
      </w:r>
      <w:r>
        <w:rPr>
          <w:sz w:val="20"/>
          <w:szCs w:val="20"/>
          <w:color w:val="auto"/>
        </w:rPr>
        <w:tab/>
      </w:r>
      <w:r>
        <w:rPr>
          <w:rFonts w:ascii="Times New Roman" w:cs="Times New Roman" w:eastAsia="Times New Roman" w:hAnsi="Times New Roman"/>
          <w:sz w:val="17"/>
          <w:szCs w:val="17"/>
          <w:b w:val="1"/>
          <w:bCs w:val="1"/>
          <w:color w:val="auto"/>
        </w:rPr>
        <w:t>Unconditional Guarantee.</w:t>
      </w:r>
    </w:p>
    <w:p>
      <w:pPr>
        <w:spacing w:after="0" w:line="220" w:lineRule="exact"/>
        <w:rPr>
          <w:sz w:val="20"/>
          <w:szCs w:val="20"/>
          <w:color w:val="auto"/>
        </w:rPr>
      </w:pPr>
    </w:p>
    <w:p>
      <w:pPr>
        <w:jc w:val="both"/>
        <w:ind w:left="1240" w:hanging="620"/>
        <w:spacing w:after="0" w:line="269"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to the contrary, the provisions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shall be applicable only to, and inure solely to the benefit of, the Securities of any Series designated, pursuant to </w:t>
      </w:r>
      <w:r>
        <w:rPr>
          <w:rFonts w:ascii="Times New Roman" w:cs="Times New Roman" w:eastAsia="Times New Roman" w:hAnsi="Times New Roman"/>
          <w:sz w:val="17"/>
          <w:szCs w:val="17"/>
          <w:u w:val="single" w:color="auto"/>
          <w:color w:val="auto"/>
        </w:rPr>
        <w:t>Section 2.2.23</w:t>
      </w:r>
      <w:r>
        <w:rPr>
          <w:rFonts w:ascii="Times New Roman" w:cs="Times New Roman" w:eastAsia="Times New Roman" w:hAnsi="Times New Roman"/>
          <w:sz w:val="17"/>
          <w:szCs w:val="17"/>
          <w:color w:val="auto"/>
        </w:rPr>
        <w:t>, as entitled to the benefits of the Guarantee of each Guarantor identified in such designation and that has executed a Notation of Guarantee with respect to such Series.</w:t>
      </w:r>
    </w:p>
    <w:p>
      <w:pPr>
        <w:spacing w:after="0" w:line="160" w:lineRule="exact"/>
        <w:rPr>
          <w:rFonts w:ascii="Times New Roman" w:cs="Times New Roman" w:eastAsia="Times New Roman" w:hAnsi="Times New Roman"/>
          <w:sz w:val="17"/>
          <w:szCs w:val="17"/>
          <w:color w:val="auto"/>
        </w:rPr>
      </w:pPr>
    </w:p>
    <w:p>
      <w:pPr>
        <w:jc w:val="both"/>
        <w:ind w:left="1240" w:hanging="620"/>
        <w:spacing w:after="0" w:line="260"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value received, each Guarantor hereby jointly and severally, fully, unconditionally and absolutely guarantees (the </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xml:space="preserve">) to the Holders and to the Trustee the due and punctual payment of the principal of, premium, if any, and interest on each Series of Securities for which such Guarantor has executed a Notation of Guarantee with respect to such Series and all other amounts due and payable under this Indenture and the Securities of such Series by the Company, when and as such principal, premium, if any, interest, and such other amounts as shall become due and payable, whether at the Stated Maturity or by declaration of acceleration, call for redemption or otherwise, according to the terms of such Securities and this Indenture, subject to the limitations set forth in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both"/>
        <w:ind w:left="1240" w:hanging="620"/>
        <w:spacing w:after="0" w:line="256"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Failing payment when due of any amount guaranteed pursuant to the Guarantee, for whatever reason, each of the Guarantors will be jointly and severally obligated to pay the same immediately. Each of the Guarantors hereby agrees that its obligations hereunder shall be full, unconditional and absolute, irrespective of the validity, regularity or enforceability of the Securities, the Guarantee (including the Guarantee of any other Guarantor) or this Indenture, the absence of any action to enforce the same, any waiver or consent by any Holder of the Securities with respect to any provisions hereof or thereof, the recovery of any judgment against the Company or any other Guarantor, or any action to enforce the same or any other circumstances which might otherwise constitute a legal or equitable discharge or defense of any of the Guarantors. Each Guarantor hereby agrees that in the event of a default in payment of the principal of or interest on the Securities entitled to the Guarantee of such Guarantor, whether at the Stated Maturity or by declaration of acceleration, call for redemption or otherwise, legal proceedings may be instituted by the Trustee on behalf of the Holders or, subject to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by the Holders, on the terms and conditions set forth in this Indenture, directly against such Guarantor to enforce the Guarantee without first proceeding against the Company or any other Guarantor.</w:t>
      </w:r>
    </w:p>
    <w:p>
      <w:pPr>
        <w:spacing w:after="0" w:line="176" w:lineRule="exact"/>
        <w:rPr>
          <w:rFonts w:ascii="Times New Roman" w:cs="Times New Roman" w:eastAsia="Times New Roman" w:hAnsi="Times New Roman"/>
          <w:sz w:val="17"/>
          <w:szCs w:val="17"/>
          <w:color w:val="auto"/>
        </w:rPr>
      </w:pPr>
    </w:p>
    <w:p>
      <w:pPr>
        <w:jc w:val="both"/>
        <w:ind w:left="1240" w:hanging="620"/>
        <w:spacing w:after="0" w:line="257"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Guarantor hereby (i) waives diligence, presentment, demand of payment, filing of claims with a court in the event of the merger, insolvency or bankruptcy of the Company or any of the Guarantors, and all demands whatsoever and (ii) acknowledges that any agreement, instrument or document evidencing the Guarantee may be transferred and that the benefit of its obligations hereunder shall extend to each holder of any agreement, instrument or document evidencing the Guarantee without notice to it. Each Guarantor further agrees that if at any time all or any part of any payment theretofore applied by any person to the Guarantee is, or must be, rescinded or returned for any reason whatsoever, including without limitation, the insolvency, bankruptcy or reorganization of the Company or any of the Guarantors, the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75" w:lineRule="exact"/>
        <w:rPr>
          <w:rFonts w:ascii="Times New Roman" w:cs="Times New Roman" w:eastAsia="Times New Roman" w:hAnsi="Times New Roman"/>
          <w:sz w:val="17"/>
          <w:szCs w:val="17"/>
          <w:color w:val="auto"/>
        </w:rPr>
      </w:pPr>
    </w:p>
    <w:p>
      <w:pPr>
        <w:jc w:val="both"/>
        <w:ind w:left="1240" w:hanging="620"/>
        <w:spacing w:after="0" w:line="263" w:lineRule="auto"/>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Guarantor shall be subrogated to all rights of the Holders and the Trustee against the Company in respect of any amounts paid by such Guarantor pursuant to the provisions of this Indenture;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Guarantor shall not be entitled to enforce or to receive any payments arising out of, or based upon, such right of subrogation until all of the Securities entitled to the Guarantee of such Guarantor and the Guarantee shall have been paid in full or discharged.</w:t>
      </w:r>
    </w:p>
    <w:p>
      <w:pPr>
        <w:spacing w:after="0" w:line="16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12.2.</w:t>
      </w:r>
      <w:r>
        <w:rPr>
          <w:sz w:val="20"/>
          <w:szCs w:val="20"/>
          <w:color w:val="auto"/>
        </w:rPr>
        <w:tab/>
      </w:r>
      <w:r>
        <w:rPr>
          <w:rFonts w:ascii="Times New Roman" w:cs="Times New Roman" w:eastAsia="Times New Roman" w:hAnsi="Times New Roman"/>
          <w:sz w:val="17"/>
          <w:szCs w:val="17"/>
          <w:b w:val="1"/>
          <w:bCs w:val="1"/>
          <w:color w:val="auto"/>
        </w:rPr>
        <w:t>Execution and Delivery of Notation of Guarantee.</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To evidence the Guarantee of a Guarantor of a Series of Securities, a Notation of Guarantee, executed by either manual or facsimile signature of an Officer of such Guarantor, shall be affixed on each Security entitled to the benefits of the Guarantee of such Guarantor. If any Officer of any Guarantor whose signature is on a Notation of Guarantee no longer holds that office at the time the Trustee authenticates a Security to which such Notation of Guarantee is affixed or at any time thereafter, the Guarantee of such Security shall be valid nevertheless. The delivery of any Security by the Trustee, after the authentication thereof hereunder, shall constitute due delivery of any Guarantee relating to such Security set forth in the Indenture on behalf of the Guarantor. Notwithstanding the foregoing, each Guarantor hereby agrees that its Guarantee shall remain in full force and effect notwithstanding the absence of a Notation of Guarantee being affixed to such Security.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12.3.</w:t>
      </w:r>
      <w:r>
        <w:rPr>
          <w:sz w:val="20"/>
          <w:szCs w:val="20"/>
          <w:color w:val="auto"/>
        </w:rPr>
        <w:tab/>
      </w:r>
      <w:r>
        <w:rPr>
          <w:rFonts w:ascii="Times New Roman" w:cs="Times New Roman" w:eastAsia="Times New Roman" w:hAnsi="Times New Roman"/>
          <w:sz w:val="17"/>
          <w:szCs w:val="17"/>
          <w:b w:val="1"/>
          <w:bCs w:val="1"/>
          <w:color w:val="auto"/>
        </w:rPr>
        <w:t>Limitation on Guarantors’ Liability.</w:t>
      </w:r>
    </w:p>
    <w:p>
      <w:pPr>
        <w:spacing w:after="0" w:line="220" w:lineRule="exact"/>
        <w:rPr>
          <w:sz w:val="20"/>
          <w:szCs w:val="20"/>
          <w:color w:val="auto"/>
        </w:rPr>
      </w:pPr>
    </w:p>
    <w:p>
      <w:pPr>
        <w:jc w:val="both"/>
        <w:ind w:firstLine="617"/>
        <w:spacing w:after="0" w:line="257" w:lineRule="auto"/>
        <w:rPr>
          <w:sz w:val="20"/>
          <w:szCs w:val="20"/>
          <w:color w:val="auto"/>
        </w:rPr>
      </w:pPr>
      <w:r>
        <w:rPr>
          <w:rFonts w:ascii="Times New Roman" w:cs="Times New Roman" w:eastAsia="Times New Roman" w:hAnsi="Times New Roman"/>
          <w:sz w:val="17"/>
          <w:szCs w:val="17"/>
          <w:color w:val="auto"/>
        </w:rPr>
        <w:t>Each Guarantor by its acceptance hereof and each Holder of Security and the Trustee entitled to the benefits of the Guarantee hereby confirms that it is the intention of all such parties that the guarantee by such Guarantor pursuant to the Guarantee not constitute a fraudulent transfer or conveyance for purposes of any federal or state law. To effectuate the foregoing intention, each Holder of a Security and the Trustee entitled to the benefits of the Guarantee and each Guarantor hereby irrevocably agrees that the obligations of each Guarantor under the Guarantee shall be limited to the maximum amount as will, after giving effect to all other contingent and fixed liabilities of such Guarantor and to any collections from or payments made by or on behalf of any other Guarantor in respect of the obligations of such other Guarantor under the Guarantee, not result in the obligations of such Guarantor under the Guarantee constituting a fraudulent conveyance or fraudulent transfer under federal or state law.</w:t>
      </w:r>
    </w:p>
    <w:p>
      <w:pPr>
        <w:spacing w:after="0" w:line="1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Section 12.4.</w:t>
      </w:r>
      <w:r>
        <w:rPr>
          <w:sz w:val="20"/>
          <w:szCs w:val="20"/>
          <w:color w:val="auto"/>
        </w:rPr>
        <w:tab/>
      </w:r>
      <w:r>
        <w:rPr>
          <w:rFonts w:ascii="Times New Roman" w:cs="Times New Roman" w:eastAsia="Times New Roman" w:hAnsi="Times New Roman"/>
          <w:sz w:val="17"/>
          <w:szCs w:val="17"/>
          <w:b w:val="1"/>
          <w:bCs w:val="1"/>
          <w:color w:val="auto"/>
        </w:rPr>
        <w:t>Release of Guarantors from Guarantee.</w:t>
      </w:r>
    </w:p>
    <w:p>
      <w:pPr>
        <w:spacing w:after="0" w:line="220" w:lineRule="exact"/>
        <w:rPr>
          <w:sz w:val="20"/>
          <w:szCs w:val="20"/>
          <w:color w:val="auto"/>
        </w:rPr>
      </w:pPr>
    </w:p>
    <w:p>
      <w:pPr>
        <w:jc w:val="both"/>
        <w:ind w:left="1240" w:hanging="620"/>
        <w:spacing w:after="0" w:line="257" w:lineRule="auto"/>
        <w:tabs>
          <w:tab w:leader="none" w:pos="12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provisions of this Indenture, the Guarantee of any Guarantor may be released upon the terms and subject to the conditions set forth in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xml:space="preserve">. Provided that no Default shall have occurred and shall be continuing under this Indenture, the Guarantee incurred by a Guarantor pursuant to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shall be unconditionally released and discharged (i) automatically upon (A) any sale, exchange or transfer, whether by way of merger or otherwise, to any person that is not an Affiliate of the Company, of all of the Company’s direct or indirect equity interests in such Guarantor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such sale, exchange or transfer is not prohibited by this Indenture) or (B) the merger of such Guarantor into the Company or any other Guarantor or the liquidation and dissolution of such Guarantor (in each case to the extent not prohibited by this Indenture) or (ii) with respect to any Series of Securities, upon the occurrence of any other condition set forth in the Board Resolution, supplemental indenture or Officer’s Certificate establishing the terms of such Series.</w:t>
      </w:r>
    </w:p>
    <w:p>
      <w:pPr>
        <w:spacing w:after="0" w:line="175" w:lineRule="exact"/>
        <w:rPr>
          <w:rFonts w:ascii="Times New Roman" w:cs="Times New Roman" w:eastAsia="Times New Roman" w:hAnsi="Times New Roman"/>
          <w:sz w:val="17"/>
          <w:szCs w:val="17"/>
          <w:color w:val="auto"/>
        </w:rPr>
      </w:pPr>
    </w:p>
    <w:p>
      <w:pPr>
        <w:jc w:val="both"/>
        <w:ind w:left="1240" w:hanging="620"/>
        <w:spacing w:after="0" w:line="260" w:lineRule="auto"/>
        <w:tabs>
          <w:tab w:leader="none" w:pos="12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receipt of a written request of the Company accompanied by an Officer’s Certificate or Opinion of Counsel stating that any Guarantor is entitled to be released from the Guarantee in accordance with the provisions of this Indenture, the Trustee shall deliver instruments reasonably requested by the Company or such Guarantor evidencing the release of such Guarantor from the Guarantee, such instruments to be prepared by the Company or such Guarantor and delivered to the Trustee. Any Guarantor not so released shall remain liable for the full amount of principal of and interest on the Securities entitled to the benefits of the Guarantee as provided in this Indenture, subject to the limitations of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-1599565</wp:posOffset>
            </wp:positionV>
            <wp:extent cx="27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VISHAY INTERTECHNOLOGY, INC., as the Company</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17145</wp:posOffset>
            </wp:positionV>
            <wp:extent cx="334518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345180" cy="1651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299402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22225</wp:posOffset>
            </wp:positionV>
            <wp:extent cx="299402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2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[____________], as Guarantor</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17145</wp:posOffset>
            </wp:positionV>
            <wp:extent cx="334518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3345180" cy="1651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299402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22225</wp:posOffset>
            </wp:positionV>
            <wp:extent cx="299402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2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[____________], as the Trustee</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17145</wp:posOffset>
            </wp:positionV>
            <wp:extent cx="334518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3345180" cy="1651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299402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22225</wp:posOffset>
            </wp:positionV>
            <wp:extent cx="299402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22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i w:val="1"/>
          <w:iCs w:val="1"/>
          <w:color w:val="auto"/>
        </w:rPr>
        <w:t>[Signature Page for Indenture]</w:t>
      </w:r>
    </w:p>
    <w:p>
      <w:pPr>
        <w:spacing w:after="0" w:line="3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33020</wp:posOffset>
            </wp:positionV>
            <wp:extent cx="713867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519"/>
          </w:cols>
          <w:pgMar w:left="940" w:top="123" w:right="1440" w:bottom="1440" w:gutter="0" w:footer="0" w:header="0"/>
        </w:sectPr>
      </w:pPr>
    </w:p>
    <w:bookmarkStart w:id="92" w:name="page93"/>
    <w:bookmarkEnd w:id="92"/>
    <w:p>
      <w:pPr>
        <w:ind w:left="51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[FORM OF]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NOTATION OF GUARANTEE</w:t>
      </w:r>
    </w:p>
    <w:p>
      <w:pPr>
        <w:spacing w:after="0" w:line="22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Each Guarantor signing below has fully, unconditionally and absolutely guaranteed, to the extent set forth in the Indenture and subject to the provisions in the Indenture, the due and punctual payment of the principal of, premium, if any, and interest on the Securities to which this notation is affixed and all other amounts due and payable under the Indenture and the Securities to which this notation is affixed by the Company.</w:t>
      </w:r>
    </w:p>
    <w:p>
      <w:pPr>
        <w:spacing w:after="0" w:line="165" w:lineRule="exact"/>
        <w:rPr>
          <w:sz w:val="20"/>
          <w:szCs w:val="20"/>
          <w:color w:val="auto"/>
        </w:rPr>
      </w:pPr>
    </w:p>
    <w:p>
      <w:pPr>
        <w:jc w:val="both"/>
        <w:ind w:firstLine="617"/>
        <w:spacing w:after="0" w:line="285" w:lineRule="auto"/>
        <w:rPr>
          <w:sz w:val="20"/>
          <w:szCs w:val="20"/>
          <w:color w:val="auto"/>
        </w:rPr>
      </w:pPr>
      <w:r>
        <w:rPr>
          <w:rFonts w:ascii="Times New Roman" w:cs="Times New Roman" w:eastAsia="Times New Roman" w:hAnsi="Times New Roman"/>
          <w:sz w:val="17"/>
          <w:szCs w:val="17"/>
          <w:color w:val="auto"/>
        </w:rPr>
        <w:t xml:space="preserve">The obligations of such Guarantor to the Holders of Securities to which this notation is affixed and to the Trustee pursuant to the Guarantee and the Indenture are expressly set forth in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of the Indenture and reference is hereby made to the Indenture for the precise terms of the Guarantee.</w:t>
      </w:r>
    </w:p>
    <w:p>
      <w:pPr>
        <w:spacing w:after="0" w:line="1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OF GUARANTOR(S)]</w:t>
      </w: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17145</wp:posOffset>
            </wp:positionV>
            <wp:extent cx="334518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3345180" cy="1651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17145</wp:posOffset>
            </wp:positionV>
            <wp:extent cx="299402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22225</wp:posOffset>
            </wp:positionV>
            <wp:extent cx="299402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2994025" cy="165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3867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5.1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-113030</wp:posOffset>
            </wp:positionV>
            <wp:extent cx="1550035" cy="4978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1550035" cy="4978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3000 Two Logan Square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Eighteenth and Arch Streets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PA 19103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3867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Vishay Intertechnology,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63 Lancaster Avenue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 Registration Statement on Form S-3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0" w:lineRule="exact"/>
        <w:rPr>
          <w:sz w:val="20"/>
          <w:szCs w:val="20"/>
          <w:color w:val="auto"/>
        </w:rPr>
      </w:pPr>
    </w:p>
    <w:p>
      <w:pPr>
        <w:jc w:val="both"/>
        <w:ind w:firstLine="617"/>
        <w:spacing w:after="0" w:line="255" w:lineRule="auto"/>
        <w:rPr>
          <w:sz w:val="20"/>
          <w:szCs w:val="20"/>
          <w:color w:val="auto"/>
        </w:rPr>
      </w:pPr>
      <w:r>
        <w:rPr>
          <w:rFonts w:ascii="Times New Roman" w:cs="Times New Roman" w:eastAsia="Times New Roman" w:hAnsi="Times New Roman"/>
          <w:sz w:val="17"/>
          <w:szCs w:val="17"/>
          <w:color w:val="auto"/>
        </w:rPr>
        <w:t>We have acted as counsel to Vishay Intertechnology,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Company’s registration statement on Form S-3ASR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including the base prospectus that is part of the Registration Statement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filed on the date hereof,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The Base Prospectus provides that it will be supplemented in the future by one or more prospectus supplements (each, a “</w:t>
      </w:r>
      <w:r>
        <w:rPr>
          <w:rFonts w:ascii="Times New Roman" w:cs="Times New Roman" w:eastAsia="Times New Roman" w:hAnsi="Times New Roman"/>
          <w:sz w:val="17"/>
          <w:szCs w:val="17"/>
          <w:b w:val="1"/>
          <w:bCs w:val="1"/>
          <w:i w:val="1"/>
          <w:iCs w:val="1"/>
          <w:color w:val="auto"/>
        </w:rPr>
        <w:t>Prospectus Supplement</w:t>
      </w:r>
      <w:r>
        <w:rPr>
          <w:rFonts w:ascii="Times New Roman" w:cs="Times New Roman" w:eastAsia="Times New Roman" w:hAnsi="Times New Roman"/>
          <w:sz w:val="17"/>
          <w:szCs w:val="17"/>
          <w:color w:val="auto"/>
        </w:rPr>
        <w:t>”). The Base Prospectus, as supplemented by the various Prospectus Supplements, will provide for the offer and sale from time to time by the Company of an indeterminate amount of any or all of (i) shares of common stock, $0.10 par value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of the Company, (ii) shares of preferred stock, par value $1.00 per share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of the Company, (iii) one or more series of debt securities of the Company, which may include convertible debt securities of the Company that constitute a part of or that are issuable upon the conversion or exercise of other Registered Securities in the Registration Statement (the “</w:t>
      </w:r>
      <w:r>
        <w:rPr>
          <w:rFonts w:ascii="Times New Roman" w:cs="Times New Roman" w:eastAsia="Times New Roman" w:hAnsi="Times New Roman"/>
          <w:sz w:val="17"/>
          <w:szCs w:val="17"/>
          <w:b w:val="1"/>
          <w:bCs w:val="1"/>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(iv) warrants to purchase shares of Common Stock, shares of Preferred Stock or Debt Securities, or all three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(v) units comprised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or more shares of Common Stock, shares of Preferred Stock, Debt Securities and/or Warrants, in any combination (the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(vi) subscription rights to purchase shares of Common Stock, shares of Preferred Stock or Debt Securities, or all three (“</w:t>
      </w:r>
      <w:r>
        <w:rPr>
          <w:rFonts w:ascii="Times New Roman" w:cs="Times New Roman" w:eastAsia="Times New Roman" w:hAnsi="Times New Roman"/>
          <w:sz w:val="17"/>
          <w:szCs w:val="17"/>
          <w:b w:val="1"/>
          <w:bCs w:val="1"/>
          <w:color w:val="auto"/>
        </w:rPr>
        <w:t>Subscription Rights</w:t>
      </w:r>
      <w:r>
        <w:rPr>
          <w:rFonts w:ascii="Times New Roman" w:cs="Times New Roman" w:eastAsia="Times New Roman" w:hAnsi="Times New Roman"/>
          <w:sz w:val="17"/>
          <w:szCs w:val="17"/>
          <w:color w:val="auto"/>
        </w:rPr>
        <w:t>”) or (vii) any combination of the foregoing securities. The Common Stock, Preferred Stock, Debt Securities, Warrants, Units and Subscription Rights are collectively herein referred to herein as the “</w:t>
      </w:r>
      <w:r>
        <w:rPr>
          <w:rFonts w:ascii="Times New Roman" w:cs="Times New Roman" w:eastAsia="Times New Roman" w:hAnsi="Times New Roman"/>
          <w:sz w:val="17"/>
          <w:szCs w:val="17"/>
          <w:b w:val="1"/>
          <w:bCs w:val="1"/>
          <w:i w:val="1"/>
          <w:iCs w:val="1"/>
          <w:color w:val="auto"/>
        </w:rPr>
        <w:t>Registered Securities</w:t>
      </w:r>
      <w:r>
        <w:rPr>
          <w:rFonts w:ascii="Times New Roman" w:cs="Times New Roman" w:eastAsia="Times New Roman" w:hAnsi="Times New Roman"/>
          <w:sz w:val="17"/>
          <w:szCs w:val="17"/>
          <w:color w:val="auto"/>
        </w:rPr>
        <w:t>.” The Registered Securities may be offered and sold by the Company from time to time pursuant to Rule 415(a) under the Securities Act as set forth in the Base Prospectus, as supplemented by the various Prospectus Supplements that may be filed under the Securities Act. This opinion letter is furnished to you at your request to enable you to fulfill the requirements of Item 601(b)(5) of Regulation S-K, in connection with the filing of the Registration Statement.</w:t>
      </w:r>
    </w:p>
    <w:p>
      <w:pPr>
        <w:spacing w:after="0" w:line="180"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The Debt Securities will be issued under one or more indentures in the form filed as an exhibit to the Registration Statement, as amended or supplemented from time to time (each, an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between the Company, as obligor, and a trustee chosen by the Company and qualified to act as such under the Trust Indenture Act of 1939, as amended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67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94" w:name="page95"/>
    <w:bookmarkEnd w:id="94"/>
    <w:p>
      <w:pPr>
        <w:jc w:val="both"/>
        <w:ind w:firstLine="617"/>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757555</wp:posOffset>
            </wp:positionV>
            <wp:extent cx="713867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5834380</wp:posOffset>
            </wp:positionH>
            <wp:positionV relativeFrom="page">
              <wp:posOffset>88900</wp:posOffset>
            </wp:positionV>
            <wp:extent cx="1509395" cy="538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509395" cy="538480"/>
                    </a:xfrm>
                    <a:prstGeom prst="rect">
                      <a:avLst/>
                    </a:prstGeom>
                    <a:noFill/>
                  </pic:spPr>
                </pic:pic>
              </a:graphicData>
            </a:graphic>
          </wp:anchor>
        </w:drawing>
        <w:t>In connection with this opinion, we have examined and relied upon originals or copies, certified or otherwise identified to our satisfaction, of: (i) the Registration Statement; (ii) the Base Prospectus, (iii) the Company’s Corrected Amended and Restated Certificate of Incorporation (the “</w:t>
      </w:r>
      <w:r>
        <w:rPr>
          <w:rFonts w:ascii="Times New Roman" w:cs="Times New Roman" w:eastAsia="Times New Roman" w:hAnsi="Times New Roman"/>
          <w:sz w:val="17"/>
          <w:szCs w:val="17"/>
          <w:b w:val="1"/>
          <w:bCs w:val="1"/>
          <w:i w:val="1"/>
          <w:iCs w:val="1"/>
          <w:color w:val="auto"/>
        </w:rPr>
        <w:t>Charter</w:t>
      </w:r>
      <w:r>
        <w:rPr>
          <w:rFonts w:ascii="Times New Roman" w:cs="Times New Roman" w:eastAsia="Times New Roman" w:hAnsi="Times New Roman"/>
          <w:sz w:val="17"/>
          <w:szCs w:val="17"/>
          <w:color w:val="auto"/>
        </w:rPr>
        <w:t>”), as in effect on the date hereof; (iv) the Amended and Restated Bylaws of the Company (as amended from time to time,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as in effect on the date hereof and (v) and the corporate proceedings taken by the Company with respect (1) the filing of the Registration Statement by the Company and (2) the offer, sale and issuance of the Registered Securities by the Company, subject to a specific further authorization for the offer, sale, issuance, execution, delivery and performance by proper action (the “</w:t>
      </w:r>
      <w:r>
        <w:rPr>
          <w:rFonts w:ascii="Times New Roman" w:cs="Times New Roman" w:eastAsia="Times New Roman" w:hAnsi="Times New Roman"/>
          <w:sz w:val="17"/>
          <w:szCs w:val="17"/>
          <w:b w:val="1"/>
          <w:bCs w:val="1"/>
          <w:i w:val="1"/>
          <w:iCs w:val="1"/>
          <w:color w:val="auto"/>
        </w:rPr>
        <w:t>Authorizing Resolutions</w:t>
      </w:r>
      <w:r>
        <w:rPr>
          <w:rFonts w:ascii="Times New Roman" w:cs="Times New Roman" w:eastAsia="Times New Roman" w:hAnsi="Times New Roman"/>
          <w:sz w:val="17"/>
          <w:szCs w:val="17"/>
          <w:color w:val="auto"/>
        </w:rPr>
        <w:t>”) of 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and/or an authorized committee thereof. We have also examined and relied upon originals or copies of such corporate records, documents, agreements or other instruments of the Company, and such certificates and records of public officials, and such other papers, as we have deemed necessary or appropriate in connection herewith. As to all matters of fact (including, without limitation, factual conclusions and characterizations and descriptions of purpose, intention or other state of mind) we have relied entirely upon certificates of officers of the Company, and have assumed, without independent inquiry, the accuracy of those certificates.</w:t>
      </w:r>
    </w:p>
    <w:p>
      <w:pPr>
        <w:spacing w:after="0" w:line="176"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color w:val="auto"/>
        </w:rPr>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purposes of this opinion letter, we have assumed that:</w:t>
      </w:r>
    </w:p>
    <w:p>
      <w:pPr>
        <w:spacing w:after="0" w:line="216" w:lineRule="exact"/>
        <w:rPr>
          <w:sz w:val="20"/>
          <w:szCs w:val="20"/>
          <w:color w:val="auto"/>
        </w:rPr>
      </w:pPr>
    </w:p>
    <w:p>
      <w:pPr>
        <w:jc w:val="both"/>
        <w:ind w:firstLine="1236"/>
        <w:spacing w:after="0" w:line="263" w:lineRule="auto"/>
        <w:tabs>
          <w:tab w:leader="none" w:pos="188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sale, amount, and terms of each of the Registered Securities to be offered from time to time by the Company will be duly authorized and established by proper action of the Board (or an authorized committee thereof) and in accordance with the Charter, the Bylaws, and applicable Delaware law, and that, at the time of each such issuance and sale of such Registered Securities, the Company will be validly existing and in good standing under the laws of the State of Delaware, with the requisite corporate power and authority to issue and sell all such Registered Securities at such time;</w:t>
      </w:r>
    </w:p>
    <w:p>
      <w:pPr>
        <w:spacing w:after="0" w:line="171" w:lineRule="exact"/>
        <w:rPr>
          <w:rFonts w:ascii="Times New Roman" w:cs="Times New Roman" w:eastAsia="Times New Roman" w:hAnsi="Times New Roman"/>
          <w:sz w:val="17"/>
          <w:szCs w:val="17"/>
          <w:color w:val="auto"/>
        </w:rPr>
      </w:pPr>
    </w:p>
    <w:p>
      <w:pPr>
        <w:jc w:val="both"/>
        <w:ind w:firstLine="1236"/>
        <w:spacing w:after="0" w:line="263" w:lineRule="auto"/>
        <w:tabs>
          <w:tab w:leader="none" w:pos="189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of Common Stock (including any such shares issuable upon exercise of Warrants) issued by the Company pursuant to the Registration Statement, the Base Prospectus and the related Prospectus Supplement, from time to time will not exceed the maximum authorized number of shares of Common Stock under the Charter, as the same may have been amended, minus that number of shares of Common Stock that may have been issued and are outstanding, or are reserved for issuance for other purposes, at such time;</w:t>
      </w:r>
    </w:p>
    <w:p>
      <w:pPr>
        <w:spacing w:after="0" w:line="171" w:lineRule="exact"/>
        <w:rPr>
          <w:rFonts w:ascii="Times New Roman" w:cs="Times New Roman" w:eastAsia="Times New Roman" w:hAnsi="Times New Roman"/>
          <w:sz w:val="17"/>
          <w:szCs w:val="17"/>
          <w:color w:val="auto"/>
        </w:rPr>
      </w:pPr>
    </w:p>
    <w:p>
      <w:pPr>
        <w:jc w:val="both"/>
        <w:ind w:firstLine="1236"/>
        <w:spacing w:after="0" w:line="263" w:lineRule="auto"/>
        <w:tabs>
          <w:tab w:leader="none" w:pos="192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of Preferred Stock (including any such shares issuable upon exercise of Warrants) issued by the Company pursuant to the Registration Statement, the Base Prospectus and the related Prospectus Supplement, from time to time will not exceed the maximum authorized number of shares of Preferred Stock under the Charter, as the same may have been amended, minus that number of shares of Common Stock that may have been issued and are outstanding, or are reserved for issuance for other purposes,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233045</wp:posOffset>
            </wp:positionV>
            <wp:extent cx="713867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5" w:name="page96"/>
    <w:bookmarkEnd w:id="95"/>
    <w:p>
      <w:pPr>
        <w:jc w:val="both"/>
        <w:ind w:firstLine="1236"/>
        <w:spacing w:after="0" w:line="256" w:lineRule="auto"/>
        <w:tabs>
          <w:tab w:leader="none" w:pos="179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758190</wp:posOffset>
            </wp:positionV>
            <wp:extent cx="713867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5834380</wp:posOffset>
            </wp:positionH>
            <wp:positionV relativeFrom="page">
              <wp:posOffset>88900</wp:posOffset>
            </wp:positionV>
            <wp:extent cx="1509395" cy="538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509395" cy="538480"/>
                    </a:xfrm>
                    <a:prstGeom prst="rect">
                      <a:avLst/>
                    </a:prstGeom>
                    <a:noFill/>
                  </pic:spPr>
                </pic:pic>
              </a:graphicData>
            </a:graphic>
          </wp:anchor>
        </w:drawing>
        <w:t>any Warrants issued by the Company pursuant to the Registration Statement, the Base Prospectus and the related Prospectus Supplement, from time to time, will be issued under one or more valid, binding, and enforceable warrant agreements (each a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the Board (or an authorized Committee thereof) will have taken all necessary corporate action to authorize the creation of and the terms of such Warrants and the issuance of the Common Stock and/or Preferred Stock to be issued upon exercise of such Warrants and to approve the Warrant Agreement; neither such Warrants nor such Warrant Agreement will include any provision that is unenforceable, that violates any applicable law or results in a default under or breach of any agreement or instrument binding upon the Company; such Warrants or certificates representing such Warrants will have been duly executed, countersigned, registered and delivered in accordance with the provisions of such Warrant Agreement; the issuance and sale of the Warrants will not violate any applicable law or result in a default under or breach of any agreement or instrument binding upon the Company and will comply with any requirements or restrictions imposed by any court or governmental body having jurisdiction over the Company;</w:t>
      </w:r>
    </w:p>
    <w:p>
      <w:pPr>
        <w:spacing w:after="0" w:line="179" w:lineRule="exact"/>
        <w:rPr>
          <w:rFonts w:ascii="Times New Roman" w:cs="Times New Roman" w:eastAsia="Times New Roman" w:hAnsi="Times New Roman"/>
          <w:sz w:val="17"/>
          <w:szCs w:val="17"/>
          <w:color w:val="auto"/>
        </w:rPr>
      </w:pPr>
    </w:p>
    <w:p>
      <w:pPr>
        <w:jc w:val="both"/>
        <w:ind w:firstLine="1236"/>
        <w:spacing w:after="0" w:line="259" w:lineRule="auto"/>
        <w:tabs>
          <w:tab w:leader="none" w:pos="184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Debt Securities issued by the Company pursuant to the Registration Statement, the Base Prospectus and the related Prospectus Supplement, from time to time, will be issued under and in conformity with a valid, binding and enforceable Indenture, which shall be delivered by the Trustee, and the Trustee will have all requisite power and authority to effect the transactions contemplated by such Indenture, and the Trustee or an authenticating agent for the Trustee will duly authenticate the Debt Securities pursuant to the applicable Indenture, and the applicable Indenture will be the valid and binding obligation of the Trustee and will be enforceable against the Trustee in accordance with its terms. We are expressing no opinion herein as to the application of or compliance with any foreign, federal or state law or regulation to the power, authority or competence of any party, other than the Company, to the applicable Indenture;</w:t>
      </w:r>
    </w:p>
    <w:p>
      <w:pPr>
        <w:spacing w:after="0" w:line="173" w:lineRule="exact"/>
        <w:rPr>
          <w:rFonts w:ascii="Times New Roman" w:cs="Times New Roman" w:eastAsia="Times New Roman" w:hAnsi="Times New Roman"/>
          <w:sz w:val="17"/>
          <w:szCs w:val="17"/>
          <w:color w:val="auto"/>
        </w:rPr>
      </w:pPr>
    </w:p>
    <w:p>
      <w:pPr>
        <w:ind w:firstLine="1236"/>
        <w:spacing w:after="0" w:line="285" w:lineRule="auto"/>
        <w:tabs>
          <w:tab w:leader="none" w:pos="175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Units issued by the Company pursuant to the Registration Statement, the Base Prospectus and the related Prospectus Supplement will be issued pursuant to a valid, binding and enforceable Unit Agreement (the “</w:t>
      </w:r>
      <w:r>
        <w:rPr>
          <w:rFonts w:ascii="Times New Roman" w:cs="Times New Roman" w:eastAsia="Times New Roman" w:hAnsi="Times New Roman"/>
          <w:sz w:val="17"/>
          <w:szCs w:val="17"/>
          <w:b w:val="1"/>
          <w:bCs w:val="1"/>
          <w:i w:val="1"/>
          <w:iCs w:val="1"/>
          <w:color w:val="auto"/>
        </w:rPr>
        <w:t>Unit Agreement</w:t>
      </w:r>
      <w:r>
        <w:rPr>
          <w:rFonts w:ascii="Times New Roman" w:cs="Times New Roman" w:eastAsia="Times New Roman" w:hAnsi="Times New Roman"/>
          <w:sz w:val="17"/>
          <w:szCs w:val="17"/>
          <w:color w:val="auto"/>
        </w:rPr>
        <w:t>”) between the Company and a bank or trust company as unit agent;</w:t>
      </w:r>
    </w:p>
    <w:p>
      <w:pPr>
        <w:spacing w:after="0" w:line="152" w:lineRule="exact"/>
        <w:rPr>
          <w:rFonts w:ascii="Times New Roman" w:cs="Times New Roman" w:eastAsia="Times New Roman" w:hAnsi="Times New Roman"/>
          <w:sz w:val="17"/>
          <w:szCs w:val="17"/>
          <w:color w:val="auto"/>
        </w:rPr>
      </w:pPr>
    </w:p>
    <w:p>
      <w:pPr>
        <w:ind w:left="1880" w:hanging="644"/>
        <w:spacing w:after="0"/>
        <w:tabs>
          <w:tab w:leader="none" w:pos="1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Registered Securities will be issued and sold in the manner stated in the Registration Statement and the applicable Prospectus</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Supplement;</w:t>
      </w:r>
    </w:p>
    <w:p>
      <w:pPr>
        <w:spacing w:after="0" w:line="198" w:lineRule="exact"/>
        <w:rPr>
          <w:rFonts w:ascii="Times New Roman" w:cs="Times New Roman" w:eastAsia="Times New Roman" w:hAnsi="Times New Roman"/>
          <w:sz w:val="17"/>
          <w:szCs w:val="17"/>
          <w:color w:val="auto"/>
        </w:rPr>
      </w:pPr>
    </w:p>
    <w:p>
      <w:pPr>
        <w:ind w:left="1820" w:hanging="584"/>
        <w:spacing w:after="0"/>
        <w:tabs>
          <w:tab w:leader="none" w:pos="18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and any amendments thereto (including post-effective amendments), will have become and remain effective</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Securities Act;</w:t>
      </w:r>
    </w:p>
    <w:p>
      <w:pPr>
        <w:spacing w:after="0" w:line="198" w:lineRule="exact"/>
        <w:rPr>
          <w:rFonts w:ascii="Times New Roman" w:cs="Times New Roman" w:eastAsia="Times New Roman" w:hAnsi="Times New Roman"/>
          <w:sz w:val="17"/>
          <w:szCs w:val="17"/>
          <w:color w:val="auto"/>
        </w:rPr>
      </w:pPr>
    </w:p>
    <w:p>
      <w:pPr>
        <w:ind w:left="1820" w:hanging="584"/>
        <w:spacing w:after="0"/>
        <w:tabs>
          <w:tab w:leader="none" w:pos="18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Prospectus Supplement will have been prepared and filed with the Commission describing the Registered Securities;</w:t>
      </w:r>
    </w:p>
    <w:p>
      <w:pPr>
        <w:spacing w:after="0" w:line="215" w:lineRule="exact"/>
        <w:rPr>
          <w:rFonts w:ascii="Times New Roman" w:cs="Times New Roman" w:eastAsia="Times New Roman" w:hAnsi="Times New Roman"/>
          <w:sz w:val="17"/>
          <w:szCs w:val="17"/>
          <w:color w:val="auto"/>
        </w:rPr>
      </w:pPr>
    </w:p>
    <w:p>
      <w:pPr>
        <w:ind w:left="1860" w:hanging="624"/>
        <w:spacing w:after="0"/>
        <w:tabs>
          <w:tab w:leader="none" w:pos="18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will apply to the applicable Indenture, the Warrants, any underwriting agreement or other agreement but New York law</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apply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250825</wp:posOffset>
            </wp:positionV>
            <wp:extent cx="713867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6" w:name="page97"/>
    <w:bookmarkEnd w:id="96"/>
    <w:p>
      <w:pPr>
        <w:ind w:left="1740" w:hanging="504"/>
        <w:spacing w:after="0"/>
        <w:tabs>
          <w:tab w:leader="none" w:pos="17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757555</wp:posOffset>
            </wp:positionV>
            <wp:extent cx="713867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5834380</wp:posOffset>
            </wp:positionH>
            <wp:positionV relativeFrom="page">
              <wp:posOffset>88900</wp:posOffset>
            </wp:positionV>
            <wp:extent cx="1509395" cy="538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509395" cy="538480"/>
                    </a:xfrm>
                    <a:prstGeom prst="rect">
                      <a:avLst/>
                    </a:prstGeom>
                    <a:noFill/>
                  </pic:spPr>
                </pic:pic>
              </a:graphicData>
            </a:graphic>
          </wp:anchor>
        </w:drawing>
        <w:t>all requisite third-party consents necessary to register and/or issue the Registered Securities will have been obtained by the Company;</w:t>
      </w:r>
    </w:p>
    <w:p>
      <w:pPr>
        <w:spacing w:after="0" w:line="215" w:lineRule="exact"/>
        <w:rPr>
          <w:rFonts w:ascii="Times New Roman" w:cs="Times New Roman" w:eastAsia="Times New Roman" w:hAnsi="Times New Roman"/>
          <w:sz w:val="17"/>
          <w:szCs w:val="17"/>
          <w:color w:val="auto"/>
        </w:rPr>
      </w:pPr>
    </w:p>
    <w:p>
      <w:pPr>
        <w:jc w:val="both"/>
        <w:ind w:firstLine="1236"/>
        <w:spacing w:after="0" w:line="269" w:lineRule="auto"/>
        <w:tabs>
          <w:tab w:leader="none" w:pos="182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representing shares of Common Stock, if any, will have been duly executed, countersigned, registered and delivered, or if uncertificated, valid book-entry notations will have been made in the share register of the Company, in each case in accordance with the provisions of the Charter and Bylaws, each as amended and then in effect; and</w:t>
      </w:r>
    </w:p>
    <w:p>
      <w:pPr>
        <w:spacing w:after="0" w:line="164" w:lineRule="exact"/>
        <w:rPr>
          <w:rFonts w:ascii="Times New Roman" w:cs="Times New Roman" w:eastAsia="Times New Roman" w:hAnsi="Times New Roman"/>
          <w:sz w:val="17"/>
          <w:szCs w:val="17"/>
          <w:color w:val="auto"/>
        </w:rPr>
      </w:pPr>
    </w:p>
    <w:p>
      <w:pPr>
        <w:ind w:firstLine="1236"/>
        <w:spacing w:after="0" w:line="285" w:lineRule="auto"/>
        <w:tabs>
          <w:tab w:leader="none" w:pos="181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Registered Securities will be offered and sold in compliance with applicable federal and state securities or “blue sky” laws and in the manner specified in the Registration Statement and the applicable Prospectus Supplement.</w:t>
      </w:r>
    </w:p>
    <w:p>
      <w:pPr>
        <w:spacing w:after="0" w:line="152" w:lineRule="exact"/>
        <w:rPr>
          <w:sz w:val="20"/>
          <w:szCs w:val="20"/>
          <w:color w:val="auto"/>
        </w:rPr>
      </w:pPr>
    </w:p>
    <w:p>
      <w:pPr>
        <w:jc w:val="both"/>
        <w:ind w:firstLine="617"/>
        <w:spacing w:after="0" w:line="263" w:lineRule="auto"/>
        <w:rPr>
          <w:sz w:val="20"/>
          <w:szCs w:val="20"/>
          <w:color w:val="auto"/>
        </w:rPr>
      </w:pPr>
      <w:r>
        <w:rPr>
          <w:rFonts w:ascii="Times New Roman" w:cs="Times New Roman" w:eastAsia="Times New Roman" w:hAnsi="Times New Roman"/>
          <w:sz w:val="17"/>
          <w:szCs w:val="17"/>
          <w:color w:val="auto"/>
        </w:rPr>
        <w:t>Subject to the limitations set forth below, we have made such examination of law as we have deemed necessary for the purposes of expressing the opinions set forth in this letter. Such opinions are limited solely to matters governed by the General Corporation Law of the State of Delaware and the internal laws of the State of New York, in each case without regard to conflict or choice of law principles and as applied by courts located in the particular jurisdiction, the applicable provisions of the Delaware Constitution, the reported judicial decisions interpreting such laws of the State of Delaware.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Based upon the foregoing, we are of the opinion that:</w:t>
      </w:r>
    </w:p>
    <w:p>
      <w:pPr>
        <w:spacing w:after="0" w:line="216" w:lineRule="exact"/>
        <w:rPr>
          <w:sz w:val="20"/>
          <w:szCs w:val="20"/>
          <w:color w:val="auto"/>
        </w:rPr>
      </w:pPr>
    </w:p>
    <w:p>
      <w:pPr>
        <w:jc w:val="both"/>
        <w:ind w:firstLine="1236"/>
        <w:spacing w:after="0" w:line="259" w:lineRule="auto"/>
        <w:tabs>
          <w:tab w:leader="none" w:pos="180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when (a) Authorizing Resolutions with respect to Common Stock have been adopted, (b) the terms for the offer and sale of the Common Stock have been established in conformity with such Authorizing Resolutions, (c) such Common Stock has been issued and sold as contemplated by the Registration Statement, the Base Prospectus and the applicable Prospectus Supplement and (d) the Company has received the consideration provided for in the applicable Prospectus Supplement and any applicable definitive purchase, underwriting or similar agreement, which must have a value not less than the par value thereof, or upon conversion, exchange or exercise of Preferred Stock or Warrants in accordance with the terms of such Registered Security or the instrument governing such Registered Security providing for such conversion, exchange or otherwise, will be validly issued, fully paid and nonassessable.</w:t>
      </w:r>
    </w:p>
    <w:p>
      <w:pPr>
        <w:spacing w:after="0" w:line="173" w:lineRule="exact"/>
        <w:rPr>
          <w:rFonts w:ascii="Times New Roman" w:cs="Times New Roman" w:eastAsia="Times New Roman" w:hAnsi="Times New Roman"/>
          <w:sz w:val="17"/>
          <w:szCs w:val="17"/>
          <w:color w:val="auto"/>
        </w:rPr>
      </w:pPr>
    </w:p>
    <w:p>
      <w:pPr>
        <w:jc w:val="both"/>
        <w:ind w:firstLine="1236"/>
        <w:spacing w:after="0" w:line="259" w:lineRule="auto"/>
        <w:tabs>
          <w:tab w:leader="none" w:pos="180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Preferred Stock, when (a) Authorizing Resolutions with respect to Preferred Stock have been adopted, (b) the terms for the offer and sale of the Preferred Stock have been established in conformity with such Authorizing Resolutions, (c) such Preferred Stock has been issued and sold as contemplated by the Registration Statement, the Base Prospectus and the applicable Prospectus Supplement and (d) the Company has received the consideration provided for in the applicable Prospectus Supplement and any applicable definitive purchase, underwriting or similar agreement, which must have a value not less than the par value thereof, or upon conversion, exchange or exercise of Warrants, in accordance with the terms of such Registered Security or the instrument governing such Registered Security providing for such conversion, exchange or otherwise,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13867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7" w:name="page98"/>
    <w:bookmarkEnd w:id="97"/>
    <w:p>
      <w:pPr>
        <w:jc w:val="both"/>
        <w:ind w:left="-3" w:firstLine="1236"/>
        <w:spacing w:after="0" w:line="259" w:lineRule="auto"/>
        <w:tabs>
          <w:tab w:leader="none" w:pos="1798"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758190</wp:posOffset>
            </wp:positionV>
            <wp:extent cx="713867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5834380</wp:posOffset>
            </wp:positionH>
            <wp:positionV relativeFrom="page">
              <wp:posOffset>88900</wp:posOffset>
            </wp:positionV>
            <wp:extent cx="1509395" cy="538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509395" cy="538480"/>
                    </a:xfrm>
                    <a:prstGeom prst="rect">
                      <a:avLst/>
                    </a:prstGeom>
                    <a:noFill/>
                  </pic:spPr>
                </pic:pic>
              </a:graphicData>
            </a:graphic>
          </wp:anchor>
        </w:drawing>
        <w:t>The Warrants, when (a) Authorizing Resolutions with respect to the Warrants have been adopted, (b) the terms of such Warrants and for their issuance and sale have been established in conformity with such Authorizing Resolutions, (c) such Warrants have been issued and sold as contemplated by the Registration Statement, the Base Prospectus and the applicable Prospectus Supplement, (d) the Company has received the consideration provided for in the applicable supplement to the Base Prospectus and any applicable definitive purchase, underwriting or similar agreement and (e) such Warrants have been authenticated or countersigned in accordance with the provisions of the Warrant Agreement, will be valid and binding obligations of the Company enforceable against the Company in accordance with their respective terms.</w:t>
      </w:r>
    </w:p>
    <w:p>
      <w:pPr>
        <w:spacing w:after="0" w:line="173" w:lineRule="exact"/>
        <w:rPr>
          <w:rFonts w:ascii="Times New Roman" w:cs="Times New Roman" w:eastAsia="Times New Roman" w:hAnsi="Times New Roman"/>
          <w:sz w:val="17"/>
          <w:szCs w:val="17"/>
          <w:color w:val="auto"/>
        </w:rPr>
      </w:pPr>
    </w:p>
    <w:p>
      <w:pPr>
        <w:jc w:val="both"/>
        <w:ind w:left="-3" w:firstLine="1236"/>
        <w:spacing w:after="0" w:line="258" w:lineRule="auto"/>
        <w:tabs>
          <w:tab w:leader="none" w:pos="190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 Securities, when (a) Authorizing Resolutions with respect to such Debt Securities have been adopted, (b) the terms of such Debt Securities and for their issuance and sale have been established in conformity with such Authorizing Resolutions and the Indenture, (c) such Debt Securities have been issued and sold as contemplated by the Registration Statement, the Base Prospectus and the applicable Prospectus Supplement, (d) the Company has received the consideration provided for in the applicable Prospectus Supplement and any applicable definitive purchase, underwriting or similar agreement and (e) such Debt Securities have been executed and delivered against the payment specified therefor and pursuant to the Indenture duly authorized, executed and delivered by the Company and the Trustee, will be valid and binding obligations of the Company enforceable against the Company in accordance with their respective terms.</w:t>
      </w:r>
    </w:p>
    <w:p>
      <w:pPr>
        <w:spacing w:after="0" w:line="383" w:lineRule="exact"/>
        <w:rPr>
          <w:rFonts w:ascii="Times New Roman" w:cs="Times New Roman" w:eastAsia="Times New Roman" w:hAnsi="Times New Roman"/>
          <w:sz w:val="17"/>
          <w:szCs w:val="17"/>
          <w:color w:val="auto"/>
        </w:rPr>
      </w:pPr>
    </w:p>
    <w:p>
      <w:pPr>
        <w:jc w:val="both"/>
        <w:ind w:left="-3" w:firstLine="1236"/>
        <w:spacing w:after="0" w:line="259" w:lineRule="auto"/>
        <w:tabs>
          <w:tab w:leader="none" w:pos="194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Units, when (a) Authorizing Resolutions with respect to the Units have been adopted, (b) the terms of such Units and for their issuance and sale have been established in conformity with such Authorizing Resolutions, (c) such Units have been issued and sold as contemplated by the Registration Statement, the Base Prospectus and the applicable Prospectus Supplement, (d) the Company has received the consideration provided for in the applicable Prospectus Supplement and any applicable definitive purchase, underwriting or similar agreement and (e) such Units have been authenticated or countersigned in accordance with the Unit Agreement, if applicable, will be valid and binding obligations of the Company enforceable against the Company in accordance with their respective terms.</w:t>
      </w:r>
    </w:p>
    <w:p>
      <w:pPr>
        <w:spacing w:after="0" w:line="173" w:lineRule="exact"/>
        <w:rPr>
          <w:rFonts w:ascii="Times New Roman" w:cs="Times New Roman" w:eastAsia="Times New Roman" w:hAnsi="Times New Roman"/>
          <w:sz w:val="17"/>
          <w:szCs w:val="17"/>
          <w:color w:val="auto"/>
        </w:rPr>
      </w:pPr>
    </w:p>
    <w:p>
      <w:pPr>
        <w:jc w:val="both"/>
        <w:ind w:left="-3" w:firstLine="1236"/>
        <w:spacing w:after="0" w:line="257" w:lineRule="auto"/>
        <w:tabs>
          <w:tab w:leader="none" w:pos="185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Subscription Rights, when (a) Authorizing Resolutions with respect to the Subscription Rights have been adopted, (b) the terms of such Subscription Rights and for their issuance and sale have been established in conformity with such Authorizing Resolutions, (c) such Subscription Rights have been issued and sold as contemplated by the Registration Statement, the Base Prospectus and the applicable Prospectus Supplement, (d) the Company has received the consideration provided for in the applicable supplement to the Base Prospectus and any applicable definitive purchase, underwriting or similar agreement and</w:t>
      </w:r>
    </w:p>
    <w:p>
      <w:pPr>
        <w:spacing w:after="0" w:line="2" w:lineRule="exact"/>
        <w:rPr>
          <w:rFonts w:ascii="Times New Roman" w:cs="Times New Roman" w:eastAsia="Times New Roman" w:hAnsi="Times New Roman"/>
          <w:sz w:val="17"/>
          <w:szCs w:val="17"/>
          <w:color w:val="auto"/>
        </w:rPr>
      </w:pPr>
    </w:p>
    <w:p>
      <w:pPr>
        <w:ind w:left="-3" w:firstLine="3"/>
        <w:spacing w:after="0" w:line="264" w:lineRule="auto"/>
        <w:tabs>
          <w:tab w:leader="none" w:pos="24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Subscription Rights have been authenticated or countersigned in accordance with the provisions of any governing subscription agreement, will be valid and binding obligations of the Company enforceable against the Company in accordance with their respective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713867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37"/>
          </w:cols>
          <w:pgMar w:left="323" w:top="1369" w:right="339" w:bottom="1440" w:gutter="0" w:footer="0" w:header="0"/>
        </w:sectPr>
      </w:pPr>
    </w:p>
    <w:bookmarkStart w:id="98" w:name="page99"/>
    <w:bookmarkEnd w:id="98"/>
    <w:p>
      <w:pPr>
        <w:jc w:val="both"/>
        <w:ind w:firstLine="617"/>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757555</wp:posOffset>
            </wp:positionV>
            <wp:extent cx="713867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5834380</wp:posOffset>
            </wp:positionH>
            <wp:positionV relativeFrom="page">
              <wp:posOffset>88900</wp:posOffset>
            </wp:positionV>
            <wp:extent cx="1509395" cy="538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509395" cy="538480"/>
                    </a:xfrm>
                    <a:prstGeom prst="rect">
                      <a:avLst/>
                    </a:prstGeom>
                    <a:noFill/>
                  </pic:spPr>
                </pic:pic>
              </a:graphicData>
            </a:graphic>
          </wp:anchor>
        </w:drawing>
        <w:t>In addition, our opinions in paragraphs 3, 4, 5 and 6 above are subject to: (a) the effect of bankruptcy, insolvency, reorganization, fraudulent conveyance, moratorium or other similar laws now or hereafter in effect relating to or affecting the rights and remedies of creditors; (b)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therefore may be brought; (c) the unenforceability under certain circumstances under law or court decisions of provisions providing for the indemnification of, or contribution to, a party with respect to a liability where such indemnification or contribution is contrary to public policy; (d) the rights or remedies available to any party for violations or breaches of any provisions of the Warrants, Debt Securities, Units or Subscription Rights, as applicable that are immaterial or the enforcement of which would be unreasonable under the then existing circumstances; (e) the rights or remedies available to any party for material violations or breaches that are the proximate result of actions taken by any party to the Warrants, Debt Securities, Units Subscription Rights, as applicable, other than the party against whom enforcement is sought, which actions such other party is not entitled to take pursuant to the Warrants, Debt Securities, Units or Subscription Rights, as applicable, or that otherwise violate applicable laws; (f) the rights or remedies available to any party that takes discretionary action that is arbitrary, unreasonable or capricious, or is not taken in good faith or in a commercially reasonable manner, whether or not the Warrants, Debt Securities, Units Subscription Rights, as applicable permit such action; or (g) the effect of the exercise of judicial discretion, whether in a proceeding in equity or at law.</w:t>
      </w:r>
    </w:p>
    <w:p>
      <w:pPr>
        <w:spacing w:after="0" w:line="178"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This opinion letter is given as of the date hereof, and we express no opinion as to the effect of subsequent events or changes in law occurring or becoming effective after the date hereof. We assume no obligation to update this opinion letter or otherwise advise you with respect to any facts or circumstances or changes in law that may hereafter occur or come to our attention.</w:t>
      </w:r>
    </w:p>
    <w:p>
      <w:pPr>
        <w:spacing w:after="0" w:line="165" w:lineRule="exact"/>
        <w:rPr>
          <w:sz w:val="20"/>
          <w:szCs w:val="20"/>
          <w:color w:val="auto"/>
        </w:rPr>
      </w:pPr>
    </w:p>
    <w:p>
      <w:pPr>
        <w:jc w:val="both"/>
        <w:ind w:firstLine="617"/>
        <w:spacing w:after="0" w:line="269"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and to the reference to this firm under the heading “Legal Matters” in the Base Prospectus included in the Registration Statement. In rendering this opinion and giving this consent, we do not admit that we are an “expert” within the meaning of the Securities 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Troutman Pepper Locke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335280</wp:posOffset>
            </wp:positionV>
            <wp:extent cx="713867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in the Registration Statement (Form S-3) and related Prospectus of Vishay Intertechnology, Inc. for the registration of shares of its common stock, preferred stock, debt securities, warrants, units and subscription rights and to the incorporation by reference therein of our reports dated February 13, 2026, with respect to the consolidated financial statements of Vishay Intertechnology, Inc., and the effectiveness of internal control over financial reporting of Vishay Intertechnology, Inc., included in its Annual Report (Form 10-K) for the year ended December 31, 2025, filed with the Securities and Exchange Commission.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13867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00" w:name="page101"/>
    <w:bookmarkEnd w:id="100"/>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107</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1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(Form Type)</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Vishay Intertechnology,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92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Filing Fee</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Connection</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Unsold</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Calculation</w:t>
            </w: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Carry</w:t>
            </w: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4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c>
          <w:tcPr>
            <w:tcW w:w="0" w:type="dxa"/>
            <w:vAlign w:val="bottom"/>
          </w:tcPr>
          <w:p>
            <w:pPr>
              <w:spacing w:after="0"/>
              <w:rPr>
                <w:sz w:val="1"/>
                <w:szCs w:val="1"/>
                <w:color w:val="auto"/>
              </w:rPr>
            </w:pPr>
          </w:p>
        </w:tc>
      </w:tr>
      <w:tr>
        <w:trPr>
          <w:trHeight w:val="252"/>
        </w:trPr>
        <w:tc>
          <w:tcPr>
            <w:tcW w:w="920" w:type="dxa"/>
            <w:vAlign w:val="bottom"/>
            <w:tcBorders>
              <w:left w:val="single" w:sz="8" w:color="auto"/>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p>
        </w:tc>
        <w:tc>
          <w:tcPr>
            <w:tcW w:w="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7"/>
              </w:rPr>
              <w:t>Fee 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0" w:type="dxa"/>
            <w:vAlign w:val="bottom"/>
          </w:tcPr>
          <w:p>
            <w:pPr>
              <w:spacing w:after="0"/>
              <w:rPr>
                <w:sz w:val="1"/>
                <w:szCs w:val="1"/>
                <w:color w:val="auto"/>
              </w:rPr>
            </w:pPr>
          </w:p>
        </w:tc>
      </w:tr>
      <w:tr>
        <w:trPr>
          <w:trHeight w:val="198"/>
        </w:trPr>
        <w:tc>
          <w:tcPr>
            <w:tcW w:w="92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Newly Registered Securities</w:t>
            </w: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20" w:type="dxa"/>
            <w:vAlign w:val="bottom"/>
            <w:tcBorders>
              <w:left w:val="single" w:sz="8" w:color="auto"/>
              <w:right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Common</w:t>
            </w: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Fees to be</w:t>
            </w:r>
          </w:p>
        </w:tc>
        <w:tc>
          <w:tcPr>
            <w:tcW w:w="2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Stock, par</w:t>
            </w: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vMerge w:val="continue"/>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value $0.10</w:t>
            </w: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Paid</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(1)</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9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Preferred</w:t>
            </w: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Fees to be</w:t>
            </w: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Stock, par</w:t>
            </w: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value $0.10</w:t>
            </w: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Paid</w:t>
            </w: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Fees to be</w:t>
            </w:r>
          </w:p>
        </w:tc>
        <w:tc>
          <w:tcPr>
            <w:tcW w:w="24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Paid</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(3)</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Securities</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Fees to be</w:t>
            </w:r>
          </w:p>
        </w:tc>
        <w:tc>
          <w:tcPr>
            <w:tcW w:w="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Paid</w:t>
            </w: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Fees to be</w:t>
            </w:r>
          </w:p>
        </w:tc>
        <w:tc>
          <w:tcPr>
            <w:tcW w:w="24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Paid</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(5)</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Units</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Fees to be</w:t>
            </w:r>
          </w:p>
        </w:tc>
        <w:tc>
          <w:tcPr>
            <w:tcW w:w="2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Subscription</w:t>
            </w: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Paid</w:t>
            </w: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(6)</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Rights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Fees</w:t>
            </w:r>
          </w:p>
        </w:tc>
        <w:tc>
          <w:tcPr>
            <w:tcW w:w="24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Previously</w:t>
            </w:r>
          </w:p>
        </w:tc>
        <w:tc>
          <w:tcPr>
            <w:tcW w:w="2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Paid</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68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920" w:type="dxa"/>
            <w:vAlign w:val="bottom"/>
            <w:tcBorders>
              <w:top w:val="single" w:sz="8" w:color="auto"/>
              <w:left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1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Carry</w:t>
            </w:r>
          </w:p>
        </w:tc>
        <w:tc>
          <w:tcPr>
            <w:tcW w:w="2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24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68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2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60" w:type="dxa"/>
            <w:vAlign w:val="bottom"/>
            <w:tcBorders>
              <w:top w:val="single" w:sz="8" w:color="auto"/>
              <w:right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82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$0.00</w:t>
            </w:r>
          </w:p>
        </w:tc>
        <w:tc>
          <w:tcPr>
            <w:tcW w:w="66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$0.00</w:t>
            </w: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2660" w:type="dxa"/>
            <w:vAlign w:val="bottom"/>
            <w:tcBorders>
              <w:bottom w:val="single" w:sz="8" w:color="CCEEFF"/>
              <w:right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2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740" w:type="dxa"/>
            <w:vAlign w:val="bottom"/>
            <w:tcBorders>
              <w:top w:val="single" w:sz="8" w:color="auto"/>
              <w:right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82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spacing w:after="0"/>
              <w:rPr>
                <w:sz w:val="19"/>
                <w:szCs w:val="19"/>
                <w:color w:val="auto"/>
              </w:rPr>
            </w:pPr>
          </w:p>
        </w:tc>
        <w:tc>
          <w:tcPr>
            <w:tcW w:w="1740" w:type="dxa"/>
            <w:vAlign w:val="bottom"/>
            <w:tcBorders>
              <w:bottom w:val="single" w:sz="8" w:color="CCEEFF"/>
              <w:right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660" w:type="dxa"/>
            <w:vAlign w:val="bottom"/>
            <w:tcBorders>
              <w:bottom w:val="single" w:sz="8" w:color="CCEEFF"/>
              <w:right w:val="single" w:sz="8" w:color="auto"/>
            </w:tcBorders>
            <w:shd w:val="clear" w:color="auto" w:fill="CCEEFF"/>
          </w:tcPr>
          <w:p>
            <w:pPr>
              <w:spacing w:after="0"/>
              <w:rPr>
                <w:sz w:val="19"/>
                <w:szCs w:val="19"/>
                <w:color w:val="auto"/>
              </w:rPr>
            </w:pP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$0.00</w:t>
            </w: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300" w:right="200" w:hanging="297"/>
        <w:spacing w:after="0" w:line="257" w:lineRule="auto"/>
        <w:tabs>
          <w:tab w:leader="none" w:pos="3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indeterminate aggregate initial offering price and number or amount of securities of each identified class is being registered as may from time to time be offered at indeterminate prices. The securities registered hereunder include an indeterminate number or amount, as the case may be, of securities of each identified class as may from time to time be issued upon conversion, exercise or exchange of the securities issued directly hereunder. Separate consideration may or may not be received for securities that are issuable on exercise, conversion or exchange of other securities. Any securities registered hereunder may be sold separately or together with the other securities registered hereunder. Pursuant to Rule 416 under the Securities Act of 1933, as amended (the “Securities Act”), this registration statement shall also cover any additional shares of the registrant’s securities that become issuable by reason of any stock split, stock dividend or similar transaction, including pursuant to any applicable anti-dilution provisions (including, without limitation, upon adjustment of any conversion or exchange rate thereof).</w:t>
      </w:r>
    </w:p>
    <w:p>
      <w:pPr>
        <w:spacing w:after="0" w:line="175" w:lineRule="exact"/>
        <w:rPr>
          <w:rFonts w:ascii="Times New Roman" w:cs="Times New Roman" w:eastAsia="Times New Roman" w:hAnsi="Times New Roman"/>
          <w:sz w:val="17"/>
          <w:szCs w:val="17"/>
          <w:color w:val="auto"/>
        </w:rPr>
      </w:pPr>
    </w:p>
    <w:p>
      <w:pPr>
        <w:ind w:left="300" w:right="7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is relying on Rule 456(b) and Rule 457(r) under the Securities Act to defer payment of the entire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w:t>
      </w:r>
    </w:p>
    <w:p>
      <w:pPr>
        <w:spacing w:after="0" w:line="10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w:t>
      </w:r>
    </w:p>
    <w:p>
      <w:pPr>
        <w:spacing w:after="0" w:line="10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w:t>
      </w:r>
    </w:p>
    <w:p>
      <w:pPr>
        <w:spacing w:after="0" w:line="10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w:t>
      </w:r>
    </w:p>
    <w:p>
      <w:pPr>
        <w:spacing w:after="0" w:line="10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13867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sectPr>
      <w:pgSz w:w="11900" w:h="16838" w:orient="portrait"/>
      <w:cols w:equalWidth="0" w:num="1">
        <w:col w:w="11340"/>
      </w:cols>
      <w:pgMar w:left="320" w:top="299" w:right="239" w:bottom="110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lowerRoman"/>
      <w:start w:val="3"/>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610"/>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lowerRoman"/>
      <w:start w:val="7"/>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lowerLetter"/>
      <w:start w:val="1"/>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lowerLetter"/>
      <w:start w:val="1"/>
    </w:lvl>
    <w:lvl w:ilvl="1">
      <w:lvlJc w:val="left"/>
      <w:lvlText w:val="%2."/>
      <w:numFmt w:val="lowerRoman"/>
      <w:start w:val="1"/>
    </w:lvl>
  </w:abstractNum>
  <w:abstractNum w:abstractNumId="34">
    <w:nsid w:val="23F9C13C"/>
    <w:multiLevelType w:val="hybridMultilevel"/>
    <w:lvl w:ilvl="0">
      <w:lvlJc w:val="left"/>
      <w:lvlText w:val="%1."/>
      <w:numFmt w:val="lowerLetter"/>
      <w:start w:val="6"/>
    </w:lvl>
  </w:abstractNum>
  <w:abstractNum w:abstractNumId="35">
    <w:nsid w:val="649BB77C"/>
    <w:multiLevelType w:val="hybridMultilevel"/>
    <w:lvl w:ilvl="0">
      <w:lvlJc w:val="left"/>
      <w:lvlText w:val="%1."/>
      <w:numFmt w:val="lowerLetter"/>
      <w:start w:val="1"/>
    </w:lvl>
  </w:abstractNum>
  <w:abstractNum w:abstractNumId="36">
    <w:nsid w:val="275AC794"/>
    <w:multiLevelType w:val="hybridMultilevel"/>
    <w:lvl w:ilvl="0">
      <w:lvlJc w:val="left"/>
      <w:lvlText w:val="%1."/>
      <w:numFmt w:val="lowerLetter"/>
      <w:start w:val="2"/>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2"/>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lowerLetter"/>
      <w:start w:val="4"/>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lowerLetter"/>
      <w:start w:val="2"/>
    </w:lvl>
    <w:lvl w:ilvl="1">
      <w:lvlJc w:val="left"/>
      <w:lvlText w:val="%2."/>
      <w:numFmt w:val="lowerRoman"/>
      <w:start w:val="1"/>
    </w:lvl>
  </w:abstractNum>
  <w:abstractNum w:abstractNumId="44">
    <w:nsid w:val="741226BB"/>
    <w:multiLevelType w:val="hybridMultilevel"/>
    <w:lvl w:ilvl="0">
      <w:lvlJc w:val="left"/>
      <w:lvlText w:val="%1."/>
      <w:numFmt w:val="lowerLetter"/>
      <w:start w:val="6"/>
    </w:lvl>
  </w:abstractNum>
  <w:abstractNum w:abstractNumId="45">
    <w:nsid w:val="D34B6A8"/>
    <w:multiLevelType w:val="hybridMultilevel"/>
    <w:lvl w:ilvl="0">
      <w:lvlJc w:val="left"/>
      <w:lvlText w:val="%1."/>
      <w:numFmt w:val="lowerLetter"/>
      <w:start w:val="1"/>
    </w:lvl>
  </w:abstractNum>
  <w:abstractNum w:abstractNumId="46">
    <w:nsid w:val="10233C99"/>
    <w:multiLevelType w:val="hybridMultilevel"/>
    <w:lvl w:ilvl="0">
      <w:lvlJc w:val="left"/>
      <w:lvlText w:val="%1."/>
      <w:numFmt w:val="lowerLetter"/>
      <w:start w:val="7"/>
    </w:lvl>
  </w:abstractNum>
  <w:abstractNum w:abstractNumId="47">
    <w:nsid w:val="3F6AB60F"/>
    <w:multiLevelType w:val="hybridMultilevel"/>
    <w:lvl w:ilvl="0">
      <w:lvlJc w:val="left"/>
      <w:lvlText w:val="%1."/>
      <w:numFmt w:val="lowerLetter"/>
      <w:start w:val="16"/>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2"/>
    </w:lvl>
  </w:abstractNum>
  <w:abstractNum w:abstractNumId="50">
    <w:nsid w:val="77AE35E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1">
    <w:nsid w:val="579BE4F1"/>
    <w:multiLevelType w:val="hybridMultilevel"/>
    <w:lvl w:ilvl="0">
      <w:lvlJc w:val="left"/>
      <w:lvlText w:val="%1."/>
      <w:numFmt w:val="lowerLetter"/>
      <w:start w:val="2"/>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54">
    <w:nsid w:val="2F305DEF"/>
    <w:multiLevelType w:val="hybridMultilevel"/>
    <w:lvl w:ilvl="0">
      <w:lvlJc w:val="left"/>
      <w:lvlText w:val="%1."/>
      <w:numFmt w:val="lowerRoman"/>
      <w:start w:val="2"/>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5"/>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4"/>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lowerLetter"/>
      <w:start w:val="4"/>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3"/>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Roman"/>
      <w:start w:val="1"/>
    </w:lvl>
  </w:abstractNum>
  <w:abstractNum w:abstractNumId="69">
    <w:nsid w:val="168E121F"/>
    <w:multiLevelType w:val="hybridMultilevel"/>
    <w:lvl w:ilvl="0">
      <w:lvlJc w:val="left"/>
      <w:lvlText w:val="(%1)"/>
      <w:numFmt w:val="lowerRoman"/>
      <w:start w:val="4"/>
    </w:lvl>
  </w:abstractNum>
  <w:abstractNum w:abstractNumId="70">
    <w:nsid w:val="1EBA5D23"/>
    <w:multiLevelType w:val="hybridMultilevel"/>
    <w:lvl w:ilvl="0">
      <w:lvlJc w:val="left"/>
      <w:lvlText w:val="(%1)"/>
      <w:numFmt w:val="lowerRoman"/>
      <w:start w:val="1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lowerLetter"/>
      <w:start w:val="1"/>
    </w:lvl>
    <w:lvl w:ilvl="1">
      <w:lvlJc w:val="left"/>
      <w:lvlText w:val="%2."/>
      <w:numFmt w:val="decimal"/>
      <w:start w:val="3"/>
    </w:lvl>
  </w:abstractNum>
  <w:abstractNum w:abstractNumId="73">
    <w:nsid w:val="540A471C"/>
    <w:multiLevelType w:val="hybridMultilevel"/>
    <w:lvl w:ilvl="0">
      <w:lvlJc w:val="left"/>
      <w:lvlText w:val="(%1)"/>
      <w:numFmt w:val="lowerLetter"/>
      <w:start w:val="5"/>
    </w:lvl>
    <w:lvl w:ilvl="1">
      <w:lvlJc w:val="left"/>
      <w:lvlText w:val="%2"/>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jpe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jpe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jpe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jpe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jpe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jpe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26" Type="http://schemas.openxmlformats.org/officeDocument/2006/relationships/hyperlink" Target="https://www.sec.gov/ix?doc=/Archives/edgar/data/103730/000010373026000019/form10k.htm" TargetMode="External"/><Relationship Id="rId27" Type="http://schemas.openxmlformats.org/officeDocument/2006/relationships/hyperlink" Target="https://www.sec.gov/ix?doc=/Archives/edgar/data/103730/000010373026000038/vishayintertech_10q.htm" TargetMode="External"/><Relationship Id="rId50" Type="http://schemas.openxmlformats.org/officeDocument/2006/relationships/hyperlink" Target="https://www.sec.gov/ix?doc=/Archives/edgar/data/0000103730/000010373026000019/form10k.htm" TargetMode="External"/><Relationship Id="rId51" Type="http://schemas.openxmlformats.org/officeDocument/2006/relationships/hyperlink" Target="https://www.sec.gov/ix?doc=/Archives/edgar/data/0000103730/000010373026000029/vishay_def14a.htm" TargetMode="External"/><Relationship Id="rId52" Type="http://schemas.openxmlformats.org/officeDocument/2006/relationships/hyperlink" Target="https://www.sec.gov/ix?doc=/Archives/edgar/data/0000103730/000010373026000038/vishayintertech_10q.htm" TargetMode="External"/><Relationship Id="rId53" Type="http://schemas.openxmlformats.org/officeDocument/2006/relationships/hyperlink" Target="https://www.sec.gov/ix?doc=/Archives/edgar/data/0000103730/000010373026000023/form8-k.htm" TargetMode="External"/><Relationship Id="rId54" Type="http://schemas.openxmlformats.org/officeDocument/2006/relationships/hyperlink" Target="https://www.sec.gov/ix?doc=/Archives/edgar/data/0000103730/000010373026000043/form8-k.htm" TargetMode="External"/><Relationship Id="rId55" Type="http://schemas.openxmlformats.org/officeDocument/2006/relationships/hyperlink" Target="https://www.sec.gov/Archives/edgar/data/103730/000010373022000072/exhibit4-1.htm" TargetMode="External"/><Relationship Id="rId56" Type="http://schemas.openxmlformats.org/officeDocument/2006/relationships/hyperlink" Target="https://www.sec.gov/ix?doc=/Archives/edgar/data/0000103730/000010373022000072/vishayintertech_10q.htm" TargetMode="External"/><Relationship Id="rId61" Type="http://schemas.openxmlformats.org/officeDocument/2006/relationships/hyperlink" Target="https://www.sec.gov/Archives/edgar/data/103730/000010373012000031/exhhibit3-1.htm" TargetMode="External"/><Relationship Id="rId62" Type="http://schemas.openxmlformats.org/officeDocument/2006/relationships/hyperlink" Target="https://www.sec.gov/Archives/edgar/data/103730/000120677411001322/exhibit3-2.htm" TargetMode="External"/><Relationship Id="rId63" Type="http://schemas.openxmlformats.org/officeDocument/2006/relationships/hyperlink" Target="https://www.sec.gov/Archives/edgar/data/103730/000010373015000037/exhibit3-1.htm" TargetMode="External"/><Relationship Id="rId64" Type="http://schemas.openxmlformats.org/officeDocument/2006/relationships/hyperlink" Target="https://www.sec.gov/Archives/edgar/data/103730/000010373023000010/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2026-06-29T15:16:16Z</dcterms:created>
  <dcterms:modified xsi:type="dcterms:W3CDTF">2026-06-29T15:16:16Z</dcterms:modified>
</cp:coreProperties>
</file>