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As filed with the Securities and Exchange Commission on May 23, 2023.</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0" w:lineRule="exact"/>
        <w:rPr>
          <w:sz w:val="24"/>
          <w:szCs w:val="24"/>
          <w:color w:val="auto"/>
        </w:rPr>
      </w:pPr>
    </w:p>
    <w:p>
      <w:pPr>
        <w:ind w:left="1460"/>
        <w:spacing w:after="0"/>
        <w:rPr>
          <w:sz w:val="20"/>
          <w:szCs w:val="20"/>
          <w:color w:val="auto"/>
        </w:rPr>
      </w:pPr>
      <w:r>
        <w:rPr>
          <w:rFonts w:ascii="Arial" w:cs="Arial" w:eastAsia="Arial" w:hAnsi="Arial"/>
          <w:sz w:val="17"/>
          <w:szCs w:val="17"/>
          <w:b w:val="1"/>
          <w:bCs w:val="1"/>
          <w:color w:val="auto"/>
        </w:rPr>
        <w:t>POST-EFFECTIVE AMENDMENT NO. 1 TO FORM S-8 REGISTRATION STATEMENT NO. 333-144466</w:t>
      </w:r>
    </w:p>
    <w:p>
      <w:pPr>
        <w:spacing w:after="0" w:line="39" w:lineRule="exact"/>
        <w:rPr>
          <w:sz w:val="24"/>
          <w:szCs w:val="24"/>
          <w:color w:val="auto"/>
        </w:rPr>
      </w:pPr>
    </w:p>
    <w:p>
      <w:pPr>
        <w:ind w:left="1460"/>
        <w:spacing w:after="0"/>
        <w:rPr>
          <w:sz w:val="20"/>
          <w:szCs w:val="20"/>
          <w:color w:val="auto"/>
        </w:rPr>
      </w:pPr>
      <w:r>
        <w:rPr>
          <w:rFonts w:ascii="Arial" w:cs="Arial" w:eastAsia="Arial" w:hAnsi="Arial"/>
          <w:sz w:val="17"/>
          <w:szCs w:val="17"/>
          <w:b w:val="1"/>
          <w:bCs w:val="1"/>
          <w:color w:val="auto"/>
        </w:rPr>
        <w:t>POST-EFFECTIVE AMENDMENT NO. 1 TO FORM S-8 REGISTRATION STATEMENT NO. 333-196143</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UNDER THE SECURITIES ACT OF 1933</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VISHAY INTERTECHNOLOGY,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469" w:right="339" w:bottom="1440" w:gutter="0" w:footer="0" w:header="0"/>
        </w:sectPr>
      </w:pPr>
    </w:p>
    <w:p>
      <w:pPr>
        <w:spacing w:after="0" w:line="209" w:lineRule="exact"/>
        <w:rPr>
          <w:sz w:val="24"/>
          <w:szCs w:val="24"/>
          <w:color w:val="auto"/>
        </w:rPr>
      </w:pPr>
    </w:p>
    <w:p>
      <w:pPr>
        <w:ind w:left="2380"/>
        <w:spacing w:after="0"/>
        <w:rPr>
          <w:sz w:val="20"/>
          <w:szCs w:val="20"/>
          <w:color w:val="auto"/>
        </w:rPr>
      </w:pPr>
      <w:r>
        <w:rPr>
          <w:rFonts w:ascii="Arial" w:cs="Arial" w:eastAsia="Arial" w:hAnsi="Arial"/>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38-1686453</w:t>
      </w:r>
    </w:p>
    <w:p>
      <w:pPr>
        <w:spacing w:after="0" w:line="97" w:lineRule="exact"/>
        <w:rPr>
          <w:sz w:val="24"/>
          <w:szCs w:val="24"/>
          <w:color w:val="auto"/>
        </w:rPr>
      </w:pPr>
    </w:p>
    <w:p>
      <w:pPr>
        <w:sectPr>
          <w:pgSz w:w="11900" w:h="16838" w:orient="portrait"/>
          <w:cols w:equalWidth="0" w:num="2">
            <w:col w:w="7200" w:space="720"/>
            <w:col w:w="3320"/>
          </w:cols>
          <w:pgMar w:left="320" w:top="469" w:right="339" w:bottom="1440" w:gutter="0" w:footer="0" w:header="0"/>
          <w:type w:val="continuous"/>
        </w:sectPr>
      </w:pPr>
    </w:p>
    <w:p>
      <w:pPr>
        <w:ind w:left="10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640" w:space="720"/>
            <w:col w:w="3880"/>
          </w:cols>
          <w:pgMar w:left="320" w:top="469" w:right="339" w:bottom="1440" w:gutter="0" w:footer="0" w:header="0"/>
          <w:type w:val="continuous"/>
        </w:sectPr>
      </w:pPr>
    </w:p>
    <w:p>
      <w:pPr>
        <w:spacing w:after="0" w:line="37" w:lineRule="exact"/>
        <w:rPr>
          <w:sz w:val="24"/>
          <w:szCs w:val="24"/>
          <w:color w:val="auto"/>
        </w:rPr>
      </w:pPr>
    </w:p>
    <w:p>
      <w:pPr>
        <w:ind w:left="4020" w:right="4000" w:firstLine="648"/>
        <w:spacing w:after="0" w:line="290" w:lineRule="auto"/>
        <w:tabs>
          <w:tab w:leader="none" w:pos="4945"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Lancaster Avenue Malvern, Pennsylvania 19355-2143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95" w:lineRule="exact"/>
        <w:rPr>
          <w:sz w:val="24"/>
          <w:szCs w:val="24"/>
          <w:color w:val="auto"/>
        </w:rPr>
      </w:pPr>
    </w:p>
    <w:p>
      <w:pPr>
        <w:ind w:left="2460"/>
        <w:spacing w:after="0"/>
        <w:rPr>
          <w:sz w:val="20"/>
          <w:szCs w:val="20"/>
          <w:color w:val="auto"/>
        </w:rPr>
      </w:pPr>
      <w:r>
        <w:rPr>
          <w:rFonts w:ascii="Arial" w:cs="Arial" w:eastAsia="Arial" w:hAnsi="Arial"/>
          <w:sz w:val="25"/>
          <w:szCs w:val="25"/>
          <w:b w:val="1"/>
          <w:bCs w:val="1"/>
          <w:color w:val="auto"/>
        </w:rPr>
        <w:t>Vishay Intertechnology, Inc. 2007 Stock Incentive Program</w:t>
      </w:r>
    </w:p>
    <w:p>
      <w:pPr>
        <w:spacing w:after="0" w:line="38" w:lineRule="exact"/>
        <w:rPr>
          <w:sz w:val="24"/>
          <w:szCs w:val="24"/>
          <w:color w:val="auto"/>
        </w:rPr>
      </w:pPr>
    </w:p>
    <w:p>
      <w:pPr>
        <w:ind w:left="2380"/>
        <w:spacing w:after="0"/>
        <w:rPr>
          <w:sz w:val="20"/>
          <w:szCs w:val="20"/>
          <w:color w:val="auto"/>
        </w:rPr>
      </w:pPr>
      <w:r>
        <w:rPr>
          <w:rFonts w:ascii="Arial" w:cs="Arial" w:eastAsia="Arial" w:hAnsi="Arial"/>
          <w:sz w:val="25"/>
          <w:szCs w:val="25"/>
          <w:b w:val="1"/>
          <w:bCs w:val="1"/>
          <w:color w:val="auto"/>
        </w:rPr>
        <w:t>Vishay Intertechnology, Inc. 2023 Long-Term Incentive Plan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Lori Lipcaman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Executive Vice President, Chief Financial Officer</w:t>
      </w:r>
    </w:p>
    <w:p>
      <w:pPr>
        <w:jc w:val="center"/>
        <w:spacing w:after="0" w:line="230" w:lineRule="auto"/>
        <w:rPr>
          <w:sz w:val="20"/>
          <w:szCs w:val="20"/>
          <w:color w:val="auto"/>
        </w:rPr>
      </w:pPr>
      <w:r>
        <w:rPr>
          <w:rFonts w:ascii="Arial" w:cs="Arial" w:eastAsia="Arial" w:hAnsi="Arial"/>
          <w:sz w:val="22"/>
          <w:szCs w:val="22"/>
          <w:b w:val="1"/>
          <w:bCs w:val="1"/>
          <w:color w:val="auto"/>
        </w:rPr>
        <w:t>Vishay Intertechnology, Inc.</w:t>
      </w:r>
    </w:p>
    <w:p>
      <w:pPr>
        <w:spacing w:after="0" w:line="1" w:lineRule="exact"/>
        <w:rPr>
          <w:sz w:val="24"/>
          <w:szCs w:val="24"/>
          <w:color w:val="auto"/>
        </w:rPr>
      </w:pPr>
    </w:p>
    <w:p>
      <w:pPr>
        <w:ind w:left="4020" w:right="4000" w:firstLine="648"/>
        <w:spacing w:after="0" w:line="308" w:lineRule="auto"/>
        <w:tabs>
          <w:tab w:leader="none" w:pos="4945"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Lancaster Avenue Malvern, Pennsylvania 19355-2143</w:t>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Telephone: (610) 644-1300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Including Area Code, of Agent For Service)</w:t>
      </w:r>
    </w:p>
    <w:p>
      <w:pPr>
        <w:ind w:left="3080"/>
        <w:spacing w:after="0" w:line="227" w:lineRule="auto"/>
        <w:rPr>
          <w:sz w:val="20"/>
          <w:szCs w:val="20"/>
          <w:color w:val="auto"/>
        </w:rPr>
      </w:pPr>
      <w:r>
        <w:rPr>
          <w:rFonts w:ascii="Arial" w:cs="Arial" w:eastAsia="Arial" w:hAnsi="Arial"/>
          <w:sz w:val="14"/>
          <w:szCs w:val="14"/>
          <w:b w:val="1"/>
          <w:bCs w:val="1"/>
          <w:color w:val="auto"/>
        </w:rPr>
        <w:t>_______________________________________________________________________</w:t>
      </w:r>
    </w:p>
    <w:p>
      <w:pPr>
        <w:jc w:val="center"/>
        <w:spacing w:after="0"/>
        <w:rPr>
          <w:sz w:val="20"/>
          <w:szCs w:val="20"/>
          <w:color w:val="auto"/>
        </w:rPr>
      </w:pPr>
      <w:r>
        <w:rPr>
          <w:rFonts w:ascii="Arial" w:cs="Arial" w:eastAsia="Arial" w:hAnsi="Arial"/>
          <w:sz w:val="22"/>
          <w:szCs w:val="22"/>
          <w:b w:val="1"/>
          <w:bCs w:val="1"/>
          <w:i w:val="1"/>
          <w:iCs w:val="1"/>
          <w:color w:val="auto"/>
        </w:rPr>
        <w:t>Copies of all communications to:</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Brian Katz</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Troutman Pepper Hamilton Sanders LLP</w:t>
      </w:r>
    </w:p>
    <w:p>
      <w:pPr>
        <w:jc w:val="center"/>
        <w:spacing w:after="0" w:line="230" w:lineRule="auto"/>
        <w:rPr>
          <w:sz w:val="20"/>
          <w:szCs w:val="20"/>
          <w:color w:val="auto"/>
        </w:rPr>
      </w:pPr>
      <w:r>
        <w:rPr>
          <w:rFonts w:ascii="Arial" w:cs="Arial" w:eastAsia="Arial" w:hAnsi="Arial"/>
          <w:sz w:val="22"/>
          <w:szCs w:val="22"/>
          <w:b w:val="1"/>
          <w:bCs w:val="1"/>
          <w:color w:val="auto"/>
        </w:rPr>
        <w:t>3000 Two Logan Square</w:t>
      </w:r>
    </w:p>
    <w:p>
      <w:pPr>
        <w:jc w:val="center"/>
        <w:spacing w:after="0" w:line="231" w:lineRule="auto"/>
        <w:rPr>
          <w:sz w:val="20"/>
          <w:szCs w:val="20"/>
          <w:color w:val="auto"/>
        </w:rPr>
      </w:pPr>
      <w:r>
        <w:rPr>
          <w:rFonts w:ascii="Arial" w:cs="Arial" w:eastAsia="Arial" w:hAnsi="Arial"/>
          <w:sz w:val="22"/>
          <w:szCs w:val="22"/>
          <w:b w:val="1"/>
          <w:bCs w:val="1"/>
          <w:color w:val="auto"/>
        </w:rPr>
        <w:t>Eighteenth and Arch Streets</w:t>
      </w:r>
    </w:p>
    <w:p>
      <w:pPr>
        <w:jc w:val="center"/>
        <w:spacing w:after="0" w:line="230" w:lineRule="auto"/>
        <w:rPr>
          <w:sz w:val="20"/>
          <w:szCs w:val="20"/>
          <w:color w:val="auto"/>
        </w:rPr>
      </w:pPr>
      <w:r>
        <w:rPr>
          <w:rFonts w:ascii="Arial" w:cs="Arial" w:eastAsia="Arial" w:hAnsi="Arial"/>
          <w:sz w:val="22"/>
          <w:szCs w:val="22"/>
          <w:b w:val="1"/>
          <w:bCs w:val="1"/>
          <w:color w:val="auto"/>
        </w:rPr>
        <w:t>Philadelphia, PA 19103-2799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(215) 981-4000</w:t>
      </w:r>
    </w:p>
    <w:p>
      <w:pPr>
        <w:spacing w:after="0" w:line="187"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_________________________________________________________________</w:t>
      </w:r>
    </w:p>
    <w:p>
      <w:pPr>
        <w:spacing w:after="0" w:line="205" w:lineRule="exact"/>
        <w:rPr>
          <w:sz w:val="24"/>
          <w:szCs w:val="24"/>
          <w:color w:val="auto"/>
        </w:rPr>
      </w:pPr>
    </w:p>
    <w:p>
      <w:pPr>
        <w:jc w:val="both"/>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64"/>
        </w:trPr>
        <w:tc>
          <w:tcPr>
            <w:tcW w:w="2680" w:type="dxa"/>
            <w:vAlign w:val="bottom"/>
          </w:tcPr>
          <w:p>
            <w:pPr>
              <w:spacing w:after="0"/>
              <w:rPr>
                <w:sz w:val="20"/>
                <w:szCs w:val="20"/>
                <w:color w:val="auto"/>
              </w:rPr>
            </w:pPr>
            <w:r>
              <w:rPr>
                <w:rFonts w:ascii="Arial" w:cs="Arial" w:eastAsia="Arial" w:hAnsi="Arial"/>
                <w:sz w:val="22"/>
                <w:szCs w:val="22"/>
                <w:color w:val="auto"/>
              </w:rPr>
              <w:t>Large accelerated filer</w:t>
            </w:r>
          </w:p>
        </w:tc>
        <w:tc>
          <w:tcPr>
            <w:tcW w:w="2600" w:type="dxa"/>
            <w:vAlign w:val="bottom"/>
          </w:tcPr>
          <w:p>
            <w:pPr>
              <w:ind w:left="720"/>
              <w:spacing w:after="0" w:line="221" w:lineRule="exact"/>
              <w:rPr>
                <w:sz w:val="20"/>
                <w:szCs w:val="20"/>
                <w:color w:val="auto"/>
              </w:rPr>
            </w:pPr>
            <w:r>
              <w:rPr>
                <w:rFonts w:ascii="MS PGothic" w:cs="MS PGothic" w:eastAsia="MS PGothic" w:hAnsi="MS PGothic"/>
                <w:sz w:val="22"/>
                <w:szCs w:val="22"/>
                <w:color w:val="auto"/>
              </w:rPr>
              <w:t>⊠</w:t>
            </w:r>
          </w:p>
        </w:tc>
        <w:tc>
          <w:tcPr>
            <w:tcW w:w="4720" w:type="dxa"/>
            <w:vAlign w:val="bottom"/>
          </w:tcPr>
          <w:p>
            <w:pPr>
              <w:ind w:left="1680"/>
              <w:spacing w:after="0"/>
              <w:rPr>
                <w:sz w:val="20"/>
                <w:szCs w:val="20"/>
                <w:color w:val="auto"/>
              </w:rPr>
            </w:pPr>
            <w:r>
              <w:rPr>
                <w:rFonts w:ascii="Arial" w:cs="Arial" w:eastAsia="Arial" w:hAnsi="Arial"/>
                <w:sz w:val="22"/>
                <w:szCs w:val="22"/>
                <w:color w:val="auto"/>
              </w:rPr>
              <w:t>Accelerated filer</w:t>
            </w:r>
          </w:p>
        </w:tc>
        <w:tc>
          <w:tcPr>
            <w:tcW w:w="880" w:type="dxa"/>
            <w:vAlign w:val="bottom"/>
          </w:tcPr>
          <w:p>
            <w:pPr>
              <w:ind w:left="70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56"/>
        </w:trPr>
        <w:tc>
          <w:tcPr>
            <w:tcW w:w="2680" w:type="dxa"/>
            <w:vAlign w:val="bottom"/>
          </w:tcPr>
          <w:p>
            <w:pPr>
              <w:spacing w:after="0"/>
              <w:rPr>
                <w:sz w:val="20"/>
                <w:szCs w:val="20"/>
                <w:color w:val="auto"/>
              </w:rPr>
            </w:pPr>
            <w:r>
              <w:rPr>
                <w:rFonts w:ascii="Arial" w:cs="Arial" w:eastAsia="Arial" w:hAnsi="Arial"/>
                <w:sz w:val="22"/>
                <w:szCs w:val="22"/>
                <w:color w:val="auto"/>
              </w:rPr>
              <w:t>Non-accelerated filer</w:t>
            </w:r>
          </w:p>
        </w:tc>
        <w:tc>
          <w:tcPr>
            <w:tcW w:w="2600" w:type="dxa"/>
            <w:vAlign w:val="bottom"/>
          </w:tcPr>
          <w:p>
            <w:pPr>
              <w:ind w:left="720"/>
              <w:spacing w:after="0" w:line="221" w:lineRule="exact"/>
              <w:rPr>
                <w:sz w:val="20"/>
                <w:szCs w:val="20"/>
                <w:color w:val="auto"/>
              </w:rPr>
            </w:pPr>
            <w:r>
              <w:rPr>
                <w:rFonts w:ascii="MS PGothic" w:cs="MS PGothic" w:eastAsia="MS PGothic" w:hAnsi="MS PGothic"/>
                <w:sz w:val="22"/>
                <w:szCs w:val="22"/>
                <w:color w:val="auto"/>
              </w:rPr>
              <w:t>☐</w:t>
            </w:r>
          </w:p>
        </w:tc>
        <w:tc>
          <w:tcPr>
            <w:tcW w:w="4720" w:type="dxa"/>
            <w:vAlign w:val="bottom"/>
          </w:tcPr>
          <w:p>
            <w:pPr>
              <w:ind w:left="1680"/>
              <w:spacing w:after="0"/>
              <w:rPr>
                <w:sz w:val="20"/>
                <w:szCs w:val="20"/>
                <w:color w:val="auto"/>
              </w:rPr>
            </w:pPr>
            <w:r>
              <w:rPr>
                <w:rFonts w:ascii="Arial" w:cs="Arial" w:eastAsia="Arial" w:hAnsi="Arial"/>
                <w:sz w:val="22"/>
                <w:szCs w:val="22"/>
                <w:color w:val="auto"/>
              </w:rPr>
              <w:t>Smaller reporting company</w:t>
            </w:r>
          </w:p>
        </w:tc>
        <w:tc>
          <w:tcPr>
            <w:tcW w:w="880" w:type="dxa"/>
            <w:vAlign w:val="bottom"/>
          </w:tcPr>
          <w:p>
            <w:pPr>
              <w:ind w:left="70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2"/>
        </w:trPr>
        <w:tc>
          <w:tcPr>
            <w:tcW w:w="2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720" w:type="dxa"/>
            <w:vAlign w:val="bottom"/>
          </w:tcPr>
          <w:p>
            <w:pPr>
              <w:ind w:left="1680"/>
              <w:spacing w:after="0"/>
              <w:rPr>
                <w:sz w:val="20"/>
                <w:szCs w:val="20"/>
                <w:color w:val="auto"/>
              </w:rPr>
            </w:pPr>
            <w:r>
              <w:rPr>
                <w:rFonts w:ascii="Arial" w:cs="Arial" w:eastAsia="Arial" w:hAnsi="Arial"/>
                <w:sz w:val="22"/>
                <w:szCs w:val="22"/>
                <w:color w:val="auto"/>
              </w:rPr>
              <w:t>Emerging growth company</w:t>
            </w:r>
          </w:p>
        </w:tc>
        <w:tc>
          <w:tcPr>
            <w:tcW w:w="880" w:type="dxa"/>
            <w:vAlign w:val="bottom"/>
          </w:tcPr>
          <w:p>
            <w:pPr>
              <w:ind w:left="70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70" w:lineRule="exact"/>
        <w:rPr>
          <w:sz w:val="24"/>
          <w:szCs w:val="24"/>
          <w:color w:val="auto"/>
        </w:rPr>
      </w:pPr>
    </w:p>
    <w:p>
      <w:pPr>
        <w:jc w:val="both"/>
        <w:spacing w:after="0" w:line="279"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Vishay Intertechnology,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previously filed Registration Statements on Form S-8, File Nos. 333-144466 and 333-196143, with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on July 10, 2007 and May 21, 2014, respectively (the “</w:t>
      </w:r>
      <w:r>
        <w:rPr>
          <w:rFonts w:ascii="Arial" w:cs="Arial" w:eastAsia="Arial" w:hAnsi="Arial"/>
          <w:sz w:val="19"/>
          <w:szCs w:val="19"/>
          <w:u w:val="single" w:color="auto"/>
          <w:color w:val="auto"/>
        </w:rPr>
        <w:t>Prior Registration Statements</w:t>
      </w:r>
      <w:r>
        <w:rPr>
          <w:rFonts w:ascii="Arial" w:cs="Arial" w:eastAsia="Arial" w:hAnsi="Arial"/>
          <w:sz w:val="19"/>
          <w:szCs w:val="19"/>
          <w:color w:val="auto"/>
        </w:rPr>
        <w:t>”), with respect to an aggregate 6,500,000 shares of the Company’s common stock, par value $0.10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issuable under the Vishay Intertechnology, Inc. 2007 Stock Incentive Program, as amended and restated on May 20, 2014 (the “</w:t>
      </w:r>
      <w:r>
        <w:rPr>
          <w:rFonts w:ascii="Arial" w:cs="Arial" w:eastAsia="Arial" w:hAnsi="Arial"/>
          <w:sz w:val="19"/>
          <w:szCs w:val="19"/>
          <w:u w:val="single" w:color="auto"/>
          <w:color w:val="auto"/>
        </w:rPr>
        <w:t>Former Plan</w:t>
      </w:r>
      <w:r>
        <w:rPr>
          <w:rFonts w:ascii="Arial" w:cs="Arial" w:eastAsia="Arial" w:hAnsi="Arial"/>
          <w:sz w:val="19"/>
          <w:szCs w:val="19"/>
          <w:color w:val="auto"/>
        </w:rPr>
        <w:t>”) and predecessor plans.</w:t>
      </w:r>
    </w:p>
    <w:p>
      <w:pPr>
        <w:spacing w:after="0" w:line="16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On May 23, 2023 (the “</w:t>
      </w:r>
      <w:r>
        <w:rPr>
          <w:rFonts w:ascii="Arial" w:cs="Arial" w:eastAsia="Arial" w:hAnsi="Arial"/>
          <w:sz w:val="19"/>
          <w:szCs w:val="19"/>
          <w:u w:val="single" w:color="auto"/>
          <w:color w:val="auto"/>
        </w:rPr>
        <w:t>Effective Date</w:t>
      </w:r>
      <w:r>
        <w:rPr>
          <w:rFonts w:ascii="Arial" w:cs="Arial" w:eastAsia="Arial" w:hAnsi="Arial"/>
          <w:sz w:val="19"/>
          <w:szCs w:val="19"/>
          <w:color w:val="auto"/>
        </w:rPr>
        <w:t>”), the Company’s stockholders approved the Vishay Intertechnology, Inc. 2023 Long-Term Incentive Plan (the “</w:t>
      </w:r>
      <w:r>
        <w:rPr>
          <w:rFonts w:ascii="Arial" w:cs="Arial" w:eastAsia="Arial" w:hAnsi="Arial"/>
          <w:sz w:val="19"/>
          <w:szCs w:val="19"/>
          <w:u w:val="single" w:color="auto"/>
          <w:color w:val="auto"/>
        </w:rPr>
        <w:t>2023 Plan</w:t>
      </w:r>
      <w:r>
        <w:rPr>
          <w:rFonts w:ascii="Arial" w:cs="Arial" w:eastAsia="Arial" w:hAnsi="Arial"/>
          <w:sz w:val="19"/>
          <w:szCs w:val="19"/>
          <w:color w:val="auto"/>
        </w:rPr>
        <w:t>”) and, in connection therewith, no further awards will be made under the 2014 Plan. Pursuant to the terms of the 2023 Plan, (i) the number of shares of Common Stock that were subject to outstanding awards under the Former Plan as of the Effective Date that subsequently cease to be subject to such awards as a result of the termination, expiration, cancellation or forfeiture of such awards and (ii) the number of shares of Common Stock withheld on or after the Effective Date in settlement of tax withholding obligations associated with outstanding awards under the Former Plan (other than a stock option or stock appreciation right) (collectively, the “</w:t>
      </w:r>
      <w:r>
        <w:rPr>
          <w:rFonts w:ascii="Arial" w:cs="Arial" w:eastAsia="Arial" w:hAnsi="Arial"/>
          <w:sz w:val="19"/>
          <w:szCs w:val="19"/>
          <w:u w:val="single" w:color="auto"/>
          <w:color w:val="auto"/>
        </w:rPr>
        <w:t>Rollover Shares</w:t>
      </w:r>
      <w:r>
        <w:rPr>
          <w:rFonts w:ascii="Arial" w:cs="Arial" w:eastAsia="Arial" w:hAnsi="Arial"/>
          <w:sz w:val="19"/>
          <w:szCs w:val="19"/>
          <w:color w:val="auto"/>
        </w:rPr>
        <w:t>”), may become available for issuance under the 2023 Plan in accordance with the terms thereof. On the Effective Date, a total of 1,294,546 shares of Common Stock were subject to awards then outstanding under the Former Plan.</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Company is filing this Post-Effective Amendment No. 1 to Registration Statements on Form S-8 (this “</w:t>
      </w:r>
      <w:r>
        <w:rPr>
          <w:rFonts w:ascii="Arial" w:cs="Arial" w:eastAsia="Arial" w:hAnsi="Arial"/>
          <w:sz w:val="19"/>
          <w:szCs w:val="19"/>
          <w:u w:val="single" w:color="auto"/>
          <w:color w:val="auto"/>
        </w:rPr>
        <w:t>Post-Effective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Amendment</w:t>
      </w:r>
      <w:r>
        <w:rPr>
          <w:rFonts w:ascii="Arial" w:cs="Arial" w:eastAsia="Arial" w:hAnsi="Arial"/>
          <w:sz w:val="19"/>
          <w:szCs w:val="19"/>
          <w:color w:val="auto"/>
        </w:rPr>
        <w:t>”) pursuant to SEC Compliance and Disclosure Interpretation 126.43 to amend the Prior Registration Statements to register the offer of an aggregate of 1,294,546 shares of Common Stock under the 2023 Plan. For the avoidance of doubt, the Company is not hereby registering any additional shares of Common Stock that were not previously approved by the Company’s stockholders as of the Effective Date. Contemporaneously with the filing of this Post-Effective Amendment, the Company is filing a new registration statement on Form S-8 to register an additional 5,999,386 shares of Common Stock for issuance under the 2023 Plan, which was approved by the Company’s stockholders on the Effective Date.</w:t>
      </w:r>
    </w:p>
    <w:p>
      <w:pPr>
        <w:spacing w:after="0" w:line="173"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PART II</w:t>
      </w:r>
    </w:p>
    <w:p>
      <w:pPr>
        <w:spacing w:after="0" w:line="206"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INFORMATION REQUIRED IN THE</w:t>
      </w:r>
    </w:p>
    <w:p>
      <w:pPr>
        <w:spacing w:after="0" w:line="14"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REGISTRATION STATEMENT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Incorporation of Documents by Reference.</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following documents, which have been filed by Vishay Intertechnology, Inc. (the “</w:t>
      </w:r>
      <w:r>
        <w:rPr>
          <w:rFonts w:ascii="Arial" w:cs="Arial" w:eastAsia="Arial" w:hAnsi="Arial"/>
          <w:sz w:val="22"/>
          <w:szCs w:val="22"/>
          <w:u w:val="single" w:color="auto"/>
          <w:color w:val="auto"/>
        </w:rPr>
        <w:t>Company</w:t>
      </w:r>
      <w:r>
        <w:rPr>
          <w:rFonts w:ascii="Arial" w:cs="Arial" w:eastAsia="Arial" w:hAnsi="Arial"/>
          <w:sz w:val="22"/>
          <w:szCs w:val="22"/>
          <w:color w:val="auto"/>
        </w:rPr>
        <w:t>”) with the Commission pursuant to the Securities Exchange Act of 1934, as amended (the “</w:t>
      </w:r>
      <w:r>
        <w:rPr>
          <w:rFonts w:ascii="Arial" w:cs="Arial" w:eastAsia="Arial" w:hAnsi="Arial"/>
          <w:sz w:val="22"/>
          <w:szCs w:val="22"/>
          <w:u w:val="single" w:color="auto"/>
          <w:color w:val="auto"/>
        </w:rPr>
        <w:t>Exchange Act</w:t>
      </w:r>
      <w:r>
        <w:rPr>
          <w:rFonts w:ascii="Arial" w:cs="Arial" w:eastAsia="Arial" w:hAnsi="Arial"/>
          <w:sz w:val="22"/>
          <w:szCs w:val="22"/>
          <w:color w:val="auto"/>
        </w:rPr>
        <w:t>”), are incorporated in this Registration Statement by reference:</w:t>
      </w:r>
    </w:p>
    <w:p>
      <w:pPr>
        <w:spacing w:after="0" w:line="186" w:lineRule="exact"/>
        <w:rPr>
          <w:sz w:val="20"/>
          <w:szCs w:val="20"/>
          <w:color w:val="auto"/>
        </w:rPr>
      </w:pPr>
    </w:p>
    <w:p>
      <w:pPr>
        <w:ind w:firstLine="656"/>
        <w:spacing w:after="0" w:line="250" w:lineRule="auto"/>
        <w:tabs>
          <w:tab w:leader="none" w:pos="1536"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Company’s Annual Report on Form 10-K for the year ended December 31, 2022, as filed with the Commission on February 22, 2023;</w:t>
      </w:r>
    </w:p>
    <w:p>
      <w:pPr>
        <w:spacing w:after="0" w:line="174" w:lineRule="exact"/>
        <w:rPr>
          <w:rFonts w:ascii="Arial" w:cs="Arial" w:eastAsia="Arial" w:hAnsi="Arial"/>
          <w:sz w:val="22"/>
          <w:szCs w:val="22"/>
          <w:color w:val="auto"/>
        </w:rPr>
      </w:pPr>
    </w:p>
    <w:p>
      <w:pPr>
        <w:ind w:firstLine="656"/>
        <w:spacing w:after="0" w:line="250" w:lineRule="auto"/>
        <w:tabs>
          <w:tab w:leader="none" w:pos="1548"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Company’s Quarterly Report on Form 10-Q for the quarter ended April 1, 2023, as filed with the Commission on May 10, 2023;</w:t>
      </w:r>
    </w:p>
    <w:p>
      <w:pPr>
        <w:spacing w:after="0" w:line="174" w:lineRule="exact"/>
        <w:rPr>
          <w:rFonts w:ascii="Arial" w:cs="Arial" w:eastAsia="Arial" w:hAnsi="Arial"/>
          <w:sz w:val="22"/>
          <w:szCs w:val="22"/>
          <w:color w:val="auto"/>
        </w:rPr>
      </w:pPr>
    </w:p>
    <w:p>
      <w:pPr>
        <w:ind w:left="1540" w:hanging="884"/>
        <w:spacing w:after="0"/>
        <w:tabs>
          <w:tab w:leader="none" w:pos="1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Company’s Definitive Proxy Statement on Schedule 14A, as filed with the Commission on April 4, 2023;</w:t>
      </w:r>
    </w:p>
    <w:p>
      <w:pPr>
        <w:spacing w:after="0" w:line="240" w:lineRule="exact"/>
        <w:rPr>
          <w:rFonts w:ascii="Arial" w:cs="Arial" w:eastAsia="Arial" w:hAnsi="Arial"/>
          <w:sz w:val="19"/>
          <w:szCs w:val="19"/>
          <w:color w:val="auto"/>
        </w:rPr>
      </w:pPr>
    </w:p>
    <w:p>
      <w:pPr>
        <w:jc w:val="both"/>
        <w:ind w:firstLine="656"/>
        <w:spacing w:after="0" w:line="297" w:lineRule="auto"/>
        <w:tabs>
          <w:tab w:leader="none" w:pos="1548"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Company’s Current Report on Form 8-K (other than portions thereof furnished under Item 2.02 or Item 7.01 of Form 8-K and exhibits accompanying such reports that are related to such items) as filed with the Commission on February 8, 2023, February 21, 2023, March 16, 2023, March 24, 2023, May 8, 2023, May 15, 2023 and May 23, 2023; and</w:t>
      </w:r>
    </w:p>
    <w:p>
      <w:pPr>
        <w:spacing w:after="0" w:line="133" w:lineRule="exact"/>
        <w:rPr>
          <w:rFonts w:ascii="Arial" w:cs="Arial" w:eastAsia="Arial" w:hAnsi="Arial"/>
          <w:sz w:val="19"/>
          <w:szCs w:val="19"/>
          <w:color w:val="auto"/>
        </w:rPr>
      </w:pPr>
    </w:p>
    <w:p>
      <w:pPr>
        <w:ind w:firstLine="656"/>
        <w:spacing w:after="0" w:line="274" w:lineRule="auto"/>
        <w:tabs>
          <w:tab w:leader="none" w:pos="1536"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description of the Company’s Common Stock contained in Exhibit 4.1 to the Company’s Quarterly Report on Form 10-Q for the fiscal quarter ended October 1, 2022, as filed with the Commission on November 2, 2022.</w:t>
      </w:r>
    </w:p>
    <w:p>
      <w:pPr>
        <w:spacing w:after="0" w:line="15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All reports and other documents subsequently filed by the Company pursuant to Sections 13(a), 13(c), 14 and 15(d) of the Exchange Act after the date of this Registration Statement, but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spacing w:after="0" w:line="14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Description of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814" w:right="339" w:bottom="0" w:gutter="0" w:footer="0" w:header="0"/>
        </w:sectPr>
      </w:pPr>
    </w:p>
    <w:bookmarkStart w:id="2" w:name="page3"/>
    <w:bookmarkEnd w:id="2"/>
    <w:p>
      <w:pPr>
        <w:spacing w:after="0"/>
        <w:rPr>
          <w:sz w:val="20"/>
          <w:szCs w:val="20"/>
          <w:color w:val="auto"/>
        </w:rPr>
      </w:pPr>
      <w:r>
        <w:rPr>
          <w:rFonts w:ascii="Arial" w:cs="Arial" w:eastAsia="Arial" w:hAnsi="Arial"/>
          <w:sz w:val="19"/>
          <w:szCs w:val="19"/>
          <w:b w:val="1"/>
          <w:bCs w:val="1"/>
          <w:color w:val="auto"/>
        </w:rPr>
        <w:t>Item 5. Interests of Named Experts and Counsel.</w:t>
      </w:r>
    </w:p>
    <w:p>
      <w:pPr>
        <w:sectPr>
          <w:pgSz w:w="11900" w:h="16838" w:orient="portrait"/>
          <w:cols w:equalWidth="0" w:num="1">
            <w:col w:w="10139"/>
          </w:cols>
          <w:pgMar w:left="320" w:top="111" w:right="1440" w:bottom="1440" w:gutter="0" w:footer="0" w:header="0"/>
        </w:sect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b w:val="1"/>
          <w:bCs w:val="1"/>
          <w:color w:val="auto"/>
        </w:rPr>
        <w:t>Item 6. Indemnification of Directors and Officers.</w:t>
      </w:r>
    </w:p>
    <w:p>
      <w:pPr>
        <w:spacing w:after="0" w:line="2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The Company is organized under the laws of the State of Delaware. The General Corporation Law of the State of Delaware, as amended (the “</w:t>
      </w:r>
      <w:r>
        <w:rPr>
          <w:rFonts w:ascii="Arial" w:cs="Arial" w:eastAsia="Arial" w:hAnsi="Arial"/>
          <w:sz w:val="19"/>
          <w:szCs w:val="19"/>
          <w:u w:val="single" w:color="auto"/>
          <w:color w:val="auto"/>
        </w:rPr>
        <w:t>DGCL</w:t>
      </w:r>
      <w:r>
        <w:rPr>
          <w:rFonts w:ascii="Arial" w:cs="Arial" w:eastAsia="Arial" w:hAnsi="Arial"/>
          <w:sz w:val="19"/>
          <w:szCs w:val="19"/>
          <w:color w:val="auto"/>
        </w:rPr>
        <w:t>”), provides that a Delaware corporation has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or officer of the corporation or is or was serving at the request of the corporation as a director, officer, employee or agent of another corporation, partnership, joint venture, trust or other enterprise, against expense, liability or loss (including attorneys’ fees, judgments, fines and amounts paid in settlement)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In the case of an action or suit brought by or in the right of the corporation, indemnification of any director, officer and other agent against expenses actually and reasonably incurred by such person in connection with the defense or settlement of such action or suit is permitted if such person acted in good faith and in a manner the person reasonably believed to be in or not opposed to the best interests of the corporation; however, no indemnification is permitted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Article Ninth of the Company’s Corrected Amended and Restated Certificate of Incorporation provides for the indemnification of any person (and the heirs, executors and administrators of such person) who is or was a director, officer, employee or agent of the Company or of any other company, including another corporation, partnership, joint venture, trust or other enterprise which such person serves or served as such at the request of the Company, in connection with or resulting from any action, suit, proceeding, investigation or claim, civil, criminal, administrative, legislative or other (including any criminal action, suit or proceeding in which such person enters a plea of guilty or nolo contendere or its equivalent), or any appeal relating thereto, which is brought or threatened either by or in the right of the Corporation or such other company (herein called a ”derivative action”) or by any other person, governmental authority or instrumentality (herein called a ”third-party action”) and in which such person is made a party or is otherwise involved by reason of such person being or having been such director, officer, employee or agent or by reason of any action or omission, or alleged action or omission by such person in such person’s capacity as such director, officer, employee or agent, to the fullest extent permitted by the DGCL and specifies procedures to be followed by the Company and any person requesting indemnification in connection with any claim.</w:t>
      </w:r>
    </w:p>
    <w:p>
      <w:pPr>
        <w:spacing w:after="0" w:line="2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Under the DGCL, a Delaware corporation has the power to purchase and maintain insurance on behalf of any director, officer, employee or other agent of the Company or, if serving in such capacity at the request of the Company, of another enterprise, against any liability asserted against such person and incurred by such person in any such capacity, or arising out of such person’s status as such, whether or not the corporation has the power to indemnify such person against such liability under the DGCL. The Company has purchased directors and officers liability insurance. A Delaware corporation also may, with certain limitations, set forth in its certificate of incorporation a provision eliminating or limiting the personal liability of a director or officer to the corporation or its stockholders for monetary damages for breach of a fiduciary duty as a director or officer, provided that such provision shall not eliminate or limit the liability of (1) a director or officer for any breach of the director’s or officer’s duty of loyalty to the Company or its stockholders, (2) a director or officer for acts or omissions not in good faith or which involve intentional misconduct or a knowing violation of law, (3) a director under Section 174 of the DGCL (relating to unlawful payments of dividends or stock repurchases), (4) a director or officer for any transaction from which the director derived an improper personal benefit, or (5) an officer in any action by or in the right of the Company. Article Ninth of the Company’s Corrected Amended and Restated Certificate of Incorporation includes such a provision.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Exemption From Registration Claimed.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Item 8. Exhibits.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exhibits filed as part of this Registration Statement are as follows:</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b w:val="1"/>
          <w:bCs w:val="1"/>
          <w:u w:val="single" w:color="auto"/>
          <w:color w:val="auto"/>
        </w:rPr>
        <w:t>Exhibit</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Number  Description</w:t>
      </w:r>
    </w:p>
    <w:p>
      <w:pPr>
        <w:ind w:left="440"/>
        <w:spacing w:after="0"/>
        <w:tabs>
          <w:tab w:leader="none" w:pos="1120" w:val="left"/>
        </w:tabs>
        <w:rPr>
          <w:rFonts w:ascii="Arial" w:cs="Arial" w:eastAsia="Arial" w:hAnsi="Arial"/>
          <w:sz w:val="19"/>
          <w:szCs w:val="19"/>
          <w:u w:val="single" w:color="auto"/>
          <w:color w:val="0000EE"/>
        </w:rPr>
      </w:pPr>
      <w:hyperlink r:id="rId11">
        <w:r>
          <w:rPr>
            <w:rFonts w:ascii="Arial" w:cs="Arial" w:eastAsia="Arial" w:hAnsi="Arial"/>
            <w:sz w:val="22"/>
            <w:szCs w:val="22"/>
            <w:u w:val="single" w:color="auto"/>
            <w:color w:val="0000EE"/>
          </w:rPr>
          <w:t>4.1</w:t>
        </w:r>
      </w:hyperlink>
      <w:r>
        <w:rPr>
          <w:rFonts w:ascii="Arial" w:cs="Arial" w:eastAsia="Arial" w:hAnsi="Arial"/>
          <w:sz w:val="22"/>
          <w:szCs w:val="22"/>
          <w:u w:val="single" w:color="auto"/>
          <w:color w:val="0000EE"/>
        </w:rPr>
        <w:tab/>
      </w:r>
      <w:hyperlink r:id="rId11">
        <w:r>
          <w:rPr>
            <w:rFonts w:ascii="Arial" w:cs="Arial" w:eastAsia="Arial" w:hAnsi="Arial"/>
            <w:sz w:val="19"/>
            <w:szCs w:val="19"/>
            <w:u w:val="single" w:color="auto"/>
            <w:color w:val="0000EE"/>
          </w:rPr>
          <w:t>Corrected Amended and Restated Certificate of Incorporation of Vishay Intertechnology, Inc. dated June 5,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1140"/>
        <w:spacing w:after="0"/>
        <w:rPr>
          <w:rFonts w:ascii="Arial" w:cs="Arial" w:eastAsia="Arial" w:hAnsi="Arial"/>
          <w:sz w:val="21"/>
          <w:szCs w:val="21"/>
          <w:u w:val="single" w:color="auto"/>
          <w:color w:val="0000EE"/>
        </w:rPr>
      </w:pPr>
      <w:hyperlink r:id="rId11">
        <w:r>
          <w:rPr>
            <w:rFonts w:ascii="Arial" w:cs="Arial" w:eastAsia="Arial" w:hAnsi="Arial"/>
            <w:sz w:val="21"/>
            <w:szCs w:val="21"/>
            <w:u w:val="single" w:color="auto"/>
            <w:color w:val="0000EE"/>
          </w:rPr>
          <w:t>Incorporated by reference to Exhibit 3.1 to the Company’s current report on Form 8-K filed June 5, 2012.</w:t>
        </w:r>
      </w:hyperlink>
    </w:p>
    <w:p>
      <w:pPr>
        <w:spacing w:after="0" w:line="2" w:lineRule="exact"/>
        <w:rPr>
          <w:sz w:val="20"/>
          <w:szCs w:val="20"/>
          <w:color w:val="auto"/>
        </w:rPr>
      </w:pPr>
    </w:p>
    <w:p>
      <w:pPr>
        <w:jc w:val="both"/>
        <w:ind w:left="1140" w:hanging="695"/>
        <w:spacing w:after="0" w:line="230" w:lineRule="auto"/>
        <w:tabs>
          <w:tab w:leader="none" w:pos="1120" w:val="left"/>
        </w:tabs>
        <w:rPr>
          <w:rFonts w:ascii="Arial" w:cs="Arial" w:eastAsia="Arial" w:hAnsi="Arial"/>
          <w:sz w:val="22"/>
          <w:szCs w:val="22"/>
          <w:u w:val="single" w:color="auto"/>
          <w:color w:val="0000EE"/>
        </w:rPr>
      </w:pPr>
      <w:hyperlink r:id="rId13">
        <w:r>
          <w:rPr>
            <w:rFonts w:ascii="Arial" w:cs="Arial" w:eastAsia="Arial" w:hAnsi="Arial"/>
            <w:sz w:val="22"/>
            <w:szCs w:val="22"/>
            <w:u w:val="single" w:color="auto"/>
            <w:color w:val="0000EE"/>
          </w:rPr>
          <w:t>4.2</w:t>
        </w:r>
      </w:hyperlink>
      <w:r>
        <w:rPr>
          <w:rFonts w:ascii="Arial" w:cs="Arial" w:eastAsia="Arial" w:hAnsi="Arial"/>
          <w:sz w:val="22"/>
          <w:szCs w:val="22"/>
          <w:u w:val="single" w:color="auto"/>
          <w:color w:val="0000EE"/>
        </w:rPr>
        <w:tab/>
      </w:r>
      <w:hyperlink r:id="rId13">
        <w:r>
          <w:rPr>
            <w:rFonts w:ascii="Arial" w:cs="Arial" w:eastAsia="Arial" w:hAnsi="Arial"/>
            <w:sz w:val="22"/>
            <w:szCs w:val="22"/>
            <w:u w:val="single" w:color="auto"/>
            <w:color w:val="0000EE"/>
          </w:rPr>
          <w:t>Amended and Restated Bylaws dated June 1, 2011. Incorporated by reference to Exhibit 3.2 to the Company’s</w:t>
        </w:r>
      </w:hyperlink>
      <w:r>
        <w:rPr>
          <w:rFonts w:ascii="Arial" w:cs="Arial" w:eastAsia="Arial" w:hAnsi="Arial"/>
          <w:sz w:val="22"/>
          <w:szCs w:val="22"/>
          <w:u w:val="single" w:color="auto"/>
          <w:color w:val="0000EE"/>
        </w:rPr>
        <w:t xml:space="preserve"> </w:t>
      </w:r>
      <w:hyperlink r:id="rId13">
        <w:r>
          <w:rPr>
            <w:rFonts w:ascii="Arial" w:cs="Arial" w:eastAsia="Arial" w:hAnsi="Arial"/>
            <w:sz w:val="22"/>
            <w:szCs w:val="22"/>
            <w:u w:val="single" w:color="auto"/>
            <w:color w:val="0000EE"/>
          </w:rPr>
          <w:t>current report on Form 8-K filed June 2, 2011.</w:t>
        </w:r>
      </w:hyperlink>
    </w:p>
    <w:p>
      <w:pPr>
        <w:spacing w:after="0" w:line="1" w:lineRule="exact"/>
        <w:rPr>
          <w:rFonts w:ascii="Arial" w:cs="Arial" w:eastAsia="Arial" w:hAnsi="Arial"/>
          <w:sz w:val="22"/>
          <w:szCs w:val="22"/>
          <w:u w:val="single" w:color="auto"/>
          <w:color w:val="0000EE"/>
        </w:rPr>
      </w:pPr>
    </w:p>
    <w:p>
      <w:pPr>
        <w:jc w:val="both"/>
        <w:ind w:left="1140" w:hanging="695"/>
        <w:spacing w:after="0" w:line="230" w:lineRule="auto"/>
        <w:tabs>
          <w:tab w:leader="none" w:pos="1120" w:val="left"/>
        </w:tabs>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4.3</w:t>
        </w:r>
      </w:hyperlink>
      <w:r>
        <w:rPr>
          <w:rFonts w:ascii="Arial" w:cs="Arial" w:eastAsia="Arial" w:hAnsi="Arial"/>
          <w:sz w:val="22"/>
          <w:szCs w:val="22"/>
          <w:u w:val="single" w:color="auto"/>
          <w:color w:val="0000EE"/>
        </w:rPr>
        <w:tab/>
      </w:r>
      <w:hyperlink r:id="rId14">
        <w:r>
          <w:rPr>
            <w:rFonts w:ascii="Arial" w:cs="Arial" w:eastAsia="Arial" w:hAnsi="Arial"/>
            <w:sz w:val="22"/>
            <w:szCs w:val="22"/>
            <w:u w:val="single" w:color="auto"/>
            <w:color w:val="0000EE"/>
          </w:rPr>
          <w:t>First Amendment to Amended and Restated Bylaws. Incorporated by reference to Exhibit 3.1 to the Company’s</w:t>
        </w:r>
      </w:hyperlink>
      <w:r>
        <w:rPr>
          <w:rFonts w:ascii="Arial" w:cs="Arial" w:eastAsia="Arial" w:hAnsi="Arial"/>
          <w:sz w:val="22"/>
          <w:szCs w:val="22"/>
          <w:u w:val="single" w:color="auto"/>
          <w:color w:val="0000EE"/>
        </w:rPr>
        <w:t xml:space="preserve"> </w:t>
      </w:r>
      <w:hyperlink r:id="rId14">
        <w:r>
          <w:rPr>
            <w:rFonts w:ascii="Arial" w:cs="Arial" w:eastAsia="Arial" w:hAnsi="Arial"/>
            <w:sz w:val="22"/>
            <w:szCs w:val="22"/>
            <w:u w:val="single" w:color="auto"/>
            <w:color w:val="0000EE"/>
          </w:rPr>
          <w:t>Current Report on Form 8-K, filed August 11, 2015.</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both"/>
        <w:ind w:left="1140" w:hanging="695"/>
        <w:spacing w:after="0" w:line="230" w:lineRule="auto"/>
        <w:tabs>
          <w:tab w:leader="none" w:pos="1120" w:val="left"/>
        </w:tabs>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4.4</w:t>
        </w:r>
      </w:hyperlink>
      <w:r>
        <w:rPr>
          <w:rFonts w:ascii="Arial" w:cs="Arial" w:eastAsia="Arial" w:hAnsi="Arial"/>
          <w:sz w:val="22"/>
          <w:szCs w:val="22"/>
          <w:u w:val="single" w:color="auto"/>
          <w:color w:val="0000EE"/>
        </w:rPr>
        <w:tab/>
      </w:r>
      <w:hyperlink r:id="rId16">
        <w:r>
          <w:rPr>
            <w:rFonts w:ascii="Arial" w:cs="Arial" w:eastAsia="Arial" w:hAnsi="Arial"/>
            <w:sz w:val="22"/>
            <w:szCs w:val="22"/>
            <w:u w:val="single" w:color="auto"/>
            <w:color w:val="0000EE"/>
          </w:rPr>
          <w:t>Second Amendment to Amended and Restated Bylaws. Incorporated by reference to Exhibit 3.1 to the Company’s</w:t>
        </w:r>
      </w:hyperlink>
      <w:r>
        <w:rPr>
          <w:rFonts w:ascii="Arial" w:cs="Arial" w:eastAsia="Arial" w:hAnsi="Arial"/>
          <w:sz w:val="22"/>
          <w:szCs w:val="22"/>
          <w:u w:val="single" w:color="auto"/>
          <w:color w:val="0000EE"/>
        </w:rPr>
        <w:t xml:space="preserve"> </w:t>
      </w:r>
      <w:hyperlink r:id="rId16">
        <w:r>
          <w:rPr>
            <w:rFonts w:ascii="Arial" w:cs="Arial" w:eastAsia="Arial" w:hAnsi="Arial"/>
            <w:sz w:val="22"/>
            <w:szCs w:val="22"/>
            <w:u w:val="single" w:color="auto"/>
            <w:color w:val="0000EE"/>
          </w:rPr>
          <w:t>Current Report on Form 8-K, filed February 21, 2023.</w:t>
        </w:r>
      </w:hyperlink>
    </w:p>
    <w:p>
      <w:pPr>
        <w:spacing w:after="0" w:line="1" w:lineRule="exact"/>
        <w:rPr>
          <w:rFonts w:ascii="Arial" w:cs="Arial" w:eastAsia="Arial" w:hAnsi="Arial"/>
          <w:sz w:val="22"/>
          <w:szCs w:val="22"/>
          <w:u w:val="single" w:color="auto"/>
          <w:color w:val="0000EE"/>
        </w:rPr>
      </w:pPr>
    </w:p>
    <w:p>
      <w:pPr>
        <w:jc w:val="both"/>
        <w:ind w:left="1140" w:hanging="695"/>
        <w:spacing w:after="0" w:line="230" w:lineRule="auto"/>
        <w:tabs>
          <w:tab w:leader="none" w:pos="1120" w:val="left"/>
        </w:tabs>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5.1</w:t>
        </w:r>
      </w:hyperlink>
      <w:r>
        <w:rPr>
          <w:rFonts w:ascii="Arial" w:cs="Arial" w:eastAsia="Arial" w:hAnsi="Arial"/>
          <w:sz w:val="22"/>
          <w:szCs w:val="22"/>
          <w:u w:val="single" w:color="auto"/>
          <w:color w:val="0000EE"/>
        </w:rPr>
        <w:tab/>
      </w:r>
      <w:hyperlink r:id="rId17">
        <w:r>
          <w:rPr>
            <w:rFonts w:ascii="Arial" w:cs="Arial" w:eastAsia="Arial" w:hAnsi="Arial"/>
            <w:sz w:val="22"/>
            <w:szCs w:val="22"/>
            <w:u w:val="single" w:color="auto"/>
            <w:color w:val="0000EE"/>
          </w:rPr>
          <w:t>Opinion of Kramer Levin Naftalis &amp; Frankel LLP as to the legality of the securities being registered with respect to</w:t>
        </w:r>
      </w:hyperlink>
      <w:r>
        <w:rPr>
          <w:rFonts w:ascii="Arial" w:cs="Arial" w:eastAsia="Arial" w:hAnsi="Arial"/>
          <w:sz w:val="22"/>
          <w:szCs w:val="22"/>
          <w:u w:val="single" w:color="auto"/>
          <w:color w:val="0000EE"/>
        </w:rPr>
        <w:t xml:space="preserve"> </w:t>
      </w:r>
      <w:hyperlink r:id="rId17">
        <w:r>
          <w:rPr>
            <w:rFonts w:ascii="Arial" w:cs="Arial" w:eastAsia="Arial" w:hAnsi="Arial"/>
            <w:sz w:val="22"/>
            <w:szCs w:val="22"/>
            <w:u w:val="single" w:color="auto"/>
            <w:color w:val="0000EE"/>
          </w:rPr>
          <w:t>the Former Plan, dated July 10, 2007, incorporated herein by reference to Exhibit 5.1 to the Company’s Registration</w:t>
        </w:r>
      </w:hyperlink>
      <w:r>
        <w:rPr>
          <w:rFonts w:ascii="Arial" w:cs="Arial" w:eastAsia="Arial" w:hAnsi="Arial"/>
          <w:sz w:val="22"/>
          <w:szCs w:val="22"/>
          <w:u w:val="single" w:color="auto"/>
          <w:color w:val="0000EE"/>
        </w:rPr>
        <w:t xml:space="preserve"> </w:t>
      </w:r>
      <w:hyperlink r:id="rId17">
        <w:r>
          <w:rPr>
            <w:rFonts w:ascii="Arial" w:cs="Arial" w:eastAsia="Arial" w:hAnsi="Arial"/>
            <w:sz w:val="22"/>
            <w:szCs w:val="22"/>
            <w:u w:val="single" w:color="auto"/>
            <w:color w:val="0000EE"/>
          </w:rPr>
          <w:t>Statement on Form S-8, filed on July 10, 2007 (File No. 333-144466).</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jc w:val="both"/>
        <w:ind w:left="1140" w:hanging="695"/>
        <w:spacing w:after="0" w:line="266" w:lineRule="auto"/>
        <w:tabs>
          <w:tab w:leader="none" w:pos="1120" w:val="left"/>
        </w:tabs>
        <w:rPr>
          <w:rFonts w:ascii="Arial" w:cs="Arial" w:eastAsia="Arial" w:hAnsi="Arial"/>
          <w:sz w:val="19"/>
          <w:szCs w:val="19"/>
          <w:u w:val="single" w:color="auto"/>
          <w:color w:val="0000EE"/>
        </w:rPr>
      </w:pPr>
      <w:hyperlink r:id="rId19">
        <w:r>
          <w:rPr>
            <w:rFonts w:ascii="Arial" w:cs="Arial" w:eastAsia="Arial" w:hAnsi="Arial"/>
            <w:sz w:val="22"/>
            <w:szCs w:val="22"/>
            <w:u w:val="single" w:color="auto"/>
            <w:color w:val="0000EE"/>
          </w:rPr>
          <w:t>5.2</w:t>
        </w:r>
      </w:hyperlink>
      <w:r>
        <w:rPr>
          <w:rFonts w:ascii="Arial" w:cs="Arial" w:eastAsia="Arial" w:hAnsi="Arial"/>
          <w:sz w:val="22"/>
          <w:szCs w:val="22"/>
          <w:u w:val="single" w:color="auto"/>
          <w:color w:val="0000EE"/>
        </w:rPr>
        <w:tab/>
      </w:r>
      <w:hyperlink r:id="rId19">
        <w:r>
          <w:rPr>
            <w:rFonts w:ascii="Arial" w:cs="Arial" w:eastAsia="Arial" w:hAnsi="Arial"/>
            <w:sz w:val="19"/>
            <w:szCs w:val="19"/>
            <w:u w:val="single" w:color="auto"/>
            <w:color w:val="0000EE"/>
          </w:rPr>
          <w:t>Opinion of Pepper Hamilton LLP (included in Exhibit 5.1 to this Registration Statement) as to the legality of the</w:t>
        </w:r>
      </w:hyperlink>
      <w:r>
        <w:rPr>
          <w:rFonts w:ascii="Arial" w:cs="Arial" w:eastAsia="Arial" w:hAnsi="Arial"/>
          <w:sz w:val="19"/>
          <w:szCs w:val="19"/>
          <w:u w:val="single" w:color="auto"/>
          <w:color w:val="0000EE"/>
        </w:rPr>
        <w:t xml:space="preserve"> </w:t>
      </w:r>
      <w:hyperlink r:id="rId19">
        <w:r>
          <w:rPr>
            <w:rFonts w:ascii="Arial" w:cs="Arial" w:eastAsia="Arial" w:hAnsi="Arial"/>
            <w:sz w:val="19"/>
            <w:szCs w:val="19"/>
            <w:u w:val="single" w:color="auto"/>
            <w:color w:val="0000EE"/>
          </w:rPr>
          <w:t>securities being registered with respect to the Former Plan, dated May 21, 2014, incorporated herein by reference to</w:t>
        </w:r>
      </w:hyperlink>
      <w:r>
        <w:rPr>
          <w:rFonts w:ascii="Arial" w:cs="Arial" w:eastAsia="Arial" w:hAnsi="Arial"/>
          <w:sz w:val="19"/>
          <w:szCs w:val="19"/>
          <w:u w:val="single" w:color="auto"/>
          <w:color w:val="0000EE"/>
        </w:rPr>
        <w:t xml:space="preserve"> </w:t>
      </w:r>
      <w:hyperlink r:id="rId19">
        <w:r>
          <w:rPr>
            <w:rFonts w:ascii="Arial" w:cs="Arial" w:eastAsia="Arial" w:hAnsi="Arial"/>
            <w:sz w:val="19"/>
            <w:szCs w:val="19"/>
            <w:u w:val="single" w:color="auto"/>
            <w:color w:val="0000EE"/>
          </w:rPr>
          <w:t>Exhibit 5.1 to the Company’s Registration Statement on Form S-8, filed on May 21, 2014 (File No. 333-196143).</w:t>
        </w:r>
      </w:hyperlink>
    </w:p>
    <w:p>
      <w:pPr>
        <w:spacing w:after="0" w:line="3" w:lineRule="exact"/>
        <w:rPr>
          <w:rFonts w:ascii="Arial" w:cs="Arial" w:eastAsia="Arial" w:hAnsi="Arial"/>
          <w:sz w:val="19"/>
          <w:szCs w:val="19"/>
          <w:u w:val="single" w:color="auto"/>
          <w:color w:val="0000EE"/>
        </w:rPr>
      </w:pPr>
    </w:p>
    <w:p>
      <w:pPr>
        <w:jc w:val="both"/>
        <w:ind w:left="1140" w:hanging="749"/>
        <w:spacing w:after="0" w:line="230" w:lineRule="auto"/>
        <w:tabs>
          <w:tab w:leader="none" w:pos="1120" w:val="left"/>
        </w:tabs>
        <w:rPr>
          <w:sz w:val="20"/>
          <w:szCs w:val="20"/>
          <w:color w:val="auto"/>
        </w:rPr>
      </w:pPr>
      <w:r>
        <w:rPr>
          <w:rFonts w:ascii="Arial" w:cs="Arial" w:eastAsia="Arial" w:hAnsi="Arial"/>
          <w:sz w:val="22"/>
          <w:szCs w:val="22"/>
          <w:u w:val="single" w:color="auto"/>
          <w:color w:val="0000EE"/>
        </w:rPr>
        <w:t>5.3*</w:t>
      </w:r>
      <w:r>
        <w:rPr>
          <w:sz w:val="20"/>
          <w:szCs w:val="20"/>
          <w:color w:val="auto"/>
        </w:rPr>
        <w:tab/>
      </w:r>
      <w:r>
        <w:rPr>
          <w:rFonts w:ascii="Arial" w:cs="Arial" w:eastAsia="Arial" w:hAnsi="Arial"/>
          <w:sz w:val="22"/>
          <w:szCs w:val="22"/>
          <w:u w:val="single" w:color="auto"/>
          <w:color w:val="0000EE"/>
        </w:rPr>
        <w:t>Opinion of Troutman Pepper Hamilton Sanders LLP as to the legality of the shares of Common Stock which may be issued by the Company under the 2023 Plan that were previously registered with respect to the Former Plan, dated May 23, 2023.</w:t>
      </w:r>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462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ind w:left="320"/>
        <w:spacing w:after="0"/>
        <w:tabs>
          <w:tab w:leader="none" w:pos="1120" w:val="left"/>
        </w:tabs>
        <w:rPr>
          <w:sz w:val="20"/>
          <w:szCs w:val="20"/>
          <w:color w:val="auto"/>
        </w:rPr>
      </w:pPr>
      <w:r>
        <w:rPr>
          <w:rFonts w:ascii="Arial" w:cs="Arial" w:eastAsia="Arial" w:hAnsi="Arial"/>
          <w:sz w:val="22"/>
          <w:szCs w:val="22"/>
          <w:u w:val="single" w:color="auto"/>
          <w:color w:val="0000EE"/>
        </w:rPr>
        <w:t>23.1*</w:t>
      </w:r>
      <w:r>
        <w:rPr>
          <w:sz w:val="20"/>
          <w:szCs w:val="20"/>
          <w:color w:val="auto"/>
        </w:rPr>
        <w:tab/>
      </w:r>
      <w:r>
        <w:rPr>
          <w:rFonts w:ascii="Arial" w:cs="Arial" w:eastAsia="Arial" w:hAnsi="Arial"/>
          <w:sz w:val="19"/>
          <w:szCs w:val="19"/>
          <w:u w:val="single" w:color="auto"/>
          <w:color w:val="0000EE"/>
        </w:rPr>
        <w:t>Consent of Ernst &amp; Young LLP.</w:t>
      </w:r>
    </w:p>
    <w:p>
      <w:pPr>
        <w:ind w:left="320"/>
        <w:spacing w:after="0"/>
        <w:tabs>
          <w:tab w:leader="none" w:pos="1120" w:val="left"/>
        </w:tabs>
        <w:rPr>
          <w:sz w:val="20"/>
          <w:szCs w:val="20"/>
          <w:color w:val="auto"/>
        </w:rPr>
      </w:pPr>
      <w:r>
        <w:rPr>
          <w:rFonts w:ascii="Arial" w:cs="Arial" w:eastAsia="Arial" w:hAnsi="Arial"/>
          <w:sz w:val="22"/>
          <w:szCs w:val="22"/>
          <w:u w:val="single" w:color="auto"/>
          <w:color w:val="0000EE"/>
        </w:rPr>
        <w:t>23.2*</w:t>
      </w:r>
      <w:r>
        <w:rPr>
          <w:sz w:val="20"/>
          <w:szCs w:val="20"/>
          <w:color w:val="auto"/>
        </w:rPr>
        <w:tab/>
      </w:r>
      <w:r>
        <w:rPr>
          <w:rFonts w:ascii="Arial" w:cs="Arial" w:eastAsia="Arial" w:hAnsi="Arial"/>
          <w:sz w:val="19"/>
          <w:szCs w:val="19"/>
          <w:u w:val="single" w:color="auto"/>
          <w:color w:val="0000EE"/>
        </w:rPr>
        <w:t>Consent of Troutman Pepper Hamilton Sanders LLP (contained in Exhibit 5.3).</w:t>
      </w:r>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320"/>
        <w:spacing w:after="0"/>
        <w:tabs>
          <w:tab w:leader="none" w:pos="112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19"/>
          <w:szCs w:val="19"/>
          <w:color w:val="auto"/>
        </w:rPr>
        <w:t>Power of Attorney (set forth on the signature page of this Registration Statement).</w:t>
      </w:r>
    </w:p>
    <w:p>
      <w:pPr>
        <w:spacing w:after="0"/>
        <w:rPr>
          <w:sz w:val="20"/>
          <w:szCs w:val="20"/>
          <w:color w:val="auto"/>
        </w:rPr>
      </w:pPr>
      <w:r>
        <w:rPr>
          <w:rFonts w:ascii="Arial" w:cs="Arial" w:eastAsia="Arial" w:hAnsi="Arial"/>
          <w:sz w:val="22"/>
          <w:szCs w:val="22"/>
          <w:color w:val="auto"/>
        </w:rPr>
        <w:t>* Filed herewith.</w:t>
      </w:r>
    </w:p>
    <w:p>
      <w:pPr>
        <w:spacing w:after="0" w:line="209" w:lineRule="exact"/>
        <w:rPr>
          <w:rFonts w:ascii="Arial" w:cs="Arial" w:eastAsia="Arial" w:hAnsi="Arial"/>
          <w:sz w:val="19"/>
          <w:szCs w:val="19"/>
          <w:u w:val="single" w:color="auto"/>
          <w:color w:val="0000EE"/>
        </w:rPr>
      </w:pPr>
    </w:p>
    <w:p>
      <w:pPr>
        <w:spacing w:after="0"/>
        <w:rPr>
          <w:sz w:val="20"/>
          <w:szCs w:val="20"/>
          <w:color w:val="auto"/>
        </w:rPr>
      </w:pPr>
      <w:r>
        <w:rPr>
          <w:rFonts w:ascii="Arial" w:cs="Arial" w:eastAsia="Arial" w:hAnsi="Arial"/>
          <w:sz w:val="22"/>
          <w:szCs w:val="22"/>
          <w:b w:val="1"/>
          <w:bCs w:val="1"/>
          <w:color w:val="auto"/>
        </w:rPr>
        <w:t>Item 9. Undertakings.</w:t>
      </w:r>
    </w:p>
    <w:p>
      <w:pPr>
        <w:spacing w:after="0" w:line="212" w:lineRule="exact"/>
        <w:rPr>
          <w:rFonts w:ascii="Arial" w:cs="Arial" w:eastAsia="Arial" w:hAnsi="Arial"/>
          <w:sz w:val="19"/>
          <w:szCs w:val="19"/>
          <w:u w:val="single" w:color="auto"/>
          <w:color w:val="0000EE"/>
        </w:rPr>
      </w:pPr>
    </w:p>
    <w:p>
      <w:pPr>
        <w:ind w:left="1020" w:hanging="947"/>
        <w:spacing w:after="0"/>
        <w:tabs>
          <w:tab w:leader="none" w:pos="102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undersigned registrant hereby undertakes:</w:t>
      </w:r>
    </w:p>
    <w:p>
      <w:pPr>
        <w:spacing w:after="0" w:line="206" w:lineRule="exact"/>
        <w:rPr>
          <w:rFonts w:ascii="Arial" w:cs="Arial" w:eastAsia="Arial" w:hAnsi="Arial"/>
          <w:sz w:val="22"/>
          <w:szCs w:val="22"/>
          <w:color w:val="auto"/>
        </w:rPr>
      </w:pPr>
    </w:p>
    <w:p>
      <w:pPr>
        <w:ind w:left="80" w:firstLine="706"/>
        <w:spacing w:after="0" w:line="250" w:lineRule="auto"/>
        <w:tabs>
          <w:tab w:leader="none" w:pos="1693" w:val="left"/>
        </w:tabs>
        <w:numPr>
          <w:ilvl w:val="1"/>
          <w:numId w:val="4"/>
        </w:numPr>
        <w:rPr>
          <w:rFonts w:ascii="Arial" w:cs="Arial" w:eastAsia="Arial" w:hAnsi="Arial"/>
          <w:sz w:val="22"/>
          <w:szCs w:val="22"/>
          <w:color w:val="auto"/>
        </w:rPr>
      </w:pPr>
      <w:r>
        <w:rPr>
          <w:rFonts w:ascii="Arial" w:cs="Arial" w:eastAsia="Arial" w:hAnsi="Arial"/>
          <w:sz w:val="22"/>
          <w:szCs w:val="22"/>
          <w:color w:val="auto"/>
        </w:rPr>
        <w:t>To file, during any period in which offers or sales are being made, a post-effective amendment to this registration statement:</w:t>
      </w:r>
    </w:p>
    <w:p>
      <w:pPr>
        <w:spacing w:after="0" w:line="175" w:lineRule="exact"/>
        <w:rPr>
          <w:rFonts w:ascii="Arial" w:cs="Arial" w:eastAsia="Arial" w:hAnsi="Arial"/>
          <w:sz w:val="19"/>
          <w:szCs w:val="19"/>
          <w:u w:val="single" w:color="auto"/>
          <w:color w:val="0000EE"/>
        </w:rPr>
      </w:pPr>
    </w:p>
    <w:p>
      <w:pPr>
        <w:ind w:left="2080" w:hanging="425"/>
        <w:spacing w:after="0" w:line="250" w:lineRule="auto"/>
        <w:tabs>
          <w:tab w:leader="none" w:pos="20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To include any prospectus required by Section 10(a)(3) of the Securities Act of 1933, as amended (the “</w:t>
      </w:r>
      <w:r>
        <w:rPr>
          <w:rFonts w:ascii="Arial" w:cs="Arial" w:eastAsia="Arial" w:hAnsi="Arial"/>
          <w:sz w:val="22"/>
          <w:szCs w:val="22"/>
          <w:u w:val="single" w:color="auto"/>
          <w:color w:val="auto"/>
        </w:rPr>
        <w:t>Securities Act</w:t>
      </w:r>
      <w:r>
        <w:rPr>
          <w:rFonts w:ascii="Arial" w:cs="Arial" w:eastAsia="Arial" w:hAnsi="Arial"/>
          <w:sz w:val="22"/>
          <w:szCs w:val="22"/>
          <w:color w:val="auto"/>
        </w:rPr>
        <w:t>”);</w:t>
      </w:r>
    </w:p>
    <w:p>
      <w:pPr>
        <w:spacing w:after="0" w:line="175" w:lineRule="exact"/>
        <w:rPr>
          <w:rFonts w:ascii="Arial" w:cs="Arial" w:eastAsia="Arial" w:hAnsi="Arial"/>
          <w:sz w:val="19"/>
          <w:szCs w:val="19"/>
          <w:u w:val="single" w:color="auto"/>
          <w:color w:val="0000EE"/>
        </w:rPr>
      </w:pPr>
    </w:p>
    <w:p>
      <w:pPr>
        <w:jc w:val="both"/>
        <w:ind w:left="2080" w:hanging="455"/>
        <w:spacing w:after="0" w:line="274" w:lineRule="auto"/>
        <w:tabs>
          <w:tab w:leader="none" w:pos="2080" w:val="left"/>
        </w:tabs>
        <w:numPr>
          <w:ilvl w:val="1"/>
          <w:numId w:val="6"/>
        </w:numPr>
        <w:rPr>
          <w:rFonts w:ascii="Arial" w:cs="Arial" w:eastAsia="Arial" w:hAnsi="Arial"/>
          <w:sz w:val="19"/>
          <w:szCs w:val="19"/>
          <w:color w:val="auto"/>
        </w:rPr>
      </w:pPr>
      <w:r>
        <w:rPr>
          <w:rFonts w:ascii="Arial" w:cs="Arial" w:eastAsia="Arial" w:hAnsi="Arial"/>
          <w:sz w:val="19"/>
          <w:szCs w:val="19"/>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58" w:lineRule="exact"/>
        <w:rPr>
          <w:rFonts w:ascii="Arial" w:cs="Arial" w:eastAsia="Arial" w:hAnsi="Arial"/>
          <w:sz w:val="19"/>
          <w:szCs w:val="19"/>
          <w:color w:val="auto"/>
        </w:rPr>
      </w:pPr>
    </w:p>
    <w:p>
      <w:pPr>
        <w:ind w:left="2020" w:hanging="468"/>
        <w:spacing w:after="0" w:line="328" w:lineRule="auto"/>
        <w:tabs>
          <w:tab w:leader="none" w:pos="202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include any material information with respect to the plan of distribution not previously disclosed in this registration statement or any material change to such information in this registration statement;</w:t>
      </w:r>
    </w:p>
    <w:p>
      <w:pPr>
        <w:spacing w:after="0" w:line="105" w:lineRule="exact"/>
        <w:rPr>
          <w:rFonts w:ascii="Arial" w:cs="Arial" w:eastAsia="Arial" w:hAnsi="Arial"/>
          <w:sz w:val="19"/>
          <w:szCs w:val="19"/>
          <w:u w:val="single" w:color="auto"/>
          <w:color w:val="0000EE"/>
        </w:rPr>
      </w:pPr>
    </w:p>
    <w:p>
      <w:pPr>
        <w:jc w:val="both"/>
        <w:ind w:left="80" w:right="60" w:firstLine="583"/>
        <w:spacing w:after="0" w:line="297"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paragraphs (a)(1)(i) and (a)(1)(ii) do not apply if the information required to be included in a</w:t>
      </w:r>
      <w:r>
        <w:rPr>
          <w:rFonts w:ascii="Arial" w:cs="Arial" w:eastAsia="Arial" w:hAnsi="Arial"/>
          <w:sz w:val="19"/>
          <w:szCs w:val="19"/>
          <w:i w:val="1"/>
          <w:iCs w:val="1"/>
          <w:color w:val="auto"/>
        </w:rPr>
        <w:t xml:space="preserve"> </w:t>
      </w:r>
      <w:r>
        <w:rPr>
          <w:rFonts w:ascii="Arial" w:cs="Arial" w:eastAsia="Arial" w:hAnsi="Arial"/>
          <w:sz w:val="19"/>
          <w:szCs w:val="19"/>
          <w:color w:val="auto"/>
        </w:rPr>
        <w:t>post-effective amendment by those paragraphs is contained in periodic reports filed with or furnished to the Commission by the registrant pursuant to Section 13 or 15(d) of the Exchange Act that are incorporated by reference in this registration statement.</w:t>
      </w:r>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both"/>
        <w:ind w:left="-8" w:firstLine="656"/>
        <w:spacing w:after="0"/>
        <w:tabs>
          <w:tab w:leader="none" w:pos="1540" w:val="left"/>
        </w:tabs>
        <w:numPr>
          <w:ilvl w:val="1"/>
          <w:numId w:val="8"/>
        </w:numPr>
        <w:rPr>
          <w:rFonts w:ascii="Arial" w:cs="Arial" w:eastAsia="Arial" w:hAnsi="Arial"/>
          <w:sz w:val="22"/>
          <w:szCs w:val="22"/>
          <w:color w:val="auto"/>
        </w:rPr>
      </w:pPr>
      <w:r>
        <w:rPr>
          <w:rFonts w:ascii="Arial" w:cs="Arial" w:eastAsia="Arial" w:hAnsi="Arial"/>
          <w:sz w:val="22"/>
          <w:szCs w:val="22"/>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22"/>
          <w:szCs w:val="22"/>
          <w:color w:val="auto"/>
        </w:rPr>
      </w:pPr>
    </w:p>
    <w:p>
      <w:pPr>
        <w:ind w:left="-8" w:firstLine="656"/>
        <w:spacing w:after="0" w:line="250" w:lineRule="auto"/>
        <w:tabs>
          <w:tab w:leader="none" w:pos="1540" w:val="left"/>
        </w:tabs>
        <w:numPr>
          <w:ilvl w:val="1"/>
          <w:numId w:val="8"/>
        </w:numPr>
        <w:rPr>
          <w:rFonts w:ascii="Arial" w:cs="Arial" w:eastAsia="Arial" w:hAnsi="Arial"/>
          <w:sz w:val="22"/>
          <w:szCs w:val="22"/>
          <w:color w:val="auto"/>
        </w:rPr>
      </w:pPr>
      <w:r>
        <w:rPr>
          <w:rFonts w:ascii="Arial" w:cs="Arial" w:eastAsia="Arial" w:hAnsi="Arial"/>
          <w:sz w:val="22"/>
          <w:szCs w:val="22"/>
          <w:color w:val="auto"/>
        </w:rPr>
        <w:t>To remove from registration by means of a post-effective amendment any of the securities being registered which remain unsold at the termination of the offering.</w:t>
      </w:r>
    </w:p>
    <w:p>
      <w:pPr>
        <w:spacing w:after="0" w:line="174" w:lineRule="exact"/>
        <w:rPr>
          <w:rFonts w:ascii="Arial" w:cs="Arial" w:eastAsia="Arial" w:hAnsi="Arial"/>
          <w:sz w:val="22"/>
          <w:szCs w:val="22"/>
          <w:color w:val="auto"/>
        </w:rPr>
      </w:pPr>
    </w:p>
    <w:p>
      <w:pPr>
        <w:jc w:val="both"/>
        <w:ind w:left="-8" w:firstLine="8"/>
        <w:spacing w:after="0" w:line="235" w:lineRule="auto"/>
        <w:tabs>
          <w:tab w:leader="none" w:pos="892"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22"/>
          <w:szCs w:val="22"/>
          <w:color w:val="auto"/>
        </w:rPr>
      </w:pPr>
    </w:p>
    <w:p>
      <w:pPr>
        <w:jc w:val="both"/>
        <w:ind w:left="-8" w:firstLine="8"/>
        <w:spacing w:after="0" w:line="274" w:lineRule="auto"/>
        <w:tabs>
          <w:tab w:leader="none" w:pos="880" w:val="left"/>
        </w:tabs>
        <w:numPr>
          <w:ilvl w:val="0"/>
          <w:numId w:val="9"/>
        </w:numPr>
        <w:rPr>
          <w:rFonts w:ascii="Arial" w:cs="Arial" w:eastAsia="Arial" w:hAnsi="Arial"/>
          <w:sz w:val="19"/>
          <w:szCs w:val="19"/>
          <w:color w:val="auto"/>
        </w:rPr>
      </w:pPr>
      <w:r>
        <w:rPr>
          <w:rFonts w:ascii="Arial" w:cs="Arial" w:eastAsia="Arial" w:hAnsi="Arial"/>
          <w:sz w:val="19"/>
          <w:szCs w:val="19"/>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Malvern, Pennsylvania, on this 23rd day of May, 2023.</w:t>
      </w:r>
    </w:p>
    <w:p>
      <w:pPr>
        <w:spacing w:after="0" w:line="128" w:lineRule="exact"/>
        <w:rPr>
          <w:sz w:val="20"/>
          <w:szCs w:val="20"/>
          <w:color w:val="auto"/>
        </w:rPr>
      </w:pPr>
    </w:p>
    <w:p>
      <w:pPr>
        <w:jc w:val="center"/>
        <w:ind w:left="2180"/>
        <w:spacing w:after="0"/>
        <w:rPr>
          <w:sz w:val="20"/>
          <w:szCs w:val="20"/>
          <w:color w:val="auto"/>
        </w:rPr>
      </w:pPr>
      <w:r>
        <w:rPr>
          <w:rFonts w:ascii="Arial" w:cs="Arial" w:eastAsia="Arial" w:hAnsi="Arial"/>
          <w:sz w:val="22"/>
          <w:szCs w:val="22"/>
          <w:b w:val="1"/>
          <w:bCs w:val="1"/>
          <w:color w:val="auto"/>
        </w:rPr>
        <w:t>VISHAY INTERTECHNOLOGY,</w:t>
      </w:r>
    </w:p>
    <w:p>
      <w:pPr>
        <w:spacing w:after="0" w:line="4" w:lineRule="exact"/>
        <w:rPr>
          <w:sz w:val="20"/>
          <w:szCs w:val="20"/>
          <w:color w:val="auto"/>
        </w:rPr>
      </w:pPr>
    </w:p>
    <w:p>
      <w:pPr>
        <w:jc w:val="center"/>
        <w:ind w:left="2180"/>
        <w:spacing w:after="0"/>
        <w:rPr>
          <w:sz w:val="20"/>
          <w:szCs w:val="20"/>
          <w:color w:val="auto"/>
        </w:rPr>
      </w:pPr>
      <w:r>
        <w:rPr>
          <w:rFonts w:ascii="Arial" w:cs="Arial" w:eastAsia="Arial" w:hAnsi="Arial"/>
          <w:sz w:val="22"/>
          <w:szCs w:val="22"/>
          <w:b w:val="1"/>
          <w:bCs w:val="1"/>
          <w:color w:val="auto"/>
        </w:rPr>
        <w:t>INC.</w:t>
      </w:r>
    </w:p>
    <w:p>
      <w:pPr>
        <w:jc w:val="center"/>
        <w:ind w:left="2180"/>
        <w:spacing w:after="0"/>
        <w:rPr>
          <w:sz w:val="20"/>
          <w:szCs w:val="20"/>
          <w:color w:val="auto"/>
        </w:rPr>
      </w:pPr>
      <w:r>
        <w:rPr>
          <w:rFonts w:ascii="Arial" w:cs="Arial" w:eastAsia="Arial" w:hAnsi="Arial"/>
          <w:sz w:val="22"/>
          <w:szCs w:val="22"/>
          <w:b w:val="1"/>
          <w:bCs w:val="1"/>
          <w:color w:val="auto"/>
        </w:rPr>
        <w:t>(Registrant)</w:t>
      </w:r>
    </w:p>
    <w:p>
      <w:pPr>
        <w:spacing w:after="0" w:line="215"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By: /s/ Lori Lipcaman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15875</wp:posOffset>
            </wp:positionV>
            <wp:extent cx="17748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774825" cy="17145"/>
                    </a:xfrm>
                    <a:prstGeom prst="rect">
                      <a:avLst/>
                    </a:prstGeom>
                    <a:noFill/>
                  </pic:spPr>
                </pic:pic>
              </a:graphicData>
            </a:graphic>
          </wp:anchor>
        </w:drawing>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Name: Lori Lipcaman</w:t>
      </w:r>
    </w:p>
    <w:p>
      <w:pPr>
        <w:spacing w:after="0" w:line="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Executive Vice President and Chief Financial Officer</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Pursuant to the requirements of the Securities Act, this Registration Statement has been signed by the following persons in the capacities and on the dates indicated.</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Each person in so signing also makes, constitutes and appoints Lori Lipcaman his or her true and lawful attorney-in-fact, with full power of substitution, to execute and cause to be filed with the Commission pursuant to the requirements of the Securities Act, any and all amendments and post-effective amendments to this Registration Statement, with exhibits to such registration statements and amendments and other documents in connection therewith, and hereby ratifies and confirms all that said attorney-in-fact or his or her substitute or substitutes may do or cause to be done by virtue hereof.</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400" w:type="dxa"/>
            <w:vAlign w:val="bottom"/>
            <w:tcBorders>
              <w:bottom w:val="single" w:sz="8" w:color="auto"/>
            </w:tcBorders>
            <w:gridSpan w:val="13"/>
          </w:tcPr>
          <w:p>
            <w:pPr>
              <w:spacing w:after="0"/>
              <w:rPr>
                <w:sz w:val="20"/>
                <w:szCs w:val="20"/>
                <w:color w:val="auto"/>
              </w:rPr>
            </w:pPr>
            <w:r>
              <w:rPr>
                <w:rFonts w:ascii="Arial" w:cs="Arial" w:eastAsia="Arial" w:hAnsi="Arial"/>
                <w:sz w:val="22"/>
                <w:szCs w:val="22"/>
                <w:b w:val="1"/>
                <w:bCs w:val="1"/>
                <w:color w:val="auto"/>
              </w:rPr>
              <w:t>Signature</w:t>
            </w:r>
          </w:p>
        </w:tc>
        <w:tc>
          <w:tcPr>
            <w:tcW w:w="340" w:type="dxa"/>
            <w:vAlign w:val="bottom"/>
          </w:tcPr>
          <w:p>
            <w:pPr>
              <w:spacing w:after="0"/>
              <w:rPr>
                <w:sz w:val="24"/>
                <w:szCs w:val="24"/>
                <w:color w:val="auto"/>
              </w:rPr>
            </w:pP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Title</w:t>
            </w:r>
          </w:p>
        </w:tc>
        <w:tc>
          <w:tcPr>
            <w:tcW w:w="340" w:type="dxa"/>
            <w:vAlign w:val="bottom"/>
          </w:tcPr>
          <w:p>
            <w:pPr>
              <w:spacing w:after="0"/>
              <w:rPr>
                <w:sz w:val="24"/>
                <w:szCs w:val="24"/>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Date</w:t>
            </w:r>
          </w:p>
        </w:tc>
        <w:tc>
          <w:tcPr>
            <w:tcW w:w="0" w:type="dxa"/>
            <w:vAlign w:val="bottom"/>
          </w:tcPr>
          <w:p>
            <w:pPr>
              <w:spacing w:after="0"/>
              <w:rPr>
                <w:sz w:val="1"/>
                <w:szCs w:val="1"/>
                <w:color w:val="auto"/>
              </w:rPr>
            </w:pPr>
          </w:p>
        </w:tc>
      </w:tr>
      <w:tr>
        <w:trPr>
          <w:trHeight w:val="222"/>
        </w:trPr>
        <w:tc>
          <w:tcPr>
            <w:tcW w:w="3400" w:type="dxa"/>
            <w:vAlign w:val="bottom"/>
            <w:gridSpan w:val="13"/>
          </w:tcPr>
          <w:p>
            <w:pPr>
              <w:spacing w:after="0" w:line="222" w:lineRule="exact"/>
              <w:rPr>
                <w:sz w:val="20"/>
                <w:szCs w:val="20"/>
                <w:color w:val="auto"/>
              </w:rPr>
            </w:pPr>
            <w:r>
              <w:rPr>
                <w:rFonts w:ascii="Arial" w:cs="Arial" w:eastAsia="Arial" w:hAnsi="Arial"/>
                <w:sz w:val="22"/>
                <w:szCs w:val="22"/>
                <w:b w:val="1"/>
                <w:bCs w:val="1"/>
                <w:i w:val="1"/>
                <w:iCs w:val="1"/>
                <w:color w:val="auto"/>
              </w:rPr>
              <w:t>Principal Executive Officer:</w:t>
            </w:r>
          </w:p>
        </w:tc>
        <w:tc>
          <w:tcPr>
            <w:tcW w:w="3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38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8"/>
              </w:rPr>
              <w:t>/s/ Joel Smejkal</w:t>
            </w:r>
          </w:p>
        </w:tc>
        <w:tc>
          <w:tcPr>
            <w:tcW w:w="2020" w:type="dxa"/>
            <w:vAlign w:val="bottom"/>
            <w:gridSpan w:val="12"/>
          </w:tcPr>
          <w:p>
            <w:pPr>
              <w:spacing w:after="0"/>
              <w:rPr>
                <w:sz w:val="19"/>
                <w:szCs w:val="19"/>
                <w:color w:val="auto"/>
              </w:rPr>
            </w:pPr>
          </w:p>
        </w:tc>
        <w:tc>
          <w:tcPr>
            <w:tcW w:w="340" w:type="dxa"/>
            <w:vAlign w:val="bottom"/>
          </w:tcPr>
          <w:p>
            <w:pPr>
              <w:spacing w:after="0"/>
              <w:rPr>
                <w:sz w:val="19"/>
                <w:szCs w:val="19"/>
                <w:color w:val="auto"/>
              </w:rPr>
            </w:pPr>
          </w:p>
        </w:tc>
        <w:tc>
          <w:tcPr>
            <w:tcW w:w="4280" w:type="dxa"/>
            <w:vAlign w:val="bottom"/>
          </w:tcPr>
          <w:p>
            <w:pPr>
              <w:ind w:left="20"/>
              <w:spacing w:after="0" w:line="224" w:lineRule="exact"/>
              <w:rPr>
                <w:sz w:val="20"/>
                <w:szCs w:val="20"/>
                <w:color w:val="auto"/>
              </w:rPr>
            </w:pPr>
            <w:r>
              <w:rPr>
                <w:rFonts w:ascii="Arial" w:cs="Arial" w:eastAsia="Arial" w:hAnsi="Arial"/>
                <w:sz w:val="22"/>
                <w:szCs w:val="22"/>
                <w:color w:val="auto"/>
                <w:w w:val="91"/>
              </w:rPr>
              <w:t>President, Chief Executive Officer, and Director</w:t>
            </w:r>
          </w:p>
        </w:tc>
        <w:tc>
          <w:tcPr>
            <w:tcW w:w="340" w:type="dxa"/>
            <w:vAlign w:val="bottom"/>
          </w:tcPr>
          <w:p>
            <w:pPr>
              <w:spacing w:after="0"/>
              <w:rPr>
                <w:sz w:val="19"/>
                <w:szCs w:val="19"/>
                <w:color w:val="auto"/>
              </w:rPr>
            </w:pPr>
          </w:p>
        </w:tc>
        <w:tc>
          <w:tcPr>
            <w:tcW w:w="2200" w:type="dxa"/>
            <w:vAlign w:val="bottom"/>
          </w:tcPr>
          <w:p>
            <w:pPr>
              <w:spacing w:after="0" w:line="224" w:lineRule="exact"/>
              <w:rPr>
                <w:sz w:val="20"/>
                <w:szCs w:val="20"/>
                <w:color w:val="auto"/>
              </w:rPr>
            </w:pPr>
            <w:r>
              <w:rPr>
                <w:rFonts w:ascii="Arial" w:cs="Arial" w:eastAsia="Arial" w:hAnsi="Arial"/>
                <w:sz w:val="22"/>
                <w:szCs w:val="22"/>
                <w:color w:val="auto"/>
              </w:rPr>
              <w:t>May 23, 2023</w:t>
            </w:r>
          </w:p>
        </w:tc>
        <w:tc>
          <w:tcPr>
            <w:tcW w:w="0" w:type="dxa"/>
            <w:vAlign w:val="bottom"/>
          </w:tcPr>
          <w:p>
            <w:pPr>
              <w:spacing w:after="0"/>
              <w:rPr>
                <w:sz w:val="1"/>
                <w:szCs w:val="1"/>
                <w:color w:val="auto"/>
              </w:rPr>
            </w:pPr>
          </w:p>
        </w:tc>
      </w:tr>
      <w:tr>
        <w:trPr>
          <w:trHeight w:val="273"/>
        </w:trPr>
        <w:tc>
          <w:tcPr>
            <w:tcW w:w="3400" w:type="dxa"/>
            <w:vAlign w:val="bottom"/>
            <w:gridSpan w:val="13"/>
          </w:tcPr>
          <w:p>
            <w:pPr>
              <w:spacing w:after="0"/>
              <w:rPr>
                <w:sz w:val="20"/>
                <w:szCs w:val="20"/>
                <w:color w:val="auto"/>
              </w:rPr>
            </w:pPr>
            <w:r>
              <w:rPr>
                <w:rFonts w:ascii="Arial" w:cs="Arial" w:eastAsia="Arial" w:hAnsi="Arial"/>
                <w:sz w:val="22"/>
                <w:szCs w:val="22"/>
                <w:color w:val="auto"/>
              </w:rPr>
              <w:t>Joel Smejkal</w:t>
            </w:r>
          </w:p>
        </w:tc>
        <w:tc>
          <w:tcPr>
            <w:tcW w:w="3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3400" w:type="dxa"/>
            <w:vAlign w:val="bottom"/>
            <w:gridSpan w:val="13"/>
          </w:tcPr>
          <w:p>
            <w:pPr>
              <w:spacing w:after="0"/>
              <w:rPr>
                <w:sz w:val="20"/>
                <w:szCs w:val="20"/>
                <w:color w:val="auto"/>
              </w:rPr>
            </w:pPr>
            <w:r>
              <w:rPr>
                <w:rFonts w:ascii="Arial" w:cs="Arial" w:eastAsia="Arial" w:hAnsi="Arial"/>
                <w:sz w:val="22"/>
                <w:szCs w:val="22"/>
                <w:b w:val="1"/>
                <w:bCs w:val="1"/>
                <w:i w:val="1"/>
                <w:iCs w:val="1"/>
                <w:color w:val="auto"/>
                <w:w w:val="92"/>
              </w:rPr>
              <w:t>Principal Financial and Accounting</w:t>
            </w:r>
          </w:p>
        </w:tc>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400" w:type="dxa"/>
            <w:vAlign w:val="bottom"/>
            <w:gridSpan w:val="13"/>
          </w:tcPr>
          <w:p>
            <w:pPr>
              <w:spacing w:after="0"/>
              <w:rPr>
                <w:sz w:val="20"/>
                <w:szCs w:val="20"/>
                <w:color w:val="auto"/>
              </w:rPr>
            </w:pPr>
            <w:r>
              <w:rPr>
                <w:rFonts w:ascii="Arial" w:cs="Arial" w:eastAsia="Arial" w:hAnsi="Arial"/>
                <w:sz w:val="22"/>
                <w:szCs w:val="22"/>
                <w:b w:val="1"/>
                <w:bCs w:val="1"/>
                <w:i w:val="1"/>
                <w:iCs w:val="1"/>
                <w:color w:val="auto"/>
              </w:rPr>
              <w:t>Officer:</w:t>
            </w:r>
          </w:p>
        </w:tc>
        <w:tc>
          <w:tcPr>
            <w:tcW w:w="340" w:type="dxa"/>
            <w:vAlign w:val="bottom"/>
          </w:tcPr>
          <w:p>
            <w:pPr>
              <w:spacing w:after="0"/>
              <w:rPr>
                <w:sz w:val="23"/>
                <w:szCs w:val="23"/>
                <w:color w:val="auto"/>
              </w:rPr>
            </w:pPr>
          </w:p>
        </w:tc>
        <w:tc>
          <w:tcPr>
            <w:tcW w:w="4280" w:type="dxa"/>
            <w:vAlign w:val="bottom"/>
            <w:vMerge w:val="restart"/>
          </w:tcPr>
          <w:p>
            <w:pPr>
              <w:ind w:left="20"/>
              <w:spacing w:after="0"/>
              <w:rPr>
                <w:sz w:val="20"/>
                <w:szCs w:val="20"/>
                <w:color w:val="auto"/>
              </w:rPr>
            </w:pPr>
            <w:r>
              <w:rPr>
                <w:rFonts w:ascii="Arial" w:cs="Arial" w:eastAsia="Arial" w:hAnsi="Arial"/>
                <w:sz w:val="22"/>
                <w:szCs w:val="22"/>
                <w:color w:val="auto"/>
                <w:w w:val="96"/>
              </w:rPr>
              <w:t>Executive Vice President and Chief Financial</w:t>
            </w:r>
          </w:p>
        </w:tc>
        <w:tc>
          <w:tcPr>
            <w:tcW w:w="3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1560" w:type="dxa"/>
            <w:vAlign w:val="bottom"/>
            <w:gridSpan w:val="4"/>
            <w:vMerge w:val="restart"/>
          </w:tcPr>
          <w:p>
            <w:pPr>
              <w:spacing w:after="0"/>
              <w:rPr>
                <w:sz w:val="20"/>
                <w:szCs w:val="20"/>
                <w:color w:val="auto"/>
              </w:rPr>
            </w:pPr>
            <w:r>
              <w:rPr>
                <w:rFonts w:ascii="Arial" w:cs="Arial" w:eastAsia="Arial" w:hAnsi="Arial"/>
                <w:sz w:val="22"/>
                <w:szCs w:val="22"/>
                <w:color w:val="auto"/>
                <w:w w:val="91"/>
              </w:rPr>
              <w:t>/s/ Lori Lipcaman</w:t>
            </w:r>
          </w:p>
        </w:tc>
        <w:tc>
          <w:tcPr>
            <w:tcW w:w="1840" w:type="dxa"/>
            <w:vAlign w:val="bottom"/>
            <w:gridSpan w:val="9"/>
            <w:vMerge w:val="restart"/>
          </w:tcPr>
          <w:p>
            <w:pPr>
              <w:spacing w:after="0"/>
              <w:rPr>
                <w:sz w:val="18"/>
                <w:szCs w:val="18"/>
                <w:color w:val="auto"/>
              </w:rPr>
            </w:pPr>
          </w:p>
        </w:tc>
        <w:tc>
          <w:tcPr>
            <w:tcW w:w="34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vMerge w:val="restart"/>
          </w:tcPr>
          <w:p>
            <w:pPr>
              <w:spacing w:after="0"/>
              <w:rPr>
                <w:sz w:val="20"/>
                <w:szCs w:val="20"/>
                <w:color w:val="auto"/>
              </w:rPr>
            </w:pPr>
            <w:r>
              <w:rPr>
                <w:rFonts w:ascii="Arial" w:cs="Arial" w:eastAsia="Arial" w:hAnsi="Arial"/>
                <w:sz w:val="22"/>
                <w:szCs w:val="22"/>
                <w:color w:val="auto"/>
              </w:rPr>
              <w:t>May 23, 2023</w:t>
            </w:r>
          </w:p>
        </w:tc>
        <w:tc>
          <w:tcPr>
            <w:tcW w:w="0" w:type="dxa"/>
            <w:vAlign w:val="bottom"/>
          </w:tcPr>
          <w:p>
            <w:pPr>
              <w:spacing w:after="0"/>
              <w:rPr>
                <w:sz w:val="1"/>
                <w:szCs w:val="1"/>
                <w:color w:val="auto"/>
              </w:rPr>
            </w:pPr>
          </w:p>
        </w:tc>
      </w:tr>
      <w:tr>
        <w:trPr>
          <w:trHeight w:val="107"/>
        </w:trPr>
        <w:tc>
          <w:tcPr>
            <w:tcW w:w="1560" w:type="dxa"/>
            <w:vAlign w:val="bottom"/>
            <w:tcBorders>
              <w:bottom w:val="single" w:sz="8" w:color="auto"/>
            </w:tcBorders>
            <w:gridSpan w:val="4"/>
            <w:vMerge w:val="continue"/>
          </w:tcPr>
          <w:p>
            <w:pPr>
              <w:spacing w:after="0"/>
              <w:rPr>
                <w:sz w:val="8"/>
                <w:szCs w:val="8"/>
                <w:color w:val="auto"/>
              </w:rPr>
            </w:pPr>
          </w:p>
        </w:tc>
        <w:tc>
          <w:tcPr>
            <w:tcW w:w="1840" w:type="dxa"/>
            <w:vAlign w:val="bottom"/>
            <w:gridSpan w:val="9"/>
            <w:vMerge w:val="continue"/>
          </w:tcPr>
          <w:p>
            <w:pPr>
              <w:spacing w:after="0"/>
              <w:rPr>
                <w:sz w:val="8"/>
                <w:szCs w:val="8"/>
                <w:color w:val="auto"/>
              </w:rPr>
            </w:pPr>
          </w:p>
        </w:tc>
        <w:tc>
          <w:tcPr>
            <w:tcW w:w="340" w:type="dxa"/>
            <w:vAlign w:val="bottom"/>
          </w:tcPr>
          <w:p>
            <w:pPr>
              <w:spacing w:after="0"/>
              <w:rPr>
                <w:sz w:val="8"/>
                <w:szCs w:val="8"/>
                <w:color w:val="auto"/>
              </w:rPr>
            </w:pPr>
          </w:p>
        </w:tc>
        <w:tc>
          <w:tcPr>
            <w:tcW w:w="4280" w:type="dxa"/>
            <w:vAlign w:val="bottom"/>
            <w:vMerge w:val="restart"/>
          </w:tcPr>
          <w:p>
            <w:pPr>
              <w:ind w:left="20"/>
              <w:spacing w:after="0"/>
              <w:rPr>
                <w:sz w:val="20"/>
                <w:szCs w:val="20"/>
                <w:color w:val="auto"/>
              </w:rPr>
            </w:pPr>
            <w:r>
              <w:rPr>
                <w:rFonts w:ascii="Arial" w:cs="Arial" w:eastAsia="Arial" w:hAnsi="Arial"/>
                <w:sz w:val="22"/>
                <w:szCs w:val="22"/>
                <w:color w:val="auto"/>
              </w:rPr>
              <w:t>Officer</w:t>
            </w:r>
          </w:p>
        </w:tc>
        <w:tc>
          <w:tcPr>
            <w:tcW w:w="34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400" w:type="dxa"/>
            <w:vAlign w:val="bottom"/>
            <w:gridSpan w:val="13"/>
            <w:vMerge w:val="restart"/>
          </w:tcPr>
          <w:p>
            <w:pPr>
              <w:spacing w:after="0"/>
              <w:rPr>
                <w:sz w:val="20"/>
                <w:szCs w:val="20"/>
                <w:color w:val="auto"/>
              </w:rPr>
            </w:pPr>
            <w:r>
              <w:rPr>
                <w:rFonts w:ascii="Arial" w:cs="Arial" w:eastAsia="Arial" w:hAnsi="Arial"/>
                <w:sz w:val="22"/>
                <w:szCs w:val="22"/>
                <w:color w:val="auto"/>
              </w:rPr>
              <w:t>Lori Lipcaman</w:t>
            </w:r>
          </w:p>
        </w:tc>
        <w:tc>
          <w:tcPr>
            <w:tcW w:w="340" w:type="dxa"/>
            <w:vAlign w:val="bottom"/>
          </w:tcPr>
          <w:p>
            <w:pPr>
              <w:spacing w:after="0"/>
              <w:rPr>
                <w:sz w:val="13"/>
                <w:szCs w:val="13"/>
                <w:color w:val="auto"/>
              </w:rPr>
            </w:pPr>
          </w:p>
        </w:tc>
        <w:tc>
          <w:tcPr>
            <w:tcW w:w="42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00" w:type="dxa"/>
            <w:vAlign w:val="bottom"/>
            <w:gridSpan w:val="13"/>
            <w:vMerge w:val="continue"/>
          </w:tcPr>
          <w:p>
            <w:pPr>
              <w:spacing w:after="0"/>
              <w:rPr>
                <w:sz w:val="21"/>
                <w:szCs w:val="21"/>
                <w:color w:val="auto"/>
              </w:rPr>
            </w:pPr>
          </w:p>
        </w:tc>
        <w:tc>
          <w:tcPr>
            <w:tcW w:w="34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5"/>
        </w:trPr>
        <w:tc>
          <w:tcPr>
            <w:tcW w:w="3400" w:type="dxa"/>
            <w:vAlign w:val="bottom"/>
            <w:gridSpan w:val="13"/>
          </w:tcPr>
          <w:p>
            <w:pPr>
              <w:spacing w:after="0"/>
              <w:rPr>
                <w:sz w:val="20"/>
                <w:szCs w:val="20"/>
                <w:color w:val="auto"/>
              </w:rPr>
            </w:pPr>
            <w:r>
              <w:rPr>
                <w:rFonts w:ascii="Arial" w:cs="Arial" w:eastAsia="Arial" w:hAnsi="Arial"/>
                <w:sz w:val="22"/>
                <w:szCs w:val="22"/>
                <w:b w:val="1"/>
                <w:bCs w:val="1"/>
                <w:i w:val="1"/>
                <w:iCs w:val="1"/>
                <w:color w:val="auto"/>
              </w:rPr>
              <w:t>Board of Directors:</w:t>
            </w:r>
          </w:p>
        </w:tc>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00" w:type="dxa"/>
            <w:vAlign w:val="bottom"/>
            <w:tcBorders>
              <w:bottom w:val="single" w:sz="8" w:color="auto"/>
            </w:tcBorders>
            <w:gridSpan w:val="5"/>
          </w:tcPr>
          <w:p>
            <w:pPr>
              <w:spacing w:after="0" w:line="224" w:lineRule="exact"/>
              <w:rPr>
                <w:sz w:val="20"/>
                <w:szCs w:val="20"/>
                <w:color w:val="auto"/>
              </w:rPr>
            </w:pPr>
            <w:r>
              <w:rPr>
                <w:rFonts w:ascii="Arial" w:cs="Arial" w:eastAsia="Arial" w:hAnsi="Arial"/>
                <w:sz w:val="22"/>
                <w:szCs w:val="22"/>
                <w:color w:val="auto"/>
                <w:w w:val="89"/>
              </w:rPr>
              <w:t>/s/ Marc Zandman</w:t>
            </w:r>
          </w:p>
        </w:tc>
        <w:tc>
          <w:tcPr>
            <w:tcW w:w="1800" w:type="dxa"/>
            <w:vAlign w:val="bottom"/>
            <w:gridSpan w:val="8"/>
          </w:tcPr>
          <w:p>
            <w:pPr>
              <w:spacing w:after="0"/>
              <w:rPr>
                <w:sz w:val="19"/>
                <w:szCs w:val="19"/>
                <w:color w:val="auto"/>
              </w:rPr>
            </w:pPr>
          </w:p>
        </w:tc>
        <w:tc>
          <w:tcPr>
            <w:tcW w:w="340" w:type="dxa"/>
            <w:vAlign w:val="bottom"/>
          </w:tcPr>
          <w:p>
            <w:pPr>
              <w:spacing w:after="0"/>
              <w:rPr>
                <w:sz w:val="19"/>
                <w:szCs w:val="19"/>
                <w:color w:val="auto"/>
              </w:rPr>
            </w:pPr>
          </w:p>
        </w:tc>
        <w:tc>
          <w:tcPr>
            <w:tcW w:w="4280" w:type="dxa"/>
            <w:vAlign w:val="bottom"/>
          </w:tcPr>
          <w:p>
            <w:pPr>
              <w:ind w:left="20"/>
              <w:spacing w:after="0" w:line="224" w:lineRule="exact"/>
              <w:rPr>
                <w:sz w:val="20"/>
                <w:szCs w:val="20"/>
                <w:color w:val="auto"/>
              </w:rPr>
            </w:pPr>
            <w:r>
              <w:rPr>
                <w:rFonts w:ascii="Arial" w:cs="Arial" w:eastAsia="Arial" w:hAnsi="Arial"/>
                <w:sz w:val="22"/>
                <w:szCs w:val="22"/>
                <w:color w:val="auto"/>
                <w:w w:val="96"/>
              </w:rPr>
              <w:t>Executive Chairman of the Board of Directors</w:t>
            </w:r>
          </w:p>
        </w:tc>
        <w:tc>
          <w:tcPr>
            <w:tcW w:w="340" w:type="dxa"/>
            <w:vAlign w:val="bottom"/>
          </w:tcPr>
          <w:p>
            <w:pPr>
              <w:spacing w:after="0"/>
              <w:rPr>
                <w:sz w:val="19"/>
                <w:szCs w:val="19"/>
                <w:color w:val="auto"/>
              </w:rPr>
            </w:pPr>
          </w:p>
        </w:tc>
        <w:tc>
          <w:tcPr>
            <w:tcW w:w="2200" w:type="dxa"/>
            <w:vAlign w:val="bottom"/>
          </w:tcPr>
          <w:p>
            <w:pPr>
              <w:spacing w:after="0" w:line="224" w:lineRule="exact"/>
              <w:rPr>
                <w:sz w:val="20"/>
                <w:szCs w:val="20"/>
                <w:color w:val="auto"/>
              </w:rPr>
            </w:pPr>
            <w:r>
              <w:rPr>
                <w:rFonts w:ascii="Arial" w:cs="Arial" w:eastAsia="Arial" w:hAnsi="Arial"/>
                <w:sz w:val="22"/>
                <w:szCs w:val="22"/>
                <w:color w:val="auto"/>
              </w:rPr>
              <w:t>May 23, 2023</w:t>
            </w:r>
          </w:p>
        </w:tc>
        <w:tc>
          <w:tcPr>
            <w:tcW w:w="0" w:type="dxa"/>
            <w:vAlign w:val="bottom"/>
          </w:tcPr>
          <w:p>
            <w:pPr>
              <w:spacing w:after="0"/>
              <w:rPr>
                <w:sz w:val="1"/>
                <w:szCs w:val="1"/>
                <w:color w:val="auto"/>
              </w:rPr>
            </w:pPr>
          </w:p>
        </w:tc>
      </w:tr>
      <w:tr>
        <w:trPr>
          <w:trHeight w:val="274"/>
        </w:trPr>
        <w:tc>
          <w:tcPr>
            <w:tcW w:w="3400" w:type="dxa"/>
            <w:vAlign w:val="bottom"/>
            <w:gridSpan w:val="13"/>
          </w:tcPr>
          <w:p>
            <w:pPr>
              <w:spacing w:after="0"/>
              <w:rPr>
                <w:sz w:val="20"/>
                <w:szCs w:val="20"/>
                <w:color w:val="auto"/>
              </w:rPr>
            </w:pPr>
            <w:r>
              <w:rPr>
                <w:rFonts w:ascii="Arial" w:cs="Arial" w:eastAsia="Arial" w:hAnsi="Arial"/>
                <w:sz w:val="22"/>
                <w:szCs w:val="22"/>
                <w:color w:val="auto"/>
              </w:rPr>
              <w:t>Marc Zandman</w:t>
            </w:r>
          </w:p>
        </w:tc>
        <w:tc>
          <w:tcPr>
            <w:tcW w:w="3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5"/>
        </w:trPr>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87"/>
              </w:rPr>
              <w:t>/s/ Renee B. Booth</w:t>
            </w:r>
          </w:p>
        </w:tc>
        <w:tc>
          <w:tcPr>
            <w:tcW w:w="1760" w:type="dxa"/>
            <w:vAlign w:val="bottom"/>
            <w:gridSpan w:val="7"/>
          </w:tcPr>
          <w:p>
            <w:pPr>
              <w:spacing w:after="0"/>
              <w:rPr>
                <w:sz w:val="24"/>
                <w:szCs w:val="24"/>
                <w:color w:val="auto"/>
              </w:rPr>
            </w:pPr>
          </w:p>
        </w:tc>
        <w:tc>
          <w:tcPr>
            <w:tcW w:w="34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34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22"/>
                <w:szCs w:val="22"/>
                <w:color w:val="auto"/>
              </w:rPr>
              <w:t>May 23, 2023</w:t>
            </w:r>
          </w:p>
        </w:tc>
        <w:tc>
          <w:tcPr>
            <w:tcW w:w="0" w:type="dxa"/>
            <w:vAlign w:val="bottom"/>
          </w:tcPr>
          <w:p>
            <w:pPr>
              <w:spacing w:after="0"/>
              <w:rPr>
                <w:sz w:val="1"/>
                <w:szCs w:val="1"/>
                <w:color w:val="auto"/>
              </w:rPr>
            </w:pPr>
          </w:p>
        </w:tc>
      </w:tr>
      <w:tr>
        <w:trPr>
          <w:trHeight w:val="273"/>
        </w:trPr>
        <w:tc>
          <w:tcPr>
            <w:tcW w:w="3400" w:type="dxa"/>
            <w:vAlign w:val="bottom"/>
            <w:gridSpan w:val="13"/>
          </w:tcPr>
          <w:p>
            <w:pPr>
              <w:spacing w:after="0"/>
              <w:rPr>
                <w:sz w:val="20"/>
                <w:szCs w:val="20"/>
                <w:color w:val="auto"/>
              </w:rPr>
            </w:pPr>
            <w:r>
              <w:rPr>
                <w:rFonts w:ascii="Arial" w:cs="Arial" w:eastAsia="Arial" w:hAnsi="Arial"/>
                <w:sz w:val="22"/>
                <w:szCs w:val="22"/>
                <w:color w:val="auto"/>
              </w:rPr>
              <w:t>Renee B. Booth</w:t>
            </w:r>
          </w:p>
        </w:tc>
        <w:tc>
          <w:tcPr>
            <w:tcW w:w="3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5"/>
        </w:trPr>
        <w:tc>
          <w:tcPr>
            <w:tcW w:w="3400" w:type="dxa"/>
            <w:vAlign w:val="bottom"/>
            <w:gridSpan w:val="13"/>
          </w:tcPr>
          <w:p>
            <w:pPr>
              <w:spacing w:after="0"/>
              <w:rPr>
                <w:sz w:val="20"/>
                <w:szCs w:val="20"/>
                <w:color w:val="auto"/>
              </w:rPr>
            </w:pPr>
            <w:r>
              <w:rPr>
                <w:rFonts w:ascii="Arial" w:cs="Arial" w:eastAsia="Arial" w:hAnsi="Arial"/>
                <w:sz w:val="22"/>
                <w:szCs w:val="22"/>
                <w:color w:val="auto"/>
              </w:rPr>
              <w:t>/s/ Michael J. Cody</w:t>
            </w:r>
          </w:p>
        </w:tc>
        <w:tc>
          <w:tcPr>
            <w:tcW w:w="34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34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22"/>
                <w:szCs w:val="22"/>
                <w:color w:val="auto"/>
              </w:rPr>
              <w:t>May 23, 2023</w:t>
            </w:r>
          </w:p>
        </w:tc>
        <w:tc>
          <w:tcPr>
            <w:tcW w:w="0" w:type="dxa"/>
            <w:vAlign w:val="bottom"/>
          </w:tcPr>
          <w:p>
            <w:pPr>
              <w:spacing w:after="0"/>
              <w:rPr>
                <w:sz w:val="1"/>
                <w:szCs w:val="1"/>
                <w:color w:val="auto"/>
              </w:rPr>
            </w:pPr>
          </w:p>
        </w:tc>
      </w:tr>
      <w:tr>
        <w:trPr>
          <w:trHeight w:val="274"/>
        </w:trPr>
        <w:tc>
          <w:tcPr>
            <w:tcW w:w="1680" w:type="dxa"/>
            <w:vAlign w:val="bottom"/>
            <w:tcBorders>
              <w:top w:val="single" w:sz="8" w:color="auto"/>
            </w:tcBorders>
            <w:gridSpan w:val="7"/>
          </w:tcPr>
          <w:p>
            <w:pPr>
              <w:spacing w:after="0"/>
              <w:rPr>
                <w:sz w:val="20"/>
                <w:szCs w:val="20"/>
                <w:color w:val="auto"/>
              </w:rPr>
            </w:pPr>
            <w:r>
              <w:rPr>
                <w:rFonts w:ascii="Arial" w:cs="Arial" w:eastAsia="Arial" w:hAnsi="Arial"/>
                <w:sz w:val="22"/>
                <w:szCs w:val="22"/>
                <w:color w:val="auto"/>
              </w:rPr>
              <w:t>Michael J. Cody</w:t>
            </w:r>
          </w:p>
        </w:tc>
        <w:tc>
          <w:tcPr>
            <w:tcW w:w="1720" w:type="dxa"/>
            <w:vAlign w:val="bottom"/>
            <w:gridSpan w:val="6"/>
          </w:tcPr>
          <w:p>
            <w:pPr>
              <w:spacing w:after="0"/>
              <w:rPr>
                <w:sz w:val="23"/>
                <w:szCs w:val="23"/>
                <w:color w:val="auto"/>
              </w:rPr>
            </w:pPr>
          </w:p>
        </w:tc>
        <w:tc>
          <w:tcPr>
            <w:tcW w:w="3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5"/>
        </w:trPr>
        <w:tc>
          <w:tcPr>
            <w:tcW w:w="1940" w:type="dxa"/>
            <w:vAlign w:val="bottom"/>
            <w:tcBorders>
              <w:bottom w:val="single" w:sz="8" w:color="auto"/>
            </w:tcBorders>
            <w:gridSpan w:val="10"/>
          </w:tcPr>
          <w:p>
            <w:pPr>
              <w:spacing w:after="0"/>
              <w:rPr>
                <w:sz w:val="20"/>
                <w:szCs w:val="20"/>
                <w:color w:val="auto"/>
              </w:rPr>
            </w:pPr>
            <w:r>
              <w:rPr>
                <w:rFonts w:ascii="Arial" w:cs="Arial" w:eastAsia="Arial" w:hAnsi="Arial"/>
                <w:sz w:val="22"/>
                <w:szCs w:val="22"/>
                <w:color w:val="auto"/>
                <w:w w:val="91"/>
              </w:rPr>
              <w:t>/s/ Michiko Kurahashi</w:t>
            </w:r>
          </w:p>
        </w:tc>
        <w:tc>
          <w:tcPr>
            <w:tcW w:w="146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34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22"/>
                <w:szCs w:val="22"/>
                <w:color w:val="auto"/>
              </w:rPr>
              <w:t>May 23, 2023</w:t>
            </w:r>
          </w:p>
        </w:tc>
        <w:tc>
          <w:tcPr>
            <w:tcW w:w="0" w:type="dxa"/>
            <w:vAlign w:val="bottom"/>
          </w:tcPr>
          <w:p>
            <w:pPr>
              <w:spacing w:after="0"/>
              <w:rPr>
                <w:sz w:val="1"/>
                <w:szCs w:val="1"/>
                <w:color w:val="auto"/>
              </w:rPr>
            </w:pPr>
          </w:p>
        </w:tc>
      </w:tr>
      <w:tr>
        <w:trPr>
          <w:trHeight w:val="273"/>
        </w:trPr>
        <w:tc>
          <w:tcPr>
            <w:tcW w:w="3400" w:type="dxa"/>
            <w:vAlign w:val="bottom"/>
            <w:gridSpan w:val="13"/>
          </w:tcPr>
          <w:p>
            <w:pPr>
              <w:spacing w:after="0"/>
              <w:rPr>
                <w:sz w:val="20"/>
                <w:szCs w:val="20"/>
                <w:color w:val="auto"/>
              </w:rPr>
            </w:pPr>
            <w:r>
              <w:rPr>
                <w:rFonts w:ascii="Arial" w:cs="Arial" w:eastAsia="Arial" w:hAnsi="Arial"/>
                <w:sz w:val="22"/>
                <w:szCs w:val="22"/>
                <w:color w:val="auto"/>
              </w:rPr>
              <w:t>Michiko Kurahashi</w:t>
            </w:r>
          </w:p>
        </w:tc>
        <w:tc>
          <w:tcPr>
            <w:tcW w:w="3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2120" w:type="dxa"/>
            <w:vAlign w:val="bottom"/>
            <w:tcBorders>
              <w:bottom w:val="single" w:sz="8" w:color="auto"/>
            </w:tcBorders>
            <w:gridSpan w:val="12"/>
          </w:tcPr>
          <w:p>
            <w:pPr>
              <w:spacing w:after="0"/>
              <w:rPr>
                <w:sz w:val="20"/>
                <w:szCs w:val="20"/>
                <w:color w:val="auto"/>
              </w:rPr>
            </w:pPr>
            <w:r>
              <w:rPr>
                <w:rFonts w:ascii="Arial" w:cs="Arial" w:eastAsia="Arial" w:hAnsi="Arial"/>
                <w:sz w:val="22"/>
                <w:szCs w:val="22"/>
                <w:color w:val="auto"/>
                <w:w w:val="90"/>
              </w:rPr>
              <w:t>/s/ Abraham Ludomirski</w:t>
            </w: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34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22"/>
                <w:szCs w:val="22"/>
                <w:color w:val="auto"/>
              </w:rPr>
              <w:t>May 23, 2023</w:t>
            </w:r>
          </w:p>
        </w:tc>
        <w:tc>
          <w:tcPr>
            <w:tcW w:w="0" w:type="dxa"/>
            <w:vAlign w:val="bottom"/>
          </w:tcPr>
          <w:p>
            <w:pPr>
              <w:spacing w:after="0"/>
              <w:rPr>
                <w:sz w:val="1"/>
                <w:szCs w:val="1"/>
                <w:color w:val="auto"/>
              </w:rPr>
            </w:pPr>
          </w:p>
        </w:tc>
      </w:tr>
      <w:tr>
        <w:trPr>
          <w:trHeight w:val="273"/>
        </w:trPr>
        <w:tc>
          <w:tcPr>
            <w:tcW w:w="3400" w:type="dxa"/>
            <w:vAlign w:val="bottom"/>
            <w:gridSpan w:val="13"/>
          </w:tcPr>
          <w:p>
            <w:pPr>
              <w:spacing w:after="0"/>
              <w:rPr>
                <w:sz w:val="20"/>
                <w:szCs w:val="20"/>
                <w:color w:val="auto"/>
              </w:rPr>
            </w:pPr>
            <w:r>
              <w:rPr>
                <w:rFonts w:ascii="Arial" w:cs="Arial" w:eastAsia="Arial" w:hAnsi="Arial"/>
                <w:sz w:val="22"/>
                <w:szCs w:val="22"/>
                <w:color w:val="auto"/>
              </w:rPr>
              <w:t>Abraham Ludomirski</w:t>
            </w:r>
          </w:p>
        </w:tc>
        <w:tc>
          <w:tcPr>
            <w:tcW w:w="3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9"/>
              </w:rPr>
              <w:t>/s/ Ziv Shoshani</w:t>
            </w:r>
          </w:p>
        </w:tc>
        <w:tc>
          <w:tcPr>
            <w:tcW w:w="1980" w:type="dxa"/>
            <w:vAlign w:val="bottom"/>
            <w:gridSpan w:val="11"/>
          </w:tcPr>
          <w:p>
            <w:pPr>
              <w:spacing w:after="0"/>
              <w:rPr>
                <w:sz w:val="24"/>
                <w:szCs w:val="24"/>
                <w:color w:val="auto"/>
              </w:rPr>
            </w:pPr>
          </w:p>
        </w:tc>
        <w:tc>
          <w:tcPr>
            <w:tcW w:w="34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34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22"/>
                <w:szCs w:val="22"/>
                <w:color w:val="auto"/>
              </w:rPr>
              <w:t>May 23, 2023</w:t>
            </w:r>
          </w:p>
        </w:tc>
        <w:tc>
          <w:tcPr>
            <w:tcW w:w="0" w:type="dxa"/>
            <w:vAlign w:val="bottom"/>
          </w:tcPr>
          <w:p>
            <w:pPr>
              <w:spacing w:after="0"/>
              <w:rPr>
                <w:sz w:val="1"/>
                <w:szCs w:val="1"/>
                <w:color w:val="auto"/>
              </w:rPr>
            </w:pPr>
          </w:p>
        </w:tc>
      </w:tr>
      <w:tr>
        <w:trPr>
          <w:trHeight w:val="273"/>
        </w:trPr>
        <w:tc>
          <w:tcPr>
            <w:tcW w:w="3400" w:type="dxa"/>
            <w:vAlign w:val="bottom"/>
            <w:gridSpan w:val="13"/>
          </w:tcPr>
          <w:p>
            <w:pPr>
              <w:spacing w:after="0"/>
              <w:rPr>
                <w:sz w:val="20"/>
                <w:szCs w:val="20"/>
                <w:color w:val="auto"/>
              </w:rPr>
            </w:pPr>
            <w:r>
              <w:rPr>
                <w:rFonts w:ascii="Arial" w:cs="Arial" w:eastAsia="Arial" w:hAnsi="Arial"/>
                <w:sz w:val="22"/>
                <w:szCs w:val="22"/>
                <w:color w:val="auto"/>
              </w:rPr>
              <w:t>Ziv Shoshani</w:t>
            </w:r>
          </w:p>
        </w:tc>
        <w:tc>
          <w:tcPr>
            <w:tcW w:w="3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3400" w:type="dxa"/>
            <w:vAlign w:val="bottom"/>
            <w:gridSpan w:val="13"/>
          </w:tcPr>
          <w:p>
            <w:pPr>
              <w:spacing w:after="0"/>
              <w:rPr>
                <w:sz w:val="20"/>
                <w:szCs w:val="20"/>
                <w:color w:val="auto"/>
              </w:rPr>
            </w:pPr>
            <w:r>
              <w:rPr>
                <w:rFonts w:ascii="Arial" w:cs="Arial" w:eastAsia="Arial" w:hAnsi="Arial"/>
                <w:sz w:val="22"/>
                <w:szCs w:val="22"/>
                <w:color w:val="auto"/>
              </w:rPr>
              <w:t>/s/ Timothy V. Talbert</w:t>
            </w:r>
          </w:p>
        </w:tc>
        <w:tc>
          <w:tcPr>
            <w:tcW w:w="34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34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22"/>
                <w:szCs w:val="22"/>
                <w:color w:val="auto"/>
              </w:rPr>
              <w:t>May 23, 2023</w:t>
            </w:r>
          </w:p>
        </w:tc>
        <w:tc>
          <w:tcPr>
            <w:tcW w:w="0" w:type="dxa"/>
            <w:vAlign w:val="bottom"/>
          </w:tcPr>
          <w:p>
            <w:pPr>
              <w:spacing w:after="0"/>
              <w:rPr>
                <w:sz w:val="1"/>
                <w:szCs w:val="1"/>
                <w:color w:val="auto"/>
              </w:rPr>
            </w:pPr>
          </w:p>
        </w:tc>
      </w:tr>
      <w:tr>
        <w:trPr>
          <w:trHeight w:val="273"/>
        </w:trPr>
        <w:tc>
          <w:tcPr>
            <w:tcW w:w="1880" w:type="dxa"/>
            <w:vAlign w:val="bottom"/>
            <w:tcBorders>
              <w:top w:val="single" w:sz="8" w:color="auto"/>
            </w:tcBorders>
            <w:gridSpan w:val="9"/>
          </w:tcPr>
          <w:p>
            <w:pPr>
              <w:spacing w:after="0"/>
              <w:rPr>
                <w:sz w:val="20"/>
                <w:szCs w:val="20"/>
                <w:color w:val="auto"/>
              </w:rPr>
            </w:pPr>
            <w:r>
              <w:rPr>
                <w:rFonts w:ascii="Arial" w:cs="Arial" w:eastAsia="Arial" w:hAnsi="Arial"/>
                <w:sz w:val="22"/>
                <w:szCs w:val="22"/>
                <w:color w:val="auto"/>
              </w:rPr>
              <w:t>Timothy V. Talbert</w:t>
            </w:r>
          </w:p>
        </w:tc>
        <w:tc>
          <w:tcPr>
            <w:tcW w:w="1520" w:type="dxa"/>
            <w:vAlign w:val="bottom"/>
            <w:gridSpan w:val="4"/>
          </w:tcPr>
          <w:p>
            <w:pPr>
              <w:spacing w:after="0"/>
              <w:rPr>
                <w:sz w:val="23"/>
                <w:szCs w:val="23"/>
                <w:color w:val="auto"/>
              </w:rPr>
            </w:pPr>
          </w:p>
        </w:tc>
        <w:tc>
          <w:tcPr>
            <w:tcW w:w="3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1960" w:type="dxa"/>
            <w:vAlign w:val="bottom"/>
            <w:tcBorders>
              <w:bottom w:val="single" w:sz="8" w:color="auto"/>
            </w:tcBorders>
            <w:gridSpan w:val="11"/>
          </w:tcPr>
          <w:p>
            <w:pPr>
              <w:spacing w:after="0"/>
              <w:rPr>
                <w:sz w:val="20"/>
                <w:szCs w:val="20"/>
                <w:color w:val="auto"/>
              </w:rPr>
            </w:pPr>
            <w:r>
              <w:rPr>
                <w:rFonts w:ascii="Arial" w:cs="Arial" w:eastAsia="Arial" w:hAnsi="Arial"/>
                <w:sz w:val="22"/>
                <w:szCs w:val="22"/>
                <w:color w:val="auto"/>
                <w:w w:val="87"/>
              </w:rPr>
              <w:t>/s/ Jeffrey H. Vanneste</w:t>
            </w:r>
          </w:p>
        </w:tc>
        <w:tc>
          <w:tcPr>
            <w:tcW w:w="14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34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22"/>
                <w:szCs w:val="22"/>
                <w:color w:val="auto"/>
              </w:rPr>
              <w:t>May 23, 2023</w:t>
            </w:r>
          </w:p>
        </w:tc>
        <w:tc>
          <w:tcPr>
            <w:tcW w:w="0" w:type="dxa"/>
            <w:vAlign w:val="bottom"/>
          </w:tcPr>
          <w:p>
            <w:pPr>
              <w:spacing w:after="0"/>
              <w:rPr>
                <w:sz w:val="1"/>
                <w:szCs w:val="1"/>
                <w:color w:val="auto"/>
              </w:rPr>
            </w:pPr>
          </w:p>
        </w:tc>
      </w:tr>
      <w:tr>
        <w:trPr>
          <w:trHeight w:val="273"/>
        </w:trPr>
        <w:tc>
          <w:tcPr>
            <w:tcW w:w="3400" w:type="dxa"/>
            <w:vAlign w:val="bottom"/>
            <w:gridSpan w:val="13"/>
          </w:tcPr>
          <w:p>
            <w:pPr>
              <w:spacing w:after="0"/>
              <w:rPr>
                <w:sz w:val="20"/>
                <w:szCs w:val="20"/>
                <w:color w:val="auto"/>
              </w:rPr>
            </w:pPr>
            <w:r>
              <w:rPr>
                <w:rFonts w:ascii="Arial" w:cs="Arial" w:eastAsia="Arial" w:hAnsi="Arial"/>
                <w:sz w:val="22"/>
                <w:szCs w:val="22"/>
                <w:color w:val="auto"/>
              </w:rPr>
              <w:t>Jeffrey H. Vanneste</w:t>
            </w:r>
          </w:p>
        </w:tc>
        <w:tc>
          <w:tcPr>
            <w:tcW w:w="3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3400" w:type="dxa"/>
            <w:vAlign w:val="bottom"/>
            <w:gridSpan w:val="13"/>
          </w:tcPr>
          <w:p>
            <w:pPr>
              <w:spacing w:after="0"/>
              <w:rPr>
                <w:sz w:val="20"/>
                <w:szCs w:val="20"/>
                <w:color w:val="auto"/>
              </w:rPr>
            </w:pPr>
            <w:r>
              <w:rPr>
                <w:rFonts w:ascii="Arial" w:cs="Arial" w:eastAsia="Arial" w:hAnsi="Arial"/>
                <w:sz w:val="22"/>
                <w:szCs w:val="22"/>
                <w:color w:val="auto"/>
              </w:rPr>
              <w:t>/s/ Ruta Zandman</w:t>
            </w:r>
          </w:p>
        </w:tc>
        <w:tc>
          <w:tcPr>
            <w:tcW w:w="34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34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22"/>
                <w:szCs w:val="22"/>
                <w:color w:val="auto"/>
              </w:rPr>
              <w:t>May 23, 2023</w:t>
            </w:r>
          </w:p>
        </w:tc>
        <w:tc>
          <w:tcPr>
            <w:tcW w:w="0" w:type="dxa"/>
            <w:vAlign w:val="bottom"/>
          </w:tcPr>
          <w:p>
            <w:pPr>
              <w:spacing w:after="0"/>
              <w:rPr>
                <w:sz w:val="1"/>
                <w:szCs w:val="1"/>
                <w:color w:val="auto"/>
              </w:rPr>
            </w:pPr>
          </w:p>
        </w:tc>
      </w:tr>
      <w:tr>
        <w:trPr>
          <w:trHeight w:val="273"/>
        </w:trPr>
        <w:tc>
          <w:tcPr>
            <w:tcW w:w="154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Ruta Zandman</w:t>
            </w:r>
          </w:p>
        </w:tc>
        <w:tc>
          <w:tcPr>
            <w:tcW w:w="1860" w:type="dxa"/>
            <w:vAlign w:val="bottom"/>
            <w:gridSpan w:val="10"/>
          </w:tcPr>
          <w:p>
            <w:pPr>
              <w:spacing w:after="0"/>
              <w:rPr>
                <w:sz w:val="23"/>
                <w:szCs w:val="23"/>
                <w:color w:val="auto"/>
              </w:rPr>
            </w:pPr>
          </w:p>
        </w:tc>
        <w:tc>
          <w:tcPr>
            <w:tcW w:w="3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3400" w:type="dxa"/>
            <w:vAlign w:val="bottom"/>
            <w:gridSpan w:val="13"/>
          </w:tcPr>
          <w:p>
            <w:pPr>
              <w:spacing w:after="0"/>
              <w:rPr>
                <w:sz w:val="20"/>
                <w:szCs w:val="20"/>
                <w:color w:val="auto"/>
              </w:rPr>
            </w:pPr>
            <w:r>
              <w:rPr>
                <w:rFonts w:ascii="Arial" w:cs="Arial" w:eastAsia="Arial" w:hAnsi="Arial"/>
                <w:sz w:val="22"/>
                <w:szCs w:val="22"/>
                <w:color w:val="auto"/>
              </w:rPr>
              <w:t>/s/ Raanan Zilberman</w:t>
            </w:r>
          </w:p>
        </w:tc>
        <w:tc>
          <w:tcPr>
            <w:tcW w:w="34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34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22"/>
                <w:szCs w:val="22"/>
                <w:color w:val="auto"/>
              </w:rPr>
              <w:t>May 23, 2023</w:t>
            </w:r>
          </w:p>
        </w:tc>
        <w:tc>
          <w:tcPr>
            <w:tcW w:w="0" w:type="dxa"/>
            <w:vAlign w:val="bottom"/>
          </w:tcPr>
          <w:p>
            <w:pPr>
              <w:spacing w:after="0"/>
              <w:rPr>
                <w:sz w:val="1"/>
                <w:szCs w:val="1"/>
                <w:color w:val="auto"/>
              </w:rPr>
            </w:pPr>
          </w:p>
        </w:tc>
      </w:tr>
      <w:tr>
        <w:trPr>
          <w:trHeight w:val="274"/>
        </w:trPr>
        <w:tc>
          <w:tcPr>
            <w:tcW w:w="1860" w:type="dxa"/>
            <w:vAlign w:val="bottom"/>
            <w:tcBorders>
              <w:top w:val="single" w:sz="8" w:color="auto"/>
            </w:tcBorders>
            <w:gridSpan w:val="8"/>
          </w:tcPr>
          <w:p>
            <w:pPr>
              <w:spacing w:after="0"/>
              <w:rPr>
                <w:sz w:val="20"/>
                <w:szCs w:val="20"/>
                <w:color w:val="auto"/>
              </w:rPr>
            </w:pPr>
            <w:r>
              <w:rPr>
                <w:rFonts w:ascii="Arial" w:cs="Arial" w:eastAsia="Arial" w:hAnsi="Arial"/>
                <w:sz w:val="22"/>
                <w:szCs w:val="22"/>
                <w:color w:val="auto"/>
              </w:rPr>
              <w:t>Raanan Zilberman</w:t>
            </w:r>
          </w:p>
        </w:tc>
        <w:tc>
          <w:tcPr>
            <w:tcW w:w="1540" w:type="dxa"/>
            <w:vAlign w:val="bottom"/>
            <w:gridSpan w:val="5"/>
          </w:tcPr>
          <w:p>
            <w:pPr>
              <w:spacing w:after="0"/>
              <w:rPr>
                <w:sz w:val="23"/>
                <w:szCs w:val="23"/>
                <w:color w:val="auto"/>
              </w:rPr>
            </w:pPr>
          </w:p>
        </w:tc>
        <w:tc>
          <w:tcPr>
            <w:tcW w:w="3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612" w:gutter="0" w:footer="0" w:header="0"/>
        </w:sectPr>
      </w:pPr>
    </w:p>
    <w:bookmarkStart w:id="7" w:name="page8"/>
    <w:bookmarkEnd w:id="7"/>
    <w:p>
      <w:pPr>
        <w:ind w:left="10000"/>
        <w:spacing w:after="0"/>
        <w:rPr>
          <w:sz w:val="20"/>
          <w:szCs w:val="20"/>
          <w:color w:val="auto"/>
        </w:rPr>
      </w:pPr>
      <w:r>
        <w:rPr>
          <w:rFonts w:ascii="Arial" w:cs="Arial" w:eastAsia="Arial" w:hAnsi="Arial"/>
          <w:sz w:val="22"/>
          <w:szCs w:val="22"/>
          <w:b w:val="1"/>
          <w:bCs w:val="1"/>
          <w:color w:val="auto"/>
        </w:rPr>
        <w:t>EXHIBIT 5.3</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 23, 2023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Vishay Intertechnology, Inc.</w:t>
      </w:r>
    </w:p>
    <w:p>
      <w:pPr>
        <w:spacing w:after="0" w:line="8" w:lineRule="exact"/>
        <w:rPr>
          <w:sz w:val="20"/>
          <w:szCs w:val="20"/>
          <w:color w:val="auto"/>
        </w:rPr>
      </w:pPr>
    </w:p>
    <w:p>
      <w:pPr>
        <w:ind w:right="8640" w:firstLine="8"/>
        <w:spacing w:after="0" w:line="308" w:lineRule="auto"/>
        <w:tabs>
          <w:tab w:leader="none" w:pos="270" w:val="left"/>
        </w:tabs>
        <w:numPr>
          <w:ilvl w:val="0"/>
          <w:numId w:val="10"/>
        </w:numPr>
        <w:rPr>
          <w:rFonts w:ascii="Arial" w:cs="Arial" w:eastAsia="Arial" w:hAnsi="Arial"/>
          <w:sz w:val="19"/>
          <w:szCs w:val="19"/>
          <w:color w:val="auto"/>
        </w:rPr>
      </w:pPr>
      <w:r>
        <w:rPr>
          <w:rFonts w:ascii="Arial" w:cs="Arial" w:eastAsia="Arial" w:hAnsi="Arial"/>
          <w:sz w:val="19"/>
          <w:szCs w:val="19"/>
          <w:color w:val="auto"/>
        </w:rPr>
        <w:t>Lancaster Avenue Malvern, Pennsylvania 19355</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RE:</w:t>
        <w:tab/>
        <w:t>Post- Effective Amendment No. 1 to Registration Statement on Form S-8 (File Nos. 333-144466 and 333-196143)</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We have acted as counsel to Vishay Intertechnology, Inc., a Delaware corporation (the “Company”), in connection with the Post-Effective Amendment No.1 to Registration Statement on Form S-8 (File Nos. 333-144466 and 333-196143) (the “Post-Effective Amendment”), as filed by the Company with the Securities and Exchange Commission (the “Commission”) on the date hereof, pursuant to the Securities Act of 1933, as amended (the “Securities Act”), to register certain shares of common stock, par value $0.10 per share (the “Common Stock”), of the Company (the “Shares”), which may be issued by the Company from time to time pursuant to the Company’s 2023 Long-Term Incentive Plan (the “2023 Plan”), which Shares were originally authorized for issuance under the Vishay Intertechnology, Inc. 2007 Stock Incentive Program, as amended and restated on May 20, 2014 (the “Former Plan,” and together with the 2023 Plan, the “Plans”). The maximum number of such Shares is 1,294,546, as further described in the “Explanatory Note” to the Post-Effective Amendment.</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This opinion is being furnished in accordance with the requirements of Item 8(a) of Form S-8 and Item 601(b)(5)(i) of Regulation S-K. No opinion is expressed herein as to any matter pertaining to the contents of the Post-Effective Amendment or the related prospectuses, other than as expressly stated herein with respect to the issuance of the Shares.</w:t>
      </w:r>
    </w:p>
    <w:p>
      <w:pPr>
        <w:spacing w:after="0" w:line="13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We have examined originals or copies of such corporate records, agreements and instruments of the Company, statements and certificates of public officials and officers of the Company, and such other documents, records and instruments, including the Plans, and we have made such legal and factual inquiries as we have deemed necessary or appropriate as a basis for us to render the opinions hereinafter expressed. In our examination of the foregoing, we have assumed the genuineness of all signatures, the legal competence and capacity of natural persons, the accuracy and completeness of all documents submitted to us, the authenticity of documents submitted to us as originals and the conformity with authentic original documents of all documents submitted to us as copies. As to all matters of fact, we have relied on the representations and statements of fact made in the documents so reviewed, and we have not independently established the facts so relied on.</w:t>
      </w:r>
    </w:p>
    <w:p>
      <w:pPr>
        <w:spacing w:after="0" w:line="15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In connection herewith, we have assumed that (i) all of the documents referred to in this opinion letter have been duly authorized by, have been duly executed and delivered by, and constitute the valid, binding and enforceable obligations of, all of the parties to such documents, (ii) all of the signatories to the documents referred to in this opinion letter have been duly authorized, and (iii) all of the parties to the documents referred to in this opinion letter are duly organized and validly existing and have the power and authority (corporate or other) to execute, deliver and perform such documents.</w:t>
      </w:r>
    </w:p>
    <w:p>
      <w:pPr>
        <w:spacing w:after="0" w:line="14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We do not purport to express an opinion on any laws other than the laws of the State of Delaware.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spacing w:after="0" w:line="184"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and sold by the Company as contemplated by the 2023 Plan, assuming in each case that the individual issuances, grants or awards under the 2023 Plan are duly authorized by all necessary corporate action and duly issued, granted or awarded and exercised in accordance with the requirements of law and the 2023 Plan (and the agreements and awards duly adopted thereunder and in accordance therewith), the Shares will be legally and validly issued, fully paid and nonassessable.</w:t>
      </w:r>
    </w:p>
    <w:p>
      <w:pPr>
        <w:spacing w:after="0" w:line="177" w:lineRule="exact"/>
        <w:rPr>
          <w:sz w:val="20"/>
          <w:szCs w:val="20"/>
          <w:color w:val="auto"/>
        </w:rPr>
      </w:pPr>
    </w:p>
    <w:p>
      <w:pPr>
        <w:ind w:right="160" w:firstLine="648"/>
        <w:spacing w:after="0" w:line="235" w:lineRule="auto"/>
        <w:rPr>
          <w:sz w:val="20"/>
          <w:szCs w:val="20"/>
          <w:color w:val="auto"/>
        </w:rPr>
      </w:pPr>
      <w:r>
        <w:rPr>
          <w:rFonts w:ascii="Arial" w:cs="Arial" w:eastAsia="Arial" w:hAnsi="Arial"/>
          <w:sz w:val="22"/>
          <w:szCs w:val="22"/>
          <w:color w:val="auto"/>
        </w:rPr>
        <w:t>We do not render any opinions except as set forth above. We hereby consent to the filing of this opinion as Exhibit 5.1 to the Post-Effective Amendment. We also consent to your filing copies of this opinion as an exhibit to the Post-Effective Amendment with such agencies of such states as you deem necessary in the course of complying with the laws of such states regarding the offering and sale of the securities addressed herein. In giving this consent, we do not admit that we are within the category of persons whose consent is required by Section 7 of the Securities Act or the rules and regulations promulgated thereunder by the Commission.</w:t>
      </w:r>
    </w:p>
    <w:p>
      <w:pPr>
        <w:spacing w:after="0" w:line="215"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 Troutman Pepper Hamilton Sanders LLP</w:t>
      </w:r>
    </w:p>
    <w:p>
      <w:pPr>
        <w:sectPr>
          <w:pgSz w:w="11900" w:h="16838" w:orient="portrait"/>
          <w:cols w:equalWidth="0" w:num="1">
            <w:col w:w="11240"/>
          </w:cols>
          <w:pgMar w:left="320" w:top="111" w:right="339" w:bottom="0" w:gutter="0" w:footer="0" w:header="0"/>
        </w:sectPr>
      </w:pPr>
    </w:p>
    <w:bookmarkStart w:id="8" w:name="page9"/>
    <w:bookmarkEnd w:id="8"/>
    <w:p>
      <w:pPr>
        <w:jc w:val="center"/>
        <w:ind w:right="239"/>
        <w:spacing w:after="0"/>
        <w:rPr>
          <w:sz w:val="20"/>
          <w:szCs w:val="20"/>
          <w:color w:val="auto"/>
        </w:rPr>
      </w:pPr>
      <w:r>
        <w:rPr>
          <w:rFonts w:ascii="Arial" w:cs="Arial" w:eastAsia="Arial" w:hAnsi="Arial"/>
          <w:sz w:val="19"/>
          <w:szCs w:val="19"/>
          <w:color w:val="auto"/>
        </w:rPr>
        <w:t>Troutman Pepper Hamilton Sanders LLP</w:t>
      </w:r>
    </w:p>
    <w:p>
      <w:pPr>
        <w:sectPr>
          <w:pgSz w:w="11900" w:h="16838" w:orient="portrait"/>
          <w:cols w:equalWidth="0" w:num="1">
            <w:col w:w="9019"/>
          </w:cols>
          <w:pgMar w:left="1440" w:top="118" w:right="1440" w:bottom="1440" w:gutter="0" w:footer="0" w:header="0"/>
        </w:sectPr>
      </w:pPr>
    </w:p>
    <w:bookmarkStart w:id="9" w:name="page10"/>
    <w:bookmarkEnd w:id="9"/>
    <w:p>
      <w:pPr>
        <w:ind w:left="9880"/>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consent to the incorporation by reference in Post-Effective Amendment No. 1 to the Registration Statements (Form S-8 No. 333-144466 and Form S-8 No. 333-196143) pertaining to the 2007 Stock Incentive Program and 2023 Long-Term Incentive Plan of Vishay Intertechnology, Inc. of our reports dated February 22, 2023, with respect to the consolidated financial statements of Vishay Intertechnology, Inc. and the effectiveness of internal control over financial reporting of Vishay Intertechnology, Inc. included in its Annual Report (Form 10-K) for the year ended December 31, 2022, filed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May 23, 2023</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63"/>
    </w:lvl>
  </w:abstractNum>
  <w:abstractNum w:abstractNumId="1">
    <w:nsid w:val="507ED7AB"/>
    <w:multiLevelType w:val="hybridMultilevel"/>
    <w:lvl w:ilvl="0">
      <w:lvlJc w:val="left"/>
      <w:lvlText w:val="%1"/>
      <w:numFmt w:val="decimal"/>
      <w:start w:val="63"/>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1"/>
    </w:lvl>
    <w:lvl w:ilvl="1">
      <w:lvlJc w:val="left"/>
      <w:lvlText w:val="(%2)"/>
      <w:numFmt w:val="decimal"/>
      <w:start w:val="1"/>
    </w:lvl>
  </w:abstractNum>
  <w:abstractNum w:abstractNumId="4">
    <w:nsid w:val="79E2A9E3"/>
    <w:multiLevelType w:val="hybridMultilevel"/>
    <w:lvl w:ilvl="0">
      <w:lvlJc w:val="left"/>
      <w:lvlText w:val="(%1)"/>
      <w:numFmt w:val="lowerRoman"/>
      <w:start w:val="1"/>
    </w:lvl>
  </w:abstractNum>
  <w:abstractNum w:abstractNumId="5">
    <w:nsid w:val="7545E146"/>
    <w:multiLevelType w:val="hybridMultilevel"/>
    <w:lvl w:ilvl="0">
      <w:lvlJc w:val="left"/>
      <w:lvlText w:val="%1"/>
      <w:numFmt w:val="lowerRoman"/>
      <w:start w:val="1"/>
    </w:lvl>
    <w:lvl w:ilvl="1">
      <w:lvlJc w:val="left"/>
      <w:lvlText w:val="(%2)"/>
      <w:numFmt w:val="lowerRoman"/>
      <w:start w:val="2"/>
    </w:lvl>
  </w:abstractNum>
  <w:abstractNum w:abstractNumId="6">
    <w:nsid w:val="515F007C"/>
    <w:multiLevelType w:val="hybridMultilevel"/>
    <w:lvl w:ilvl="0">
      <w:lvlJc w:val="left"/>
      <w:lvlText w:val="(%1)"/>
      <w:numFmt w:val="lowerRoman"/>
      <w:start w:val="3"/>
    </w:lvl>
    <w:lvl w:ilvl="1">
      <w:lvlJc w:val="left"/>
      <w:lvlText w:val="%2"/>
      <w:numFmt w:val="lowerRoman"/>
      <w:start w:val="1"/>
    </w:lvl>
  </w:abstractNum>
  <w:abstractNum w:abstractNumId="7">
    <w:nsid w:val="5BD062C2"/>
    <w:multiLevelType w:val="hybridMultilevel"/>
    <w:lvl w:ilvl="0">
      <w:lvlJc w:val="left"/>
      <w:lvlText w:val="%1"/>
      <w:numFmt w:val="lowerLetter"/>
      <w:start w:val="1"/>
    </w:lvl>
    <w:lvl w:ilvl="1">
      <w:lvlJc w:val="left"/>
      <w:lvlText w:val="(%2)"/>
      <w:numFmt w:val="decimal"/>
      <w:start w:val="2"/>
    </w:lvl>
  </w:abstractNum>
  <w:abstractNum w:abstractNumId="8">
    <w:nsid w:val="12200854"/>
    <w:multiLevelType w:val="hybridMultilevel"/>
    <w:lvl w:ilvl="0">
      <w:lvlJc w:val="left"/>
      <w:lvlText w:val="(%1)"/>
      <w:numFmt w:val="lowerLetter"/>
      <w:start w:val="2"/>
    </w:lvl>
    <w:lvl w:ilvl="1">
      <w:lvlJc w:val="left"/>
      <w:lvlText w:val="%2"/>
      <w:numFmt w:val="decimal"/>
      <w:start w:val="1"/>
    </w:lvl>
  </w:abstractNum>
  <w:abstractNum w:abstractNumId="9">
    <w:nsid w:val="4DB127F8"/>
    <w:multiLevelType w:val="hybridMultilevel"/>
    <w:lvl w:ilvl="0">
      <w:lvlJc w:val="left"/>
      <w:lvlText w:val="%1"/>
      <w:numFmt w:val="decimal"/>
      <w:start w:val="6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11" Type="http://schemas.openxmlformats.org/officeDocument/2006/relationships/hyperlink" Target="https://www.sec.gov/Archives/edgar/data/103730/000010373012000031/exhhibit3-1.htm" TargetMode="External"/><Relationship Id="rId13" Type="http://schemas.openxmlformats.org/officeDocument/2006/relationships/hyperlink" Target="https://www.sec.gov/Archives/edgar/data/103730/000120677411001322/exhibit3-2.htm" TargetMode="External"/><Relationship Id="rId14" Type="http://schemas.openxmlformats.org/officeDocument/2006/relationships/hyperlink" Target="https://www.sec.gov/Archives/edgar/data/103730/000010373015000037/exhibit3-1.htm" TargetMode="External"/><Relationship Id="rId16" Type="http://schemas.openxmlformats.org/officeDocument/2006/relationships/hyperlink" Target="https://www.sec.gov/Archives/edgar/data/103730/000010373023000010/exhibit3-1.htm" TargetMode="External"/><Relationship Id="rId17" Type="http://schemas.openxmlformats.org/officeDocument/2006/relationships/hyperlink" Target="https://www.sec.gov/Archives/edgar/data/103730/000120677407001748/vi134580ex51.htm" TargetMode="External"/><Relationship Id="rId19" Type="http://schemas.openxmlformats.org/officeDocument/2006/relationships/hyperlink" Target="https://www.sec.gov/Archives/edgar/data/103730/000010373014000025/exhibit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2023-05-23T15:16:25Z</dcterms:created>
  <dcterms:modified xsi:type="dcterms:W3CDTF">2023-05-23T15:16:25Z</dcterms:modified>
</cp:coreProperties>
</file>