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4"/>
          <w:szCs w:val="24"/>
          <w:color w:val="auto"/>
        </w:rPr>
      </w:pPr>
    </w:p>
    <w:p>
      <w:pPr>
        <w:ind w:left="400" w:right="599"/>
        <w:spacing w:after="0" w:line="244" w:lineRule="auto"/>
        <w:rPr>
          <w:sz w:val="20"/>
          <w:szCs w:val="20"/>
          <w:color w:val="auto"/>
        </w:rPr>
      </w:pPr>
      <w:r>
        <w:rPr>
          <w:rFonts w:ascii="Arial" w:cs="Arial" w:eastAsia="Arial" w:hAnsi="Arial"/>
          <w:sz w:val="18"/>
          <w:szCs w:val="18"/>
          <w:b w:val="1"/>
          <w:bCs w:val="1"/>
          <w:color w:val="FC0014"/>
        </w:rPr>
        <w:t>The information in this preliminary prospectus supplement is not complete and may be changed. A registration statement relating to these securities has become effective under the Securities Act of 1933, as amended. This preliminary prospectus supplement and the accompanying prospectus are not an offer to sell these securities and we are not soliciting an offer to buy these securities in any state or other jurisdiction where the offer or sale is not permitted.</w:t>
      </w:r>
    </w:p>
    <w:p>
      <w:pPr>
        <w:spacing w:after="0" w:line="165"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333-297116</w:t>
      </w:r>
    </w:p>
    <w:p>
      <w:pPr>
        <w:spacing w:after="0" w:line="20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FC0014"/>
        </w:rPr>
        <w:t>Subject to completion, dated June 29, 2026</w:t>
      </w:r>
    </w:p>
    <w:p>
      <w:pPr>
        <w:spacing w:after="0" w:line="225"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(To Prospectus Dated June 29, 2026)</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$750,000,000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172720</wp:posOffset>
            </wp:positionV>
            <wp:extent cx="968375"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8375"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48"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32"/>
          <w:szCs w:val="32"/>
          <w:b w:val="1"/>
          <w:bCs w:val="1"/>
          <w:color w:val="auto"/>
        </w:rPr>
        <w:t>Vishay Intertechnology, Inc.</w:t>
      </w:r>
    </w:p>
    <w:p>
      <w:pPr>
        <w:spacing w:after="0" w:line="3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 </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94" w:lineRule="exact"/>
        <w:rPr>
          <w:sz w:val="24"/>
          <w:szCs w:val="24"/>
          <w:color w:val="auto"/>
        </w:rPr>
      </w:pPr>
    </w:p>
    <w:p>
      <w:pPr>
        <w:ind w:left="400" w:right="839" w:firstLine="360"/>
        <w:spacing w:after="0" w:line="282" w:lineRule="auto"/>
        <w:rPr>
          <w:sz w:val="20"/>
          <w:szCs w:val="20"/>
          <w:color w:val="auto"/>
        </w:rPr>
      </w:pPr>
      <w:r>
        <w:rPr>
          <w:rFonts w:ascii="Times New Roman" w:cs="Times New Roman" w:eastAsia="Times New Roman" w:hAnsi="Times New Roman"/>
          <w:sz w:val="18"/>
          <w:szCs w:val="18"/>
          <w:color w:val="auto"/>
        </w:rPr>
        <w:t>We are offering $750,000,000 of shares of our common stock, par value $0.10 per share (our “common stock”).</w:t>
      </w:r>
    </w:p>
    <w:p>
      <w:pPr>
        <w:spacing w:after="0" w:line="54" w:lineRule="exact"/>
        <w:rPr>
          <w:sz w:val="24"/>
          <w:szCs w:val="24"/>
          <w:color w:val="auto"/>
        </w:rPr>
      </w:pPr>
    </w:p>
    <w:p>
      <w:pPr>
        <w:ind w:left="400" w:right="45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“VSH.” On June 26, 2026, the last reported sale price of our common stock was $56.35 per share.</w:t>
      </w:r>
    </w:p>
    <w:p>
      <w:pPr>
        <w:spacing w:after="0" w:line="54" w:lineRule="exact"/>
        <w:rPr>
          <w:sz w:val="24"/>
          <w:szCs w:val="24"/>
          <w:color w:val="auto"/>
        </w:rPr>
      </w:pPr>
    </w:p>
    <w:p>
      <w:pPr>
        <w:ind w:left="400" w:right="659" w:firstLine="36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 $112,500,000 of shares of our common stock, for 30 days after the date of this prospectus supplement.</w:t>
      </w:r>
    </w:p>
    <w:p>
      <w:pPr>
        <w:spacing w:after="0" w:line="183"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320" w:type="dxa"/>
            <w:vAlign w:val="bottom"/>
          </w:tcPr>
          <w:p>
            <w:pPr>
              <w:spacing w:after="0"/>
              <w:rPr>
                <w:sz w:val="13"/>
                <w:szCs w:val="13"/>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88"/>
              </w:rPr>
              <w:t>Total</w:t>
            </w:r>
            <w:r>
              <w:rPr>
                <w:rFonts w:ascii="Times New Roman" w:cs="Times New Roman" w:eastAsia="Times New Roman" w:hAnsi="Times New Roman"/>
                <w:sz w:val="23"/>
                <w:szCs w:val="23"/>
                <w:b w:val="1"/>
                <w:bCs w:val="1"/>
                <w:color w:val="auto"/>
                <w:w w:val="88"/>
                <w:vertAlign w:val="superscript"/>
              </w:rPr>
              <w:t>(2)</w:t>
            </w:r>
          </w:p>
        </w:tc>
        <w:tc>
          <w:tcPr>
            <w:tcW w:w="0" w:type="dxa"/>
            <w:vAlign w:val="bottom"/>
          </w:tcPr>
          <w:p>
            <w:pPr>
              <w:spacing w:after="0"/>
              <w:rPr>
                <w:sz w:val="1"/>
                <w:szCs w:val="1"/>
                <w:color w:val="auto"/>
              </w:rPr>
            </w:pPr>
          </w:p>
        </w:tc>
      </w:tr>
      <w:tr>
        <w:trPr>
          <w:trHeight w:val="214"/>
        </w:trPr>
        <w:tc>
          <w:tcPr>
            <w:tcW w:w="13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2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to the public</w:t>
            </w: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43"/>
        </w:trPr>
        <w:tc>
          <w:tcPr>
            <w:tcW w:w="682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Underwriting discount and commissions</w:t>
            </w:r>
            <w:r>
              <w:rPr>
                <w:rFonts w:ascii="Times New Roman" w:cs="Times New Roman" w:eastAsia="Times New Roman" w:hAnsi="Times New Roman"/>
                <w:sz w:val="28"/>
                <w:szCs w:val="28"/>
                <w:color w:val="auto"/>
                <w:vertAlign w:val="superscript"/>
              </w:rPr>
              <w:t>(1)</w:t>
            </w: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300" w:type="dxa"/>
            <w:vAlign w:val="bottom"/>
            <w:tcBorders>
              <w:bottom w:val="single" w:sz="8" w:color="auto"/>
            </w:tcBorders>
          </w:tcPr>
          <w:p>
            <w:pPr>
              <w:spacing w:after="0"/>
              <w:rPr>
                <w:sz w:val="12"/>
                <w:szCs w:val="12"/>
                <w:color w:val="auto"/>
              </w:rPr>
            </w:pPr>
          </w:p>
        </w:tc>
        <w:tc>
          <w:tcPr>
            <w:tcW w:w="5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760" w:right="679" w:hanging="360"/>
        <w:spacing w:after="0" w:line="263" w:lineRule="auto"/>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agreed to reimburse the underwriters for certain expenses in connection with this offering. See “</w:t>
      </w:r>
      <w:r>
        <w:rPr>
          <w:rFonts w:ascii="Times New Roman" w:cs="Times New Roman" w:eastAsia="Times New Roman" w:hAnsi="Times New Roman"/>
          <w:sz w:val="14"/>
          <w:szCs w:val="14"/>
          <w:i w:val="1"/>
          <w:iCs w:val="1"/>
          <w:color w:val="auto"/>
        </w:rPr>
        <w:t>Underwriting (Conflicts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Interest)</w:t>
      </w:r>
      <w:r>
        <w:rPr>
          <w:rFonts w:ascii="Times New Roman" w:cs="Times New Roman" w:eastAsia="Times New Roman" w:hAnsi="Times New Roman"/>
          <w:sz w:val="14"/>
          <w:szCs w:val="14"/>
          <w:color w:val="auto"/>
        </w:rPr>
        <w:t>” beginning on page S-</w:t>
      </w:r>
      <w:r>
        <w:rPr>
          <w:rFonts w:ascii="Times New Roman" w:cs="Times New Roman" w:eastAsia="Times New Roman" w:hAnsi="Times New Roman"/>
          <w:sz w:val="14"/>
          <w:szCs w:val="14"/>
          <w:u w:val="single" w:color="auto"/>
          <w:color w:val="0000EE"/>
        </w:rPr>
        <w:t>16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additional information regarding underwriter compensation.</w:t>
      </w:r>
    </w:p>
    <w:p>
      <w:pPr>
        <w:ind w:left="760" w:hanging="360"/>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no exercise of the underwriters’ option to purchase additional shares.</w:t>
      </w:r>
    </w:p>
    <w:p>
      <w:pPr>
        <w:spacing w:after="0" w:line="96" w:lineRule="exact"/>
        <w:rPr>
          <w:sz w:val="24"/>
          <w:szCs w:val="24"/>
          <w:color w:val="auto"/>
        </w:rPr>
      </w:pPr>
    </w:p>
    <w:p>
      <w:pPr>
        <w:ind w:left="400" w:right="97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certain risks. You should review carefully the risks and uncertainties described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beginning on page S-</w:t>
      </w:r>
      <w:r>
        <w:rPr>
          <w:rFonts w:ascii="Times New Roman" w:cs="Times New Roman" w:eastAsia="Times New Roman" w:hAnsi="Times New Roman"/>
          <w:sz w:val="17"/>
          <w:szCs w:val="17"/>
          <w:b w:val="1"/>
          <w:bCs w:val="1"/>
          <w:u w:val="single" w:color="auto"/>
          <w:color w:val="0000EE"/>
        </w:rPr>
        <w:t>5</w:t>
      </w:r>
      <w:r>
        <w:rPr>
          <w:rFonts w:ascii="Times New Roman" w:cs="Times New Roman" w:eastAsia="Times New Roman" w:hAnsi="Times New Roman"/>
          <w:sz w:val="17"/>
          <w:szCs w:val="17"/>
          <w:b w:val="1"/>
          <w:bCs w:val="1"/>
          <w:color w:val="auto"/>
        </w:rPr>
        <w:t xml:space="preserve"> of this prospectus supplement and in the documents incorporated by reference into this prospectus supplement.</w:t>
      </w:r>
    </w:p>
    <w:p>
      <w:pPr>
        <w:spacing w:after="0" w:line="49" w:lineRule="exact"/>
        <w:rPr>
          <w:sz w:val="24"/>
          <w:szCs w:val="24"/>
          <w:color w:val="auto"/>
        </w:rPr>
      </w:pPr>
    </w:p>
    <w:p>
      <w:pPr>
        <w:ind w:left="400" w:right="739" w:firstLine="36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0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Delivery of the shares of our common stock will be made on or about          , 2026.</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Lead Book-Running Manager</w:t>
      </w:r>
    </w:p>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J.P. Morgan</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Book-Running Managers</w:t>
      </w:r>
    </w:p>
    <w:p>
      <w:pPr>
        <w:spacing w:after="0" w:line="292" w:lineRule="exact"/>
        <w:rPr>
          <w:sz w:val="24"/>
          <w:szCs w:val="24"/>
          <w:color w:val="auto"/>
        </w:rPr>
      </w:pPr>
    </w:p>
    <w:p>
      <w:pPr>
        <w:ind w:left="400"/>
        <w:spacing w:after="0"/>
        <w:tabs>
          <w:tab w:leader="none" w:pos="6700" w:val="left"/>
        </w:tabs>
        <w:rPr>
          <w:sz w:val="20"/>
          <w:szCs w:val="20"/>
          <w:color w:val="auto"/>
        </w:rPr>
      </w:pPr>
      <w:r>
        <w:rPr>
          <w:rFonts w:ascii="Times New Roman" w:cs="Times New Roman" w:eastAsia="Times New Roman" w:hAnsi="Times New Roman"/>
          <w:sz w:val="22"/>
          <w:szCs w:val="22"/>
          <w:b w:val="1"/>
          <w:bCs w:val="1"/>
          <w:color w:val="auto"/>
        </w:rPr>
        <w:t>Needham &amp; Company</w:t>
      </w:r>
      <w:r>
        <w:rPr>
          <w:sz w:val="20"/>
          <w:szCs w:val="20"/>
          <w:color w:val="auto"/>
        </w:rPr>
        <w:tab/>
      </w:r>
      <w:r>
        <w:rPr>
          <w:rFonts w:ascii="Times New Roman" w:cs="Times New Roman" w:eastAsia="Times New Roman" w:hAnsi="Times New Roman"/>
          <w:sz w:val="21"/>
          <w:szCs w:val="21"/>
          <w:b w:val="1"/>
          <w:bCs w:val="1"/>
          <w:color w:val="auto"/>
        </w:rPr>
        <w:t>Oppenheimer &amp; Co.</w:t>
      </w:r>
    </w:p>
    <w:p>
      <w:pPr>
        <w:spacing w:after="0" w:line="314" w:lineRule="exact"/>
        <w:rPr>
          <w:sz w:val="24"/>
          <w:szCs w:val="24"/>
          <w:color w:val="auto"/>
        </w:rPr>
      </w:pPr>
    </w:p>
    <w:p>
      <w:pPr>
        <w:ind w:left="400"/>
        <w:spacing w:after="0"/>
        <w:tabs>
          <w:tab w:leader="none" w:pos="4080" w:val="left"/>
        </w:tabs>
        <w:rPr>
          <w:sz w:val="20"/>
          <w:szCs w:val="20"/>
          <w:color w:val="auto"/>
        </w:rPr>
      </w:pPr>
      <w:r>
        <w:rPr>
          <w:rFonts w:ascii="Times New Roman" w:cs="Times New Roman" w:eastAsia="Times New Roman" w:hAnsi="Times New Roman"/>
          <w:sz w:val="22"/>
          <w:szCs w:val="22"/>
          <w:b w:val="1"/>
          <w:bCs w:val="1"/>
          <w:color w:val="auto"/>
        </w:rPr>
        <w:t>Raymond James</w:t>
      </w:r>
      <w:r>
        <w:rPr>
          <w:sz w:val="20"/>
          <w:szCs w:val="20"/>
          <w:color w:val="auto"/>
        </w:rPr>
        <w:tab/>
      </w:r>
      <w:r>
        <w:rPr>
          <w:rFonts w:ascii="Times New Roman" w:cs="Times New Roman" w:eastAsia="Times New Roman" w:hAnsi="Times New Roman"/>
          <w:sz w:val="21"/>
          <w:szCs w:val="21"/>
          <w:b w:val="1"/>
          <w:bCs w:val="1"/>
          <w:color w:val="auto"/>
        </w:rPr>
        <w:t>TD</w:t>
      </w:r>
    </w:p>
    <w:p>
      <w:pPr>
        <w:spacing w:after="0" w:line="18" w:lineRule="exact"/>
        <w:rPr>
          <w:sz w:val="24"/>
          <w:szCs w:val="24"/>
          <w:color w:val="auto"/>
        </w:rPr>
      </w:pPr>
    </w:p>
    <w:p>
      <w:pPr>
        <w:ind w:left="4100"/>
        <w:spacing w:after="0"/>
        <w:tabs>
          <w:tab w:leader="none" w:pos="7040" w:val="left"/>
        </w:tabs>
        <w:rPr>
          <w:sz w:val="20"/>
          <w:szCs w:val="20"/>
          <w:color w:val="auto"/>
        </w:rPr>
      </w:pPr>
      <w:r>
        <w:rPr>
          <w:rFonts w:ascii="Times New Roman" w:cs="Times New Roman" w:eastAsia="Times New Roman" w:hAnsi="Times New Roman"/>
          <w:sz w:val="21"/>
          <w:szCs w:val="21"/>
          <w:b w:val="1"/>
          <w:bCs w:val="1"/>
          <w:color w:val="auto"/>
        </w:rPr>
        <w:t>Cowen</w:t>
      </w:r>
      <w:r>
        <w:rPr>
          <w:sz w:val="20"/>
          <w:szCs w:val="20"/>
          <w:color w:val="auto"/>
        </w:rPr>
        <w:tab/>
      </w:r>
      <w:r>
        <w:rPr>
          <w:rFonts w:ascii="Times New Roman" w:cs="Times New Roman" w:eastAsia="Times New Roman" w:hAnsi="Times New Roman"/>
          <w:sz w:val="21"/>
          <w:szCs w:val="21"/>
          <w:b w:val="1"/>
          <w:bCs w:val="1"/>
          <w:color w:val="auto"/>
        </w:rPr>
        <w:t>Truist Securities</w:t>
      </w: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Co-Managers</w:t>
      </w:r>
    </w:p>
    <w:p>
      <w:pPr>
        <w:sectPr>
          <w:pgSz w:w="11900" w:h="16838" w:orient="portrait"/>
          <w:cols w:equalWidth="0" w:num="1">
            <w:col w:w="9019"/>
          </w:cols>
          <w:pgMar w:left="1440" w:top="223" w:right="1440" w:bottom="168" w:gutter="0" w:footer="0" w:header="0"/>
        </w:sectPr>
      </w:pPr>
    </w:p>
    <w:p>
      <w:pPr>
        <w:spacing w:after="0" w:line="288" w:lineRule="exact"/>
        <w:rPr>
          <w:sz w:val="24"/>
          <w:szCs w:val="24"/>
          <w:color w:val="auto"/>
        </w:rPr>
      </w:pPr>
    </w:p>
    <w:p>
      <w:pPr>
        <w:ind w:left="400"/>
        <w:spacing w:after="0"/>
        <w:tabs>
          <w:tab w:leader="none" w:pos="3040" w:val="left"/>
          <w:tab w:leader="none" w:pos="5060" w:val="left"/>
          <w:tab w:leader="none" w:pos="7820" w:val="left"/>
        </w:tabs>
        <w:rPr>
          <w:sz w:val="20"/>
          <w:szCs w:val="20"/>
          <w:color w:val="auto"/>
        </w:rPr>
      </w:pPr>
      <w:r>
        <w:rPr>
          <w:rFonts w:ascii="Times New Roman" w:cs="Times New Roman" w:eastAsia="Times New Roman" w:hAnsi="Times New Roman"/>
          <w:sz w:val="18"/>
          <w:szCs w:val="18"/>
          <w:b w:val="1"/>
          <w:bCs w:val="1"/>
          <w:color w:val="auto"/>
        </w:rPr>
        <w:t>Fifth Third Securities</w:t>
      </w:r>
      <w:r>
        <w:rPr>
          <w:sz w:val="20"/>
          <w:szCs w:val="20"/>
          <w:color w:val="auto"/>
        </w:rPr>
        <w:tab/>
      </w:r>
      <w:r>
        <w:rPr>
          <w:rFonts w:ascii="Times New Roman" w:cs="Times New Roman" w:eastAsia="Times New Roman" w:hAnsi="Times New Roman"/>
          <w:sz w:val="18"/>
          <w:szCs w:val="18"/>
          <w:b w:val="1"/>
          <w:bCs w:val="1"/>
          <w:color w:val="auto"/>
        </w:rPr>
        <w:t>MUFG</w:t>
      </w:r>
      <w:r>
        <w:rPr>
          <w:sz w:val="20"/>
          <w:szCs w:val="20"/>
          <w:color w:val="auto"/>
        </w:rPr>
        <w:tab/>
      </w:r>
      <w:r>
        <w:rPr>
          <w:rFonts w:ascii="Times New Roman" w:cs="Times New Roman" w:eastAsia="Times New Roman" w:hAnsi="Times New Roman"/>
          <w:sz w:val="18"/>
          <w:szCs w:val="18"/>
          <w:b w:val="1"/>
          <w:bCs w:val="1"/>
          <w:color w:val="auto"/>
        </w:rPr>
        <w:t>Santander</w:t>
      </w:r>
      <w:r>
        <w:rPr>
          <w:sz w:val="20"/>
          <w:szCs w:val="20"/>
          <w:color w:val="auto"/>
        </w:rPr>
        <w:tab/>
      </w:r>
      <w:r>
        <w:rPr>
          <w:rFonts w:ascii="Times New Roman" w:cs="Times New Roman" w:eastAsia="Times New Roman" w:hAnsi="Times New Roman"/>
          <w:sz w:val="17"/>
          <w:szCs w:val="17"/>
          <w:b w:val="1"/>
          <w:bCs w:val="1"/>
          <w:color w:val="auto"/>
        </w:rPr>
        <w:t>UniCredit</w:t>
      </w:r>
    </w:p>
    <w:p>
      <w:pPr>
        <w:sectPr>
          <w:pgSz w:w="11900" w:h="16838" w:orient="portrait"/>
          <w:cols w:equalWidth="0" w:num="1">
            <w:col w:w="9019"/>
          </w:cols>
          <w:pgMar w:left="1440" w:top="223" w:right="1440" w:bottom="168"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80" w:type="dxa"/>
            <w:vAlign w:val="bottom"/>
            <w:gridSpan w:val="12"/>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7"/>
        </w:trPr>
        <w:tc>
          <w:tcPr>
            <w:tcW w:w="79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798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gridSpan w:val="6"/>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w w:val="99"/>
              </w:rPr>
              <w:t>S-ii</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 w:type="dxa"/>
            <w:vAlign w:val="bottom"/>
          </w:tcPr>
          <w:p>
            <w:pPr>
              <w:spacing w:after="0"/>
              <w:rPr>
                <w:sz w:val="16"/>
                <w:szCs w:val="16"/>
                <w:color w:val="auto"/>
              </w:rPr>
            </w:pPr>
          </w:p>
        </w:tc>
        <w:tc>
          <w:tcPr>
            <w:tcW w:w="340" w:type="dxa"/>
            <w:vAlign w:val="bottom"/>
            <w:gridSpan w:val="9"/>
          </w:tcPr>
          <w:p>
            <w:pPr>
              <w:jc w:val="center"/>
              <w:spacing w:after="0" w:line="189" w:lineRule="exact"/>
              <w:rPr>
                <w:sz w:val="20"/>
                <w:szCs w:val="20"/>
                <w:color w:val="auto"/>
              </w:rPr>
            </w:pPr>
            <w:r>
              <w:rPr>
                <w:rFonts w:ascii="Times New Roman" w:cs="Times New Roman" w:eastAsia="Times New Roman" w:hAnsi="Times New Roman"/>
                <w:sz w:val="18"/>
                <w:szCs w:val="18"/>
                <w:color w:val="0000EE"/>
              </w:rPr>
              <w:t>S-iii</w:t>
            </w:r>
          </w:p>
        </w:tc>
      </w:tr>
      <w:tr>
        <w:trPr>
          <w:trHeight w:val="34"/>
        </w:trPr>
        <w:tc>
          <w:tcPr>
            <w:tcW w:w="7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r>
      <w:tr>
        <w:trPr>
          <w:trHeight w:val="189"/>
        </w:trPr>
        <w:tc>
          <w:tcPr>
            <w:tcW w:w="9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SUMMARY</w:t>
            </w:r>
          </w:p>
        </w:tc>
        <w:tc>
          <w:tcPr>
            <w:tcW w:w="7060" w:type="dxa"/>
            <w:vAlign w:val="bottom"/>
            <w:gridSpan w:val="2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5"/>
              </w:rPr>
              <w:t>S-1</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6"/>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5"/>
              </w:rPr>
              <w:t>S-3</w:t>
            </w:r>
          </w:p>
        </w:tc>
      </w:tr>
      <w:tr>
        <w:trPr>
          <w:trHeight w:val="34"/>
        </w:trPr>
        <w:tc>
          <w:tcPr>
            <w:tcW w:w="7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5"/>
              </w:rPr>
              <w:t>S-5</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6"/>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5"/>
              </w:rPr>
              <w:t>S-9</w:t>
            </w:r>
          </w:p>
        </w:tc>
      </w:tr>
      <w:tr>
        <w:trPr>
          <w:trHeight w:val="34"/>
        </w:trPr>
        <w:tc>
          <w:tcPr>
            <w:tcW w:w="7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DIVIDENDS</w:t>
            </w:r>
          </w:p>
        </w:tc>
        <w:tc>
          <w:tcPr>
            <w:tcW w:w="7000" w:type="dxa"/>
            <w:vAlign w:val="bottom"/>
            <w:gridSpan w:val="21"/>
            <w:shd w:val="clear" w:color="auto" w:fill="CCEEFF"/>
          </w:tcPr>
          <w:p>
            <w:pPr>
              <w:spacing w:after="0"/>
              <w:rPr>
                <w:sz w:val="16"/>
                <w:szCs w:val="16"/>
                <w:color w:val="auto"/>
              </w:rPr>
            </w:pPr>
          </w:p>
        </w:tc>
        <w:tc>
          <w:tcPr>
            <w:tcW w:w="440" w:type="dxa"/>
            <w:vAlign w:val="bottom"/>
            <w:gridSpan w:val="10"/>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EE"/>
                <w:w w:val="99"/>
              </w:rPr>
              <w:t>S-10</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r>
      <w:tr>
        <w:trPr>
          <w:trHeight w:val="189"/>
        </w:trPr>
        <w:tc>
          <w:tcPr>
            <w:tcW w:w="79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CAPITALIZATION</w:t>
            </w:r>
          </w:p>
        </w:tc>
        <w:tc>
          <w:tcPr>
            <w:tcW w:w="440" w:type="dxa"/>
            <w:vAlign w:val="bottom"/>
            <w:gridSpan w:val="10"/>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EE"/>
                <w:w w:val="99"/>
              </w:rPr>
              <w:t>S-11</w:t>
            </w:r>
          </w:p>
        </w:tc>
      </w:tr>
      <w:tr>
        <w:trPr>
          <w:trHeight w:val="34"/>
        </w:trPr>
        <w:tc>
          <w:tcPr>
            <w:tcW w:w="7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r>
      <w:tr>
        <w:trPr>
          <w:trHeight w:val="189"/>
        </w:trPr>
        <w:tc>
          <w:tcPr>
            <w:tcW w:w="58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 FEDERAL INCOME TAX CONSIDERATIONS TO NON-U.S. HOLDERS</w:t>
            </w:r>
          </w:p>
        </w:tc>
        <w:tc>
          <w:tcPr>
            <w:tcW w:w="2100" w:type="dxa"/>
            <w:vAlign w:val="bottom"/>
            <w:shd w:val="clear" w:color="auto" w:fill="CCEEFF"/>
          </w:tcPr>
          <w:p>
            <w:pPr>
              <w:spacing w:after="0"/>
              <w:rPr>
                <w:sz w:val="16"/>
                <w:szCs w:val="16"/>
                <w:color w:val="auto"/>
              </w:rPr>
            </w:pPr>
          </w:p>
        </w:tc>
        <w:tc>
          <w:tcPr>
            <w:tcW w:w="440" w:type="dxa"/>
            <w:vAlign w:val="bottom"/>
            <w:gridSpan w:val="10"/>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EE"/>
                <w:w w:val="99"/>
              </w:rPr>
              <w:t>S-12</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r>
      <w:tr>
        <w:trPr>
          <w:trHeight w:val="189"/>
        </w:trPr>
        <w:tc>
          <w:tcPr>
            <w:tcW w:w="58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UNDERWRITING (CONFLICTS OF INTEREST)</w:t>
            </w:r>
          </w:p>
        </w:tc>
        <w:tc>
          <w:tcPr>
            <w:tcW w:w="2100" w:type="dxa"/>
            <w:vAlign w:val="bottom"/>
          </w:tcPr>
          <w:p>
            <w:pPr>
              <w:spacing w:after="0"/>
              <w:rPr>
                <w:sz w:val="16"/>
                <w:szCs w:val="16"/>
                <w:color w:val="auto"/>
              </w:rPr>
            </w:pPr>
          </w:p>
        </w:tc>
        <w:tc>
          <w:tcPr>
            <w:tcW w:w="440" w:type="dxa"/>
            <w:vAlign w:val="bottom"/>
            <w:gridSpan w:val="10"/>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EE"/>
                <w:w w:val="99"/>
              </w:rPr>
              <w:t>S-16</w:t>
            </w:r>
          </w:p>
        </w:tc>
      </w:tr>
      <w:tr>
        <w:trPr>
          <w:trHeight w:val="34"/>
        </w:trPr>
        <w:tc>
          <w:tcPr>
            <w:tcW w:w="7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r>
      <w:tr>
        <w:trPr>
          <w:trHeight w:val="189"/>
        </w:trPr>
        <w:tc>
          <w:tcPr>
            <w:tcW w:w="79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440" w:type="dxa"/>
            <w:vAlign w:val="bottom"/>
            <w:gridSpan w:val="10"/>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EE"/>
                <w:w w:val="99"/>
              </w:rPr>
              <w:t>S-24</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r>
      <w:tr>
        <w:trPr>
          <w:trHeight w:val="189"/>
        </w:trPr>
        <w:tc>
          <w:tcPr>
            <w:tcW w:w="14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540" w:type="dxa"/>
            <w:vAlign w:val="bottom"/>
            <w:gridSpan w:val="17"/>
          </w:tcPr>
          <w:p>
            <w:pPr>
              <w:spacing w:after="0"/>
              <w:rPr>
                <w:sz w:val="16"/>
                <w:szCs w:val="16"/>
                <w:color w:val="auto"/>
              </w:rPr>
            </w:pPr>
          </w:p>
        </w:tc>
        <w:tc>
          <w:tcPr>
            <w:tcW w:w="440" w:type="dxa"/>
            <w:vAlign w:val="bottom"/>
            <w:gridSpan w:val="10"/>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EE"/>
                <w:w w:val="99"/>
              </w:rPr>
              <w:t>S-24</w:t>
            </w:r>
          </w:p>
        </w:tc>
      </w:tr>
      <w:tr>
        <w:trPr>
          <w:trHeight w:val="34"/>
        </w:trPr>
        <w:tc>
          <w:tcPr>
            <w:tcW w:w="7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r>
      <w:tr>
        <w:trPr>
          <w:trHeight w:val="189"/>
        </w:trPr>
        <w:tc>
          <w:tcPr>
            <w:tcW w:w="79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40" w:type="dxa"/>
            <w:vAlign w:val="bottom"/>
            <w:gridSpan w:val="10"/>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EE"/>
                <w:w w:val="99"/>
              </w:rPr>
              <w:t>S-25</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r>
      <w:tr>
        <w:trPr>
          <w:trHeight w:val="189"/>
        </w:trPr>
        <w:tc>
          <w:tcPr>
            <w:tcW w:w="79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440" w:type="dxa"/>
            <w:vAlign w:val="bottom"/>
            <w:gridSpan w:val="10"/>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EE"/>
                <w:w w:val="99"/>
              </w:rPr>
              <w:t>S-26</w:t>
            </w:r>
          </w:p>
        </w:tc>
      </w:tr>
      <w:tr>
        <w:trPr>
          <w:trHeight w:val="615"/>
        </w:trPr>
        <w:tc>
          <w:tcPr>
            <w:tcW w:w="518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8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567"/>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80" w:type="dxa"/>
            <w:vAlign w:val="bottom"/>
            <w:gridSpan w:val="12"/>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8"/>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7980" w:type="dxa"/>
            <w:vAlign w:val="bottom"/>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380" w:type="dxa"/>
            <w:vAlign w:val="bottom"/>
            <w:tcBorders>
              <w:right w:val="single" w:sz="8" w:color="CCEEFF"/>
            </w:tcBorders>
            <w:gridSpan w:val="8"/>
            <w:shd w:val="clear" w:color="auto" w:fill="CCEEFF"/>
          </w:tcPr>
          <w:p>
            <w:pPr>
              <w:jc w:val="center"/>
              <w:ind w:left="170"/>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380" w:type="dxa"/>
            <w:vAlign w:val="bottom"/>
            <w:gridSpan w:val="8"/>
          </w:tcPr>
          <w:p>
            <w:pPr>
              <w:jc w:val="center"/>
              <w:ind w:left="170"/>
              <w:spacing w:after="0" w:line="189" w:lineRule="exact"/>
              <w:rPr>
                <w:sz w:val="20"/>
                <w:szCs w:val="20"/>
                <w:color w:val="auto"/>
              </w:rPr>
            </w:pPr>
            <w:r>
              <w:rPr>
                <w:rFonts w:ascii="Times New Roman" w:cs="Times New Roman" w:eastAsia="Times New Roman" w:hAnsi="Times New Roman"/>
                <w:sz w:val="18"/>
                <w:szCs w:val="18"/>
                <w:color w:val="0000EE"/>
                <w:w w:val="88"/>
              </w:rPr>
              <w:t>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OUR COMPANY</w:t>
            </w:r>
          </w:p>
        </w:tc>
        <w:tc>
          <w:tcPr>
            <w:tcW w:w="380" w:type="dxa"/>
            <w:vAlign w:val="bottom"/>
            <w:tcBorders>
              <w:right w:val="single" w:sz="8" w:color="CCEEFF"/>
            </w:tcBorders>
            <w:gridSpan w:val="8"/>
            <w:shd w:val="clear" w:color="auto" w:fill="CCEEFF"/>
          </w:tcPr>
          <w:p>
            <w:pPr>
              <w:jc w:val="center"/>
              <w:ind w:left="170"/>
              <w:spacing w:after="0" w:line="189" w:lineRule="exact"/>
              <w:rPr>
                <w:sz w:val="20"/>
                <w:szCs w:val="20"/>
                <w:color w:val="auto"/>
              </w:rPr>
            </w:pPr>
            <w:r>
              <w:rPr>
                <w:rFonts w:ascii="Times New Roman" w:cs="Times New Roman" w:eastAsia="Times New Roman" w:hAnsi="Times New Roman"/>
                <w:sz w:val="18"/>
                <w:szCs w:val="18"/>
                <w:color w:val="0000EE"/>
                <w:w w:val="88"/>
              </w:rPr>
              <w:t>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3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680" w:type="dxa"/>
            <w:vAlign w:val="bottom"/>
            <w:gridSpan w:val="18"/>
          </w:tcPr>
          <w:p>
            <w:pPr>
              <w:spacing w:after="0"/>
              <w:rPr>
                <w:sz w:val="16"/>
                <w:szCs w:val="16"/>
                <w:color w:val="auto"/>
              </w:rPr>
            </w:pPr>
          </w:p>
        </w:tc>
        <w:tc>
          <w:tcPr>
            <w:tcW w:w="380" w:type="dxa"/>
            <w:vAlign w:val="bottom"/>
            <w:gridSpan w:val="8"/>
          </w:tcPr>
          <w:p>
            <w:pPr>
              <w:jc w:val="center"/>
              <w:ind w:left="170"/>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5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400" w:type="dxa"/>
            <w:vAlign w:val="bottom"/>
            <w:gridSpan w:val="16"/>
            <w:shd w:val="clear" w:color="auto" w:fill="CCEEFF"/>
          </w:tcPr>
          <w:p>
            <w:pPr>
              <w:spacing w:after="0"/>
              <w:rPr>
                <w:sz w:val="16"/>
                <w:szCs w:val="16"/>
                <w:color w:val="auto"/>
              </w:rPr>
            </w:pPr>
          </w:p>
        </w:tc>
        <w:tc>
          <w:tcPr>
            <w:tcW w:w="380" w:type="dxa"/>
            <w:vAlign w:val="bottom"/>
            <w:tcBorders>
              <w:right w:val="single" w:sz="8" w:color="CCEEFF"/>
            </w:tcBorders>
            <w:gridSpan w:val="8"/>
            <w:shd w:val="clear" w:color="auto" w:fill="CCEEFF"/>
          </w:tcPr>
          <w:p>
            <w:pPr>
              <w:jc w:val="center"/>
              <w:ind w:left="170"/>
              <w:spacing w:after="0" w:line="189" w:lineRule="exact"/>
              <w:rPr>
                <w:sz w:val="20"/>
                <w:szCs w:val="20"/>
                <w:color w:val="auto"/>
              </w:rPr>
            </w:pPr>
            <w:r>
              <w:rPr>
                <w:rFonts w:ascii="Times New Roman" w:cs="Times New Roman" w:eastAsia="Times New Roman" w:hAnsi="Times New Roman"/>
                <w:sz w:val="18"/>
                <w:szCs w:val="18"/>
                <w:color w:val="0000EE"/>
                <w:w w:val="88"/>
              </w:rPr>
              <w:t>6</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DESCRIPTION OF OUR COMMON STOCK</w:t>
            </w:r>
          </w:p>
        </w:tc>
        <w:tc>
          <w:tcPr>
            <w:tcW w:w="380" w:type="dxa"/>
            <w:vAlign w:val="bottom"/>
            <w:gridSpan w:val="8"/>
          </w:tcPr>
          <w:p>
            <w:pPr>
              <w:jc w:val="center"/>
              <w:ind w:left="170"/>
              <w:spacing w:after="0" w:line="189" w:lineRule="exact"/>
              <w:rPr>
                <w:sz w:val="20"/>
                <w:szCs w:val="20"/>
                <w:color w:val="auto"/>
              </w:rPr>
            </w:pPr>
            <w:r>
              <w:rPr>
                <w:rFonts w:ascii="Times New Roman" w:cs="Times New Roman" w:eastAsia="Times New Roman" w:hAnsi="Times New Roman"/>
                <w:sz w:val="18"/>
                <w:szCs w:val="18"/>
                <w:color w:val="0000EE"/>
                <w:w w:val="88"/>
              </w:rPr>
              <w:t>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5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DESCRIPTION OF OUR PREFERRED STOCK</w:t>
            </w:r>
          </w:p>
        </w:tc>
        <w:tc>
          <w:tcPr>
            <w:tcW w:w="4420" w:type="dxa"/>
            <w:vAlign w:val="bottom"/>
            <w:gridSpan w:val="8"/>
            <w:shd w:val="clear" w:color="auto" w:fill="CCEEFF"/>
          </w:tcPr>
          <w:p>
            <w:pPr>
              <w:spacing w:after="0"/>
              <w:rPr>
                <w:sz w:val="16"/>
                <w:szCs w:val="16"/>
                <w:color w:val="auto"/>
              </w:rPr>
            </w:pPr>
          </w:p>
        </w:tc>
        <w:tc>
          <w:tcPr>
            <w:tcW w:w="420" w:type="dxa"/>
            <w:vAlign w:val="bottom"/>
            <w:gridSpan w:val="9"/>
            <w:shd w:val="clear" w:color="auto" w:fill="CCEEFF"/>
          </w:tcPr>
          <w:p>
            <w:pPr>
              <w:jc w:val="center"/>
              <w:ind w:left="70"/>
              <w:spacing w:after="0" w:line="189" w:lineRule="exact"/>
              <w:rPr>
                <w:sz w:val="20"/>
                <w:szCs w:val="20"/>
                <w:color w:val="auto"/>
              </w:rPr>
            </w:pPr>
            <w:r>
              <w:rPr>
                <w:rFonts w:ascii="Times New Roman" w:cs="Times New Roman" w:eastAsia="Times New Roman" w:hAnsi="Times New Roman"/>
                <w:sz w:val="18"/>
                <w:szCs w:val="18"/>
                <w:color w:val="0000EE"/>
                <w:w w:val="99"/>
              </w:rPr>
              <w:t>10</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5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4420" w:type="dxa"/>
            <w:vAlign w:val="bottom"/>
            <w:gridSpan w:val="8"/>
          </w:tcPr>
          <w:p>
            <w:pPr>
              <w:spacing w:after="0"/>
              <w:rPr>
                <w:sz w:val="16"/>
                <w:szCs w:val="16"/>
                <w:color w:val="auto"/>
              </w:rPr>
            </w:pPr>
          </w:p>
        </w:tc>
        <w:tc>
          <w:tcPr>
            <w:tcW w:w="420" w:type="dxa"/>
            <w:vAlign w:val="bottom"/>
            <w:gridSpan w:val="9"/>
          </w:tcPr>
          <w:p>
            <w:pPr>
              <w:jc w:val="center"/>
              <w:ind w:left="70"/>
              <w:spacing w:after="0" w:line="189" w:lineRule="exact"/>
              <w:rPr>
                <w:sz w:val="20"/>
                <w:szCs w:val="20"/>
                <w:color w:val="auto"/>
              </w:rPr>
            </w:pPr>
            <w:r>
              <w:rPr>
                <w:rFonts w:ascii="Times New Roman" w:cs="Times New Roman" w:eastAsia="Times New Roman" w:hAnsi="Times New Roman"/>
                <w:sz w:val="18"/>
                <w:szCs w:val="18"/>
                <w:color w:val="0000EE"/>
                <w:w w:val="99"/>
              </w:rPr>
              <w:t>12</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9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OUR WARRANTS</w:t>
            </w:r>
          </w:p>
        </w:tc>
        <w:tc>
          <w:tcPr>
            <w:tcW w:w="5080" w:type="dxa"/>
            <w:vAlign w:val="bottom"/>
            <w:gridSpan w:val="12"/>
            <w:shd w:val="clear" w:color="auto" w:fill="CCEEFF"/>
          </w:tcPr>
          <w:p>
            <w:pPr>
              <w:spacing w:after="0"/>
              <w:rPr>
                <w:sz w:val="16"/>
                <w:szCs w:val="16"/>
                <w:color w:val="auto"/>
              </w:rPr>
            </w:pPr>
          </w:p>
        </w:tc>
        <w:tc>
          <w:tcPr>
            <w:tcW w:w="420" w:type="dxa"/>
            <w:vAlign w:val="bottom"/>
            <w:gridSpan w:val="9"/>
            <w:shd w:val="clear" w:color="auto" w:fill="CCEEFF"/>
          </w:tcPr>
          <w:p>
            <w:pPr>
              <w:jc w:val="center"/>
              <w:ind w:left="70"/>
              <w:spacing w:after="0" w:line="189" w:lineRule="exact"/>
              <w:rPr>
                <w:sz w:val="20"/>
                <w:szCs w:val="20"/>
                <w:color w:val="auto"/>
              </w:rPr>
            </w:pPr>
            <w:r>
              <w:rPr>
                <w:rFonts w:ascii="Times New Roman" w:cs="Times New Roman" w:eastAsia="Times New Roman" w:hAnsi="Times New Roman"/>
                <w:sz w:val="18"/>
                <w:szCs w:val="18"/>
                <w:color w:val="0000EE"/>
                <w:w w:val="99"/>
              </w:rPr>
              <w:t>18</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90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DESCRIPTION OF OUR UNITS</w:t>
            </w:r>
          </w:p>
        </w:tc>
        <w:tc>
          <w:tcPr>
            <w:tcW w:w="5080" w:type="dxa"/>
            <w:vAlign w:val="bottom"/>
            <w:gridSpan w:val="12"/>
          </w:tcPr>
          <w:p>
            <w:pPr>
              <w:spacing w:after="0"/>
              <w:rPr>
                <w:sz w:val="16"/>
                <w:szCs w:val="16"/>
                <w:color w:val="auto"/>
              </w:rPr>
            </w:pPr>
          </w:p>
        </w:tc>
        <w:tc>
          <w:tcPr>
            <w:tcW w:w="420" w:type="dxa"/>
            <w:vAlign w:val="bottom"/>
            <w:gridSpan w:val="9"/>
          </w:tcPr>
          <w:p>
            <w:pPr>
              <w:jc w:val="center"/>
              <w:ind w:left="70"/>
              <w:spacing w:after="0" w:line="189" w:lineRule="exact"/>
              <w:rPr>
                <w:sz w:val="20"/>
                <w:szCs w:val="20"/>
                <w:color w:val="auto"/>
              </w:rPr>
            </w:pPr>
            <w:r>
              <w:rPr>
                <w:rFonts w:ascii="Times New Roman" w:cs="Times New Roman" w:eastAsia="Times New Roman" w:hAnsi="Times New Roman"/>
                <w:sz w:val="18"/>
                <w:szCs w:val="18"/>
                <w:color w:val="0000EE"/>
                <w:w w:val="99"/>
              </w:rPr>
              <w:t>19</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420" w:type="dxa"/>
            <w:vAlign w:val="bottom"/>
            <w:gridSpan w:val="9"/>
            <w:shd w:val="clear" w:color="auto" w:fill="CCEEFF"/>
          </w:tcPr>
          <w:p>
            <w:pPr>
              <w:jc w:val="center"/>
              <w:ind w:left="70"/>
              <w:spacing w:after="0" w:line="189" w:lineRule="exact"/>
              <w:rPr>
                <w:sz w:val="20"/>
                <w:szCs w:val="20"/>
                <w:color w:val="auto"/>
              </w:rPr>
            </w:pPr>
            <w:r>
              <w:rPr>
                <w:rFonts w:ascii="Times New Roman" w:cs="Times New Roman" w:eastAsia="Times New Roman" w:hAnsi="Times New Roman"/>
                <w:sz w:val="18"/>
                <w:szCs w:val="18"/>
                <w:color w:val="0000EE"/>
                <w:w w:val="99"/>
              </w:rPr>
              <w:t>20</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8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4100" w:type="dxa"/>
            <w:vAlign w:val="bottom"/>
            <w:gridSpan w:val="5"/>
          </w:tcPr>
          <w:p>
            <w:pPr>
              <w:spacing w:after="0"/>
              <w:rPr>
                <w:sz w:val="16"/>
                <w:szCs w:val="16"/>
                <w:color w:val="auto"/>
              </w:rPr>
            </w:pPr>
          </w:p>
        </w:tc>
        <w:tc>
          <w:tcPr>
            <w:tcW w:w="420" w:type="dxa"/>
            <w:vAlign w:val="bottom"/>
            <w:gridSpan w:val="9"/>
          </w:tcPr>
          <w:p>
            <w:pPr>
              <w:jc w:val="center"/>
              <w:ind w:left="70"/>
              <w:spacing w:after="0" w:line="189" w:lineRule="exact"/>
              <w:rPr>
                <w:sz w:val="20"/>
                <w:szCs w:val="20"/>
                <w:color w:val="auto"/>
              </w:rPr>
            </w:pPr>
            <w:r>
              <w:rPr>
                <w:rFonts w:ascii="Times New Roman" w:cs="Times New Roman" w:eastAsia="Times New Roman" w:hAnsi="Times New Roman"/>
                <w:sz w:val="18"/>
                <w:szCs w:val="18"/>
                <w:color w:val="0000EE"/>
                <w:w w:val="99"/>
              </w:rPr>
              <w:t>21</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9"/>
            <w:shd w:val="clear" w:color="auto" w:fill="CCEEFF"/>
          </w:tcPr>
          <w:p>
            <w:pPr>
              <w:jc w:val="center"/>
              <w:ind w:left="70"/>
              <w:spacing w:after="0" w:line="189" w:lineRule="exact"/>
              <w:rPr>
                <w:sz w:val="20"/>
                <w:szCs w:val="20"/>
                <w:color w:val="auto"/>
              </w:rPr>
            </w:pPr>
            <w:r>
              <w:rPr>
                <w:rFonts w:ascii="Times New Roman" w:cs="Times New Roman" w:eastAsia="Times New Roman" w:hAnsi="Times New Roman"/>
                <w:sz w:val="18"/>
                <w:szCs w:val="18"/>
                <w:color w:val="0000EE"/>
                <w:w w:val="99"/>
              </w:rPr>
              <w:t>23</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540" w:type="dxa"/>
            <w:vAlign w:val="bottom"/>
            <w:gridSpan w:val="17"/>
          </w:tcPr>
          <w:p>
            <w:pPr>
              <w:spacing w:after="0"/>
              <w:rPr>
                <w:sz w:val="16"/>
                <w:szCs w:val="16"/>
                <w:color w:val="auto"/>
              </w:rPr>
            </w:pPr>
          </w:p>
        </w:tc>
        <w:tc>
          <w:tcPr>
            <w:tcW w:w="420" w:type="dxa"/>
            <w:vAlign w:val="bottom"/>
            <w:gridSpan w:val="9"/>
          </w:tcPr>
          <w:p>
            <w:pPr>
              <w:jc w:val="center"/>
              <w:ind w:left="70"/>
              <w:spacing w:after="0" w:line="189" w:lineRule="exact"/>
              <w:rPr>
                <w:sz w:val="20"/>
                <w:szCs w:val="20"/>
                <w:color w:val="auto"/>
              </w:rPr>
            </w:pPr>
            <w:r>
              <w:rPr>
                <w:rFonts w:ascii="Times New Roman" w:cs="Times New Roman" w:eastAsia="Times New Roman" w:hAnsi="Times New Roman"/>
                <w:sz w:val="18"/>
                <w:szCs w:val="18"/>
                <w:color w:val="0000EE"/>
                <w:w w:val="99"/>
              </w:rPr>
              <w:t>23</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9"/>
            <w:shd w:val="clear" w:color="auto" w:fill="CCEEFF"/>
          </w:tcPr>
          <w:p>
            <w:pPr>
              <w:jc w:val="center"/>
              <w:ind w:left="70"/>
              <w:spacing w:after="0" w:line="189" w:lineRule="exact"/>
              <w:rPr>
                <w:sz w:val="20"/>
                <w:szCs w:val="20"/>
                <w:color w:val="auto"/>
              </w:rPr>
            </w:pPr>
            <w:r>
              <w:rPr>
                <w:rFonts w:ascii="Times New Roman" w:cs="Times New Roman" w:eastAsia="Times New Roman" w:hAnsi="Times New Roman"/>
                <w:sz w:val="18"/>
                <w:szCs w:val="18"/>
                <w:color w:val="0000EE"/>
                <w:w w:val="99"/>
              </w:rPr>
              <w:t>23</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51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w w:val="97"/>
              </w:rPr>
              <w:t>INCORPORATION OF CERTAIN INFORMATION BY REFERENCE</w:t>
            </w:r>
          </w:p>
        </w:tc>
        <w:tc>
          <w:tcPr>
            <w:tcW w:w="2800" w:type="dxa"/>
            <w:vAlign w:val="bottom"/>
            <w:gridSpan w:val="4"/>
          </w:tcPr>
          <w:p>
            <w:pPr>
              <w:spacing w:after="0"/>
              <w:rPr>
                <w:sz w:val="16"/>
                <w:szCs w:val="16"/>
                <w:color w:val="auto"/>
              </w:rPr>
            </w:pPr>
          </w:p>
        </w:tc>
        <w:tc>
          <w:tcPr>
            <w:tcW w:w="420" w:type="dxa"/>
            <w:vAlign w:val="bottom"/>
            <w:gridSpan w:val="9"/>
          </w:tcPr>
          <w:p>
            <w:pPr>
              <w:jc w:val="center"/>
              <w:ind w:left="70"/>
              <w:spacing w:after="0" w:line="189" w:lineRule="exact"/>
              <w:rPr>
                <w:sz w:val="20"/>
                <w:szCs w:val="20"/>
                <w:color w:val="auto"/>
              </w:rPr>
            </w:pPr>
            <w:r>
              <w:rPr>
                <w:rFonts w:ascii="Times New Roman" w:cs="Times New Roman" w:eastAsia="Times New Roman" w:hAnsi="Times New Roman"/>
                <w:sz w:val="18"/>
                <w:szCs w:val="18"/>
                <w:color w:val="0000EE"/>
                <w:w w:val="99"/>
              </w:rPr>
              <w:t>24</w:t>
            </w:r>
          </w:p>
        </w:tc>
        <w:tc>
          <w:tcPr>
            <w:tcW w:w="20" w:type="dxa"/>
            <w:vAlign w:val="bottom"/>
          </w:tcPr>
          <w:p>
            <w:pPr>
              <w:spacing w:after="0"/>
              <w:rPr>
                <w:sz w:val="16"/>
                <w:szCs w:val="16"/>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w:t>
      </w:r>
    </w:p>
    <w:p>
      <w:pPr>
        <w:spacing w:after="0" w:line="75" w:lineRule="exact"/>
        <w:rPr>
          <w:sz w:val="20"/>
          <w:szCs w:val="20"/>
          <w:color w:val="auto"/>
        </w:rPr>
      </w:pPr>
    </w:p>
    <w:p>
      <w:pPr>
        <w:jc w:val="both"/>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You should read both this prospectus supplement and the accompanying prospectus, together with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 this prospectus supplement and the accompanying prospectus.</w:t>
      </w:r>
    </w:p>
    <w:p>
      <w:pPr>
        <w:spacing w:after="0" w:line="68"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If the information set forth in this prospectus supplement differs from the information set forth in the accompanying prospectus or the information contained in any document incorporated by reference herein or therein, the information contained in the most recently dated document shall control.</w:t>
      </w:r>
    </w:p>
    <w:p>
      <w:pPr>
        <w:spacing w:after="0" w:line="68"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information that is in addition to or different from the information included or incorporated by reference into this prospectus supplement or the accompanying prospectus. Neither we nor the underwriters are making an offer of these securities in any jurisdiction where such offer is not permitted.</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supplement or the accompanying prospectus to be investment, legal or tax advice. You should consult your own counsel, accountants and other advisors for legal, tax, business, financial and related advice regarding the purchase of the common stock offered by this prospectus supplement. You should not assume that the information in this prospectus supplement, the accompanying prospectus or any documents incorporated by reference is accurate as of any date other than the date of the applicable document. Since the respective dates of this prospectus supplement, the accompanying prospectus and the documents incorporated by reference into this prospectus supplement and the accompanying prospectus, our business, financial condition, results of operations and prospects may have changed.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and the documents incorporated herein by reference contain forward-looking statements within the meaning of Section 27A of the Securities Act and Section 21E of the Securities Exchange Act of 1934, as amended (the “Exchange Act”) that are based on our management’s beliefs and assumptions and on information available to our management as of the date hereof or as of the date of any such document incorporated herein by reference, as the case may be. Forward-looking statements are inherently subject to risks and uncertainties, some of which cannot be predicted or quantified. All statements other than present and historical facts and conditions contained in this prospectus supplement and the accompanying prospectus and the documents incorporated herein by reference, including statements regarding our future results of operations and financial position, business strategy, plans and our objectives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298"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have based the forward-looking statements contained in this prospectus supplement and the documents incorporated herein by reference primarily on our expectations and projections about future events and trends as of the date hereof or as of the date of the applicable document incorporated herein by reference, as the case may be, that we believe may affect our business, financial condition, results of operations, prospects, business strategy and financial needs. Such statements are based on current expectations only, and are subject to certain risks, uncertainties and assumptions, many of which are beyond our control. Should one or more of these risks or uncertainties materialize, or should underlying assumptions prove incorrect, actual results, performance, or achievements may vary materially from those anticipated, estimated or projected. Among the factors that could cause actual results to materially differ include:</w:t>
      </w:r>
    </w:p>
    <w:p>
      <w:pPr>
        <w:spacing w:after="0" w:line="80" w:lineRule="exact"/>
        <w:rPr>
          <w:sz w:val="20"/>
          <w:szCs w:val="20"/>
          <w:color w:val="auto"/>
        </w:rPr>
      </w:pPr>
    </w:p>
    <w:p>
      <w:pPr>
        <w:ind w:left="1000" w:right="7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and economic conditions; manufacturing or supply chain interruptions or changes in customer demand;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implementing our cost reduction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expanding our manufacturing capacities;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and retain highly qualified personnel;</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uncertainty related to the effects of changes in foreign currency exchange rates;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technological changes in our industries;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new product development; difficulties in identifying suitable acquisition candidates, consummating a transaction on terms which we consider acceptable, and integration and performance of acquired businesses;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foreign trade regulations and tariffs, and uncertainty regarding the same;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prices for metals and materials;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domestic and foreign tax regulations, and uncertainty regarding the same;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accounting standards;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proceeds from this offering; and</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the section titled “Risk Factors” in this prospectus supplement and our Annual Report on Form 10-K for the year ended December 31, 2025.</w:t>
      </w:r>
    </w:p>
    <w:p>
      <w:pPr>
        <w:spacing w:after="0" w:line="54" w:lineRule="exact"/>
        <w:rPr>
          <w:sz w:val="20"/>
          <w:szCs w:val="20"/>
          <w:color w:val="auto"/>
        </w:rPr>
      </w:pPr>
    </w:p>
    <w:p>
      <w:pPr>
        <w:ind w:left="300" w:right="399" w:firstLine="360"/>
        <w:spacing w:after="0" w:line="277" w:lineRule="auto"/>
        <w:rPr>
          <w:sz w:val="20"/>
          <w:szCs w:val="20"/>
          <w:color w:val="auto"/>
        </w:rPr>
      </w:pPr>
      <w:r>
        <w:rPr>
          <w:rFonts w:ascii="Times New Roman" w:cs="Times New Roman" w:eastAsia="Times New Roman" w:hAnsi="Times New Roman"/>
          <w:sz w:val="17"/>
          <w:szCs w:val="17"/>
          <w:color w:val="auto"/>
        </w:rPr>
        <w:t>Additionally, we operate in a very competitive and rapidly changing environment. New risks and uncertainties emerge from time to time and it is not possible for us to predict all risks and uncertainties that could have an impact on the forward-looking statements contained in this prospectus supplement and the documents incorporated herein by reference. We cannot assure you that the results, events and circumstances reflected in the forward-looking statements will be achieved or occur, and actual results, events or circumstances could differ materially from those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described in the forward-looking statements.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68"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or the applicable document incorporated herein by reference, as the case may be,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prospectus supplement and the documents incorporated herein by reference relate only to events as of the date on which such statements are made. We undertake no obligation to update any forward-looking statements after the date of this prospectus supplement or to conform such statements to actual results or revised expectations, except as required by law. All forward-looking statements attributable to us are expressly qualified by these cautionary statements.</w:t>
      </w:r>
    </w:p>
    <w:p>
      <w:pPr>
        <w:spacing w:after="0" w:line="75"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documents incorporated herein by reference contain market data and industry forecasts that were obtained from industry publications. Any such data and forecasts involve a number of assumptions and limitations, and you are cautioned not to give undue weight to such information. We have not independently verified any third-party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30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3405" cy="81305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ind w:left="320" w:right="319" w:firstLine="360"/>
        <w:spacing w:after="0" w:line="271"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or incorporated by reference elsewhere in this prospectus supplement and the accompanying prospectus and does not contain all of the information that you should consider in making your investment decision. Before investing in our common stock, you should carefully read this entire prospectus supplement and the accompanying prospectus and the information incorporated by reference herein and therein, including our consolidated financial statements and the related notes incorporated by reference into this prospectus supplement and the section titled “Risk Factors” included elsewhere in this prospectus supplement and our Annual Report on Form 10-K for the year ended December 31, 2025, which is incorporated herein by reference. Except as otherwise indicated or unless the context otherwise requires, the terms “Vishay,” the “Company,” “we,” “us,” “our” or similar terms refer to Vishay Intertechnology, Inc. and its consolidated subsidiaries.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left="320" w:right="619" w:firstLine="360"/>
        <w:spacing w:after="0" w:line="266" w:lineRule="auto"/>
        <w:rPr>
          <w:sz w:val="20"/>
          <w:szCs w:val="20"/>
          <w:color w:val="auto"/>
        </w:rPr>
      </w:pPr>
      <w:r>
        <w:rPr>
          <w:rFonts w:ascii="Times New Roman" w:cs="Times New Roman" w:eastAsia="Times New Roman" w:hAnsi="Times New Roman"/>
          <w:sz w:val="18"/>
          <w:szCs w:val="18"/>
          <w:color w:val="auto"/>
        </w:rPr>
        <w:t>Vishay manufactures one of the world’s largest portfolios of discrete semiconductors and passive electronic components that are essential to innovative designs in the automotive, industrial, computing, consumer, telecommunications, military, aerospace, and healthcare markets.</w:t>
      </w:r>
    </w:p>
    <w:p>
      <w:pPr>
        <w:spacing w:after="0" w:line="68" w:lineRule="exact"/>
        <w:rPr>
          <w:sz w:val="20"/>
          <w:szCs w:val="20"/>
          <w:color w:val="auto"/>
        </w:rPr>
      </w:pPr>
    </w:p>
    <w:p>
      <w:pPr>
        <w:ind w:left="320" w:right="519" w:firstLine="360"/>
        <w:spacing w:after="0" w:line="282" w:lineRule="auto"/>
        <w:rPr>
          <w:sz w:val="20"/>
          <w:szCs w:val="20"/>
          <w:color w:val="auto"/>
        </w:rPr>
      </w:pPr>
      <w:r>
        <w:rPr>
          <w:rFonts w:ascii="Times New Roman" w:cs="Times New Roman" w:eastAsia="Times New Roman" w:hAnsi="Times New Roman"/>
          <w:sz w:val="18"/>
          <w:szCs w:val="18"/>
          <w:color w:val="auto"/>
        </w:rPr>
        <w:t>We operate in six segments based on product functionality: MOSFETs, Diodes, Optoelectronic Components, Resistors, Inductors, and Capacitors.</w:t>
      </w:r>
    </w:p>
    <w:p>
      <w:pPr>
        <w:spacing w:after="0" w:line="54" w:lineRule="exact"/>
        <w:rPr>
          <w:sz w:val="20"/>
          <w:szCs w:val="20"/>
          <w:color w:val="auto"/>
        </w:rPr>
      </w:pPr>
    </w:p>
    <w:p>
      <w:pPr>
        <w:ind w:left="320" w:right="399" w:firstLine="360"/>
        <w:spacing w:after="0" w:line="255" w:lineRule="auto"/>
        <w:rPr>
          <w:sz w:val="20"/>
          <w:szCs w:val="20"/>
          <w:color w:val="auto"/>
        </w:rPr>
      </w:pPr>
      <w:r>
        <w:rPr>
          <w:rFonts w:ascii="Times New Roman" w:cs="Times New Roman" w:eastAsia="Times New Roman" w:hAnsi="Times New Roman"/>
          <w:sz w:val="18"/>
          <w:szCs w:val="18"/>
          <w:color w:val="auto"/>
        </w:rPr>
        <w:t>Our goal is to enhance stockholder value by growing our business and improving earnings per share. Since 1985, we have pursued a business strategy of growth through focused research and development and acquisitions. We plan to continue to grow our business through intensified internal growth supplemented by opportunistic acquisitions, while maintaining a prudent capital structure. As we advance our Think Customer First organizational culture in 2026, we are focused on maintaining capacity readiness to fulfill rising demand, growing existing customer relationships, attracting new customer relationships, driving innovation, delivering new products and solutions, and expanding production in low-cost countries to support our regional competitiveness.</w:t>
      </w:r>
    </w:p>
    <w:p>
      <w:pPr>
        <w:spacing w:after="0" w:line="81" w:lineRule="exact"/>
        <w:rPr>
          <w:sz w:val="20"/>
          <w:szCs w:val="20"/>
          <w:color w:val="auto"/>
        </w:rPr>
      </w:pPr>
    </w:p>
    <w:p>
      <w:pPr>
        <w:ind w:left="320" w:right="399" w:firstLine="360"/>
        <w:spacing w:after="0" w:line="254" w:lineRule="auto"/>
        <w:rPr>
          <w:sz w:val="20"/>
          <w:szCs w:val="20"/>
          <w:color w:val="auto"/>
        </w:rPr>
      </w:pPr>
      <w:r>
        <w:rPr>
          <w:rFonts w:ascii="Times New Roman" w:cs="Times New Roman" w:eastAsia="Times New Roman" w:hAnsi="Times New Roman"/>
          <w:sz w:val="18"/>
          <w:szCs w:val="18"/>
          <w:color w:val="auto"/>
        </w:rPr>
        <w:t>We are focused on realizing the full value of our broad product portfolio, becoming a customer-first company, and capitalizing on the mega trends of e-mobility, sustainability, and connectivity to drive top line growth, expand margins, and optimize stockholder returns. Our elevated capital expenditure levels over the past three years has positioned us with increased capacity to assure our customers of reliable supply as they scale production and to supply more part numbers to them. We are committed to completing our capacity expansion projects, but have modulated and will continue to modulate spending in response to order flow, timing of customer demand and qualification, changes in lead times for equipment, and increases in subcontractor capacity. For 2026, we plan to spend between $400 million to $440 million for capital expenditures, approximately half of which is expected to be invested in our 12-inch wafer fab we are building in Itzehoe, Germany.</w:t>
      </w:r>
    </w:p>
    <w:p>
      <w:pPr>
        <w:spacing w:after="0" w:line="80"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Our business and operating results have been and will continue to be impacted by worldwide economic conditions. Our revenues are dependent on end markets that are impacted by consumer and industrial demand, and our operating results can be adversely affected by reduced demand in those global markets. In this volatile economic environment, we continue to closely monitor our fixed costs, capital expenditure plans, inventory, and capital resources to respond to changing conditions and to ensure we have the management, business processes, and resources to meet our future needs. We believe we can react quickly and professionally to changes in demand to minimize manufacturing inefficiencies and excess inventory build in periods of decline and maximize opportunities in periods of growth. We believe we have sufficient liquidity to withstand temporary disruptions in the economic environment.</w:t>
      </w: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20" w:right="419" w:firstLine="36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 under the Exchange Act. The SEC maintains an Internet website that contains reports, proxy and information statements, and other information regarding issuers, including us, that file electronically with the SEC. The public can obtain any documents that we file with the SEC at http://www.sec.gov.</w:t>
      </w:r>
    </w:p>
    <w:p>
      <w:pPr>
        <w:spacing w:after="0" w:line="72" w:lineRule="exact"/>
        <w:rPr>
          <w:sz w:val="20"/>
          <w:szCs w:val="20"/>
          <w:color w:val="auto"/>
        </w:rPr>
      </w:pPr>
    </w:p>
    <w:p>
      <w:pPr>
        <w:ind w:left="320" w:right="359" w:firstLine="360"/>
        <w:spacing w:after="0" w:line="281" w:lineRule="auto"/>
        <w:rPr>
          <w:sz w:val="20"/>
          <w:szCs w:val="20"/>
          <w:color w:val="auto"/>
        </w:rPr>
      </w:pPr>
      <w:r>
        <w:rPr>
          <w:rFonts w:ascii="Times New Roman" w:cs="Times New Roman" w:eastAsia="Times New Roman" w:hAnsi="Times New Roman"/>
          <w:sz w:val="17"/>
          <w:szCs w:val="17"/>
          <w:color w:val="auto"/>
        </w:rPr>
        <w:t>In addition, our company website can be found on the Internet at www.vishay.com. The website contains information about us and our operations. The information contained on or accessible through our website is not incorporated herein by reference and does not constitute a part of this prospectus supplement. Copies of each of our filings with the SEC on Form 10-K, Form 10-Q, and Form 8-K, and all amendments to those reports, can be viewed</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1641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3405" cy="16414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19"/>
        <w:spacing w:after="0" w:line="312" w:lineRule="auto"/>
        <w:rPr>
          <w:sz w:val="20"/>
          <w:szCs w:val="20"/>
          <w:color w:val="auto"/>
        </w:rPr>
      </w:pPr>
      <w:r>
        <w:rPr>
          <w:rFonts w:ascii="Times New Roman" w:cs="Times New Roman" w:eastAsia="Times New Roman" w:hAnsi="Times New Roman"/>
          <w:sz w:val="17"/>
          <w:szCs w:val="17"/>
          <w:color w:val="auto"/>
        </w:rPr>
        <w:t>and downloaded free of charge as soon as reasonably practicable after the reports and amendments are electronically filed with or furnished to the SEC. To view the reports, access ir.vishay.com and click on “SEC Filings.”</w:t>
      </w:r>
    </w:p>
    <w:p>
      <w:pPr>
        <w:spacing w:after="0" w:line="32" w:lineRule="exact"/>
        <w:rPr>
          <w:sz w:val="20"/>
          <w:szCs w:val="20"/>
          <w:color w:val="auto"/>
        </w:rPr>
      </w:pPr>
    </w:p>
    <w:p>
      <w:pPr>
        <w:ind w:left="320" w:right="699" w:firstLine="360"/>
        <w:spacing w:after="0" w:line="282" w:lineRule="auto"/>
        <w:rPr>
          <w:sz w:val="20"/>
          <w:szCs w:val="20"/>
          <w:color w:val="auto"/>
        </w:rPr>
      </w:pPr>
      <w:r>
        <w:rPr>
          <w:rFonts w:ascii="Times New Roman" w:cs="Times New Roman" w:eastAsia="Times New Roman" w:hAnsi="Times New Roman"/>
          <w:sz w:val="18"/>
          <w:szCs w:val="18"/>
          <w:color w:val="auto"/>
        </w:rPr>
        <w:t>Certain documents can also be obtained in print by any stockholder upon request to our Investor Relations Department at the following address: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Corporate Investor Relations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Vishay Intertechnology,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 Lancaster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Malvern, PA 19355-2143</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56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19" w:lineRule="exact"/>
        <w:rPr>
          <w:sz w:val="20"/>
          <w:szCs w:val="20"/>
          <w:color w:val="auto"/>
        </w:rPr>
      </w:pPr>
    </w:p>
    <w:p>
      <w:pPr>
        <w:ind w:left="320" w:right="3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brief summary of certain terms of this offering. For a more complete description of the terms of the common stock offered hereby, see the “Description of Our Common Stock” section of the accompanying prospectus.</w:t>
      </w:r>
    </w:p>
    <w:p>
      <w:pPr>
        <w:sectPr>
          <w:pgSz w:w="11900" w:h="16838" w:orient="portrait"/>
          <w:cols w:equalWidth="0" w:num="1">
            <w:col w:w="9019"/>
          </w:cols>
          <w:pgMar w:left="1440" w:top="263" w:right="1440" w:bottom="1440" w:gutter="0" w:footer="0" w:header="0"/>
        </w:sectPr>
      </w:pP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58" w:lineRule="exact"/>
        <w:rPr>
          <w:sz w:val="20"/>
          <w:szCs w:val="20"/>
          <w:color w:val="auto"/>
        </w:rPr>
      </w:pPr>
    </w:p>
    <w:p>
      <w:pPr>
        <w:ind w:left="320" w:right="440"/>
        <w:spacing w:after="0" w:line="458" w:lineRule="auto"/>
        <w:rPr>
          <w:sz w:val="20"/>
          <w:szCs w:val="20"/>
          <w:color w:val="auto"/>
        </w:rPr>
      </w:pPr>
      <w:r>
        <w:rPr>
          <w:rFonts w:ascii="Times New Roman" w:cs="Times New Roman" w:eastAsia="Times New Roman" w:hAnsi="Times New Roman"/>
          <w:sz w:val="18"/>
          <w:szCs w:val="18"/>
          <w:b w:val="1"/>
          <w:bCs w:val="1"/>
          <w:color w:val="auto"/>
        </w:rPr>
        <w:t>Common stock offered by us Option to purchase additional shares</w:t>
      </w:r>
    </w:p>
    <w:p>
      <w:pPr>
        <w:spacing w:after="0" w:line="200" w:lineRule="exact"/>
        <w:rPr>
          <w:sz w:val="20"/>
          <w:szCs w:val="20"/>
          <w:color w:val="auto"/>
        </w:rPr>
      </w:pPr>
    </w:p>
    <w:p>
      <w:pPr>
        <w:spacing w:after="0" w:line="347" w:lineRule="exact"/>
        <w:rPr>
          <w:sz w:val="20"/>
          <w:szCs w:val="20"/>
          <w:color w:val="auto"/>
        </w:rPr>
      </w:pPr>
    </w:p>
    <w:p>
      <w:pPr>
        <w:ind w:left="4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after this offering</w:t>
      </w:r>
    </w:p>
    <w:p>
      <w:pPr>
        <w:spacing w:after="0" w:line="200" w:lineRule="exact"/>
        <w:rPr>
          <w:sz w:val="20"/>
          <w:szCs w:val="20"/>
          <w:color w:val="auto"/>
        </w:rPr>
      </w:pP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Vishay Intertechnology, Inc., a Delaware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 of shares of our common stock.</w:t>
      </w:r>
    </w:p>
    <w:p>
      <w:pPr>
        <w:spacing w:after="0" w:line="158" w:lineRule="exact"/>
        <w:rPr>
          <w:sz w:val="20"/>
          <w:szCs w:val="20"/>
          <w:color w:val="auto"/>
        </w:rPr>
      </w:pPr>
    </w:p>
    <w:p>
      <w:pPr>
        <w:ind w:right="439"/>
        <w:spacing w:after="0" w:line="261" w:lineRule="auto"/>
        <w:rPr>
          <w:sz w:val="20"/>
          <w:szCs w:val="20"/>
          <w:color w:val="auto"/>
        </w:rPr>
      </w:pPr>
      <w:r>
        <w:rPr>
          <w:rFonts w:ascii="Times New Roman" w:cs="Times New Roman" w:eastAsia="Times New Roman" w:hAnsi="Times New Roman"/>
          <w:sz w:val="18"/>
          <w:szCs w:val="18"/>
          <w:color w:val="auto"/>
        </w:rPr>
        <w:t>The underwriters have an option to purchase up to an additional $112,500,000 of shares of our common stock. The underwriters may exercise their option at any time within 30 days from the date of this prospectus supplement.</w:t>
      </w:r>
    </w:p>
    <w:p>
      <w:pPr>
        <w:spacing w:after="0" w:line="288" w:lineRule="exact"/>
        <w:rPr>
          <w:sz w:val="20"/>
          <w:szCs w:val="20"/>
          <w:color w:val="auto"/>
        </w:rPr>
      </w:pPr>
    </w:p>
    <w:p>
      <w:pPr>
        <w:ind w:right="499"/>
        <w:spacing w:after="0" w:line="266" w:lineRule="auto"/>
        <w:rPr>
          <w:sz w:val="20"/>
          <w:szCs w:val="20"/>
          <w:color w:val="auto"/>
        </w:rPr>
      </w:pPr>
      <w:r>
        <w:rPr>
          <w:rFonts w:ascii="Times New Roman" w:cs="Times New Roman" w:eastAsia="Times New Roman" w:hAnsi="Times New Roman"/>
          <w:sz w:val="18"/>
          <w:szCs w:val="18"/>
          <w:color w:val="auto"/>
        </w:rPr>
        <w:t>      shares of our common stock (or       shares if the underwriters exercise their option to purchase additional shares in full).</w:t>
      </w:r>
    </w:p>
    <w:p>
      <w:pPr>
        <w:spacing w:after="0" w:line="95" w:lineRule="exact"/>
        <w:rPr>
          <w:sz w:val="20"/>
          <w:szCs w:val="20"/>
          <w:color w:val="auto"/>
        </w:rPr>
      </w:pPr>
    </w:p>
    <w:p>
      <w:pPr>
        <w:ind w:right="419"/>
        <w:spacing w:after="0" w:line="261" w:lineRule="auto"/>
        <w:rPr>
          <w:sz w:val="20"/>
          <w:szCs w:val="20"/>
          <w:color w:val="auto"/>
        </w:rPr>
      </w:pPr>
      <w:r>
        <w:rPr>
          <w:rFonts w:ascii="Times New Roman" w:cs="Times New Roman" w:eastAsia="Times New Roman" w:hAnsi="Times New Roman"/>
          <w:sz w:val="18"/>
          <w:szCs w:val="18"/>
          <w:color w:val="auto"/>
        </w:rPr>
        <w:t xml:space="preserve">We estimate that the net proceeds to us from the offering will be approximately $      million (or approximately $     </w:t>
      </w:r>
    </w:p>
    <w:p>
      <w:pPr>
        <w:ind w:right="339"/>
        <w:spacing w:after="0" w:line="251" w:lineRule="auto"/>
        <w:rPr>
          <w:sz w:val="20"/>
          <w:szCs w:val="20"/>
          <w:color w:val="auto"/>
        </w:rPr>
      </w:pPr>
      <w:r>
        <w:rPr>
          <w:rFonts w:ascii="Times New Roman" w:cs="Times New Roman" w:eastAsia="Times New Roman" w:hAnsi="Times New Roman"/>
          <w:sz w:val="18"/>
          <w:szCs w:val="18"/>
          <w:color w:val="auto"/>
        </w:rPr>
        <w:t>million if the underwriters exercise their option to purchase additional shares in full), after deducting underwriting discounts and commissions and estimated offering expenses payable by us. We intend to use the net proceeds from the sale of our common stock in this offering to accelerate our growth initiatives and for general corporate purposes, including to reduce current borrowings under our senior secured credit facility.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on page S-</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ectPr>
          <w:pgSz w:w="11900" w:h="16838" w:orient="portrait"/>
          <w:cols w:equalWidth="0" w:num="2">
            <w:col w:w="3580" w:space="620"/>
            <w:col w:w="481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8"/>
          <w:szCs w:val="18"/>
          <w:b w:val="1"/>
          <w:bCs w:val="1"/>
          <w:color w:val="auto"/>
        </w:rPr>
        <w:t>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right="540"/>
        <w:spacing w:after="0" w:line="443" w:lineRule="auto"/>
        <w:rPr>
          <w:sz w:val="20"/>
          <w:szCs w:val="20"/>
          <w:color w:val="auto"/>
        </w:rPr>
      </w:pPr>
      <w:r>
        <w:rPr>
          <w:rFonts w:ascii="Times New Roman" w:cs="Times New Roman" w:eastAsia="Times New Roman" w:hAnsi="Times New Roman"/>
          <w:sz w:val="18"/>
          <w:szCs w:val="18"/>
          <w:b w:val="1"/>
          <w:bCs w:val="1"/>
          <w:color w:val="auto"/>
        </w:rPr>
        <w:t>New York Stock Exchange symbol 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Because affiliates of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 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Santander US Capital Markets and UniCredit Capital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are lenders and/or agents under our senior secured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may receive 5% or more of the net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offering if we use a portion of the net proceeds to repay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 portion of the amounts outstanding under this facility, J.P.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Securities LLC, TD Securities (USA) LLC, MUFG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Americas Inc., Santander US Capital Markets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UniCredit Capital Markets LLC may be deemed to have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of interest” under Rule 5121 (“Rule 5121”)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Industry Regulatory Authority, Inc. (“FINRA”).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this offering is being made in compliance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requirements of Rule 5121. The appointment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independent underwriter” is not required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this offering as a “bona fide public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defined in Rule 5121, exists for our common stock.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Underwriting (Conflicts of Interest)</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“VSH.”</w:t>
      </w:r>
    </w:p>
    <w:p>
      <w:pPr>
        <w:spacing w:after="0" w:line="142" w:lineRule="exact"/>
        <w:rPr>
          <w:sz w:val="20"/>
          <w:szCs w:val="20"/>
          <w:color w:val="auto"/>
        </w:rPr>
      </w:pPr>
    </w:p>
    <w:p>
      <w:pPr>
        <w:ind w:right="359"/>
        <w:spacing w:after="0" w:line="255" w:lineRule="auto"/>
        <w:rPr>
          <w:sz w:val="20"/>
          <w:szCs w:val="20"/>
          <w:color w:val="auto"/>
        </w:rPr>
      </w:pPr>
      <w:r>
        <w:rPr>
          <w:rFonts w:ascii="Times New Roman" w:cs="Times New Roman" w:eastAsia="Times New Roman" w:hAnsi="Times New Roman"/>
          <w:sz w:val="18"/>
          <w:szCs w:val="18"/>
          <w:color w:val="auto"/>
        </w:rPr>
        <w:t>Investing in our common stock involves risk.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this prospectus supplement, “Risk Factors”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for the year ended December 31, 2025 and the other information included or incorporated by reference into this prospectus supplement and the accompanying prospectus for a discussion of factors you should carefully consider before deciding to invest in our common stock.</w:t>
      </w:r>
    </w:p>
    <w:p>
      <w:pPr>
        <w:spacing w:after="0" w:line="200" w:lineRule="exact"/>
        <w:rPr>
          <w:sz w:val="20"/>
          <w:szCs w:val="20"/>
          <w:color w:val="auto"/>
        </w:rPr>
      </w:pPr>
    </w:p>
    <w:p>
      <w:pPr>
        <w:sectPr>
          <w:pgSz w:w="11900" w:h="16838" w:orient="portrait"/>
          <w:cols w:equalWidth="0" w:num="2">
            <w:col w:w="3480" w:space="720"/>
            <w:col w:w="4819"/>
          </w:cols>
          <w:pgMar w:left="1440" w:top="263" w:right="1440" w:bottom="1440" w:gutter="0" w:footer="0" w:header="0"/>
          <w:type w:val="continuous"/>
        </w:sect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535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35356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tabs>
          <w:tab w:leader="none" w:pos="4180" w:val="left"/>
        </w:tabs>
        <w:rPr>
          <w:sz w:val="20"/>
          <w:szCs w:val="20"/>
          <w:color w:val="auto"/>
        </w:rPr>
      </w:pPr>
      <w:r>
        <w:rPr>
          <w:rFonts w:ascii="Times New Roman" w:cs="Times New Roman" w:eastAsia="Times New Roman" w:hAnsi="Times New Roman"/>
          <w:sz w:val="18"/>
          <w:szCs w:val="18"/>
          <w:b w:val="1"/>
          <w:bCs w:val="1"/>
          <w:color w:val="auto"/>
        </w:rPr>
        <w:t>Transfer agent and registrar</w:t>
      </w:r>
      <w:r>
        <w:rPr>
          <w:sz w:val="20"/>
          <w:szCs w:val="20"/>
          <w:color w:val="auto"/>
        </w:rPr>
        <w:tab/>
      </w:r>
      <w:r>
        <w:rPr>
          <w:rFonts w:ascii="Times New Roman" w:cs="Times New Roman" w:eastAsia="Times New Roman" w:hAnsi="Times New Roman"/>
          <w:sz w:val="17"/>
          <w:szCs w:val="17"/>
          <w:color w:val="auto"/>
        </w:rPr>
        <w:t>Computershare Limited.</w:t>
      </w:r>
    </w:p>
    <w:p>
      <w:pPr>
        <w:spacing w:after="0" w:line="121" w:lineRule="exact"/>
        <w:rPr>
          <w:sz w:val="20"/>
          <w:szCs w:val="20"/>
          <w:color w:val="auto"/>
        </w:rPr>
      </w:pPr>
    </w:p>
    <w:p>
      <w:pPr>
        <w:ind w:left="320" w:right="319" w:firstLine="360"/>
        <w:spacing w:after="0" w:line="266" w:lineRule="auto"/>
        <w:rPr>
          <w:sz w:val="20"/>
          <w:szCs w:val="20"/>
          <w:color w:val="auto"/>
        </w:rPr>
      </w:pPr>
      <w:r>
        <w:rPr>
          <w:rFonts w:ascii="Times New Roman" w:cs="Times New Roman" w:eastAsia="Times New Roman" w:hAnsi="Times New Roman"/>
          <w:sz w:val="18"/>
          <w:szCs w:val="18"/>
          <w:color w:val="auto"/>
        </w:rPr>
        <w:t>Unless we specifically state otherwise or the context otherwise requires, the number of shares of common stock to be outstanding after this offering is based on 124,008,087 shares issued and outstanding as of April 4, 2026 and excludes as of that date:</w:t>
      </w:r>
    </w:p>
    <w:p>
      <w:pPr>
        <w:spacing w:after="0" w:line="68" w:lineRule="exact"/>
        <w:rPr>
          <w:sz w:val="20"/>
          <w:szCs w:val="20"/>
          <w:color w:val="auto"/>
        </w:rPr>
      </w:pPr>
    </w:p>
    <w:p>
      <w:pPr>
        <w:ind w:left="1020" w:right="299" w:hanging="350"/>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5,071,000 shares of common stock issuable upon the vesting and settlement of our restricted stock units, assuming any performance-based awards are achieved at maximum, under the Vishay Intertechnology, Inc. 2023 Long-Term Incentive Plan (the “2023 Plan”);</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142,000 shares of common stock underlying phantom stock units;</w:t>
      </w:r>
    </w:p>
    <w:p>
      <w:pPr>
        <w:spacing w:after="0" w:line="117" w:lineRule="exact"/>
        <w:rPr>
          <w:rFonts w:ascii="Times New Roman" w:cs="Times New Roman" w:eastAsia="Times New Roman" w:hAnsi="Times New Roman"/>
          <w:sz w:val="18"/>
          <w:szCs w:val="18"/>
          <w:color w:val="auto"/>
        </w:rPr>
      </w:pPr>
    </w:p>
    <w:p>
      <w:pPr>
        <w:ind w:left="1020" w:right="939" w:hanging="350"/>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24,870,675 shares of common stock reserved for future issuance pursuant to the conversion of our outstanding 2.25% convertible senior notes due 2030 (the “2030 Notes”), of which $750,000,000 aggregate principal amount was outstanding;</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549,000 shares of common stock reserved for issuance under the 2023 Plan; and</w:t>
      </w:r>
    </w:p>
    <w:p>
      <w:pPr>
        <w:spacing w:after="0" w:line="117" w:lineRule="exact"/>
        <w:rPr>
          <w:rFonts w:ascii="Times New Roman" w:cs="Times New Roman" w:eastAsia="Times New Roman" w:hAnsi="Times New Roman"/>
          <w:sz w:val="18"/>
          <w:szCs w:val="18"/>
          <w:color w:val="auto"/>
        </w:rPr>
      </w:pPr>
    </w:p>
    <w:p>
      <w:pPr>
        <w:ind w:left="1020" w:right="87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12,097,148 shares of common stock issuable upon conversion of our outstanding shares of Class B common stock, par value $0.10 per share (“Class B common stock”).</w:t>
      </w:r>
    </w:p>
    <w:p>
      <w:pPr>
        <w:spacing w:after="0" w:line="54" w:lineRule="exact"/>
        <w:rPr>
          <w:sz w:val="20"/>
          <w:szCs w:val="20"/>
          <w:color w:val="auto"/>
        </w:rPr>
      </w:pPr>
    </w:p>
    <w:p>
      <w:pPr>
        <w:jc w:val="both"/>
        <w:ind w:left="320" w:right="499" w:firstLine="360"/>
        <w:spacing w:after="0" w:line="289" w:lineRule="auto"/>
        <w:rPr>
          <w:sz w:val="20"/>
          <w:szCs w:val="20"/>
          <w:color w:val="auto"/>
        </w:rPr>
      </w:pPr>
      <w:r>
        <w:rPr>
          <w:rFonts w:ascii="Times New Roman" w:cs="Times New Roman" w:eastAsia="Times New Roman" w:hAnsi="Times New Roman"/>
          <w:sz w:val="17"/>
          <w:szCs w:val="17"/>
          <w:color w:val="auto"/>
        </w:rPr>
        <w:t>On May 18, 2026, following approval by our board of directors, our stockholders approved an amendment to the 2023 Plan that, among other things, (i) increases the number of shares of common stock available for issuance under the 2023 Plan by 6,000,000 shares, and (ii) extends the term of the 2023 Plan by approximately three years.</w:t>
      </w:r>
    </w:p>
    <w:p>
      <w:pPr>
        <w:spacing w:after="0" w:line="50" w:lineRule="exact"/>
        <w:rPr>
          <w:sz w:val="20"/>
          <w:szCs w:val="20"/>
          <w:color w:val="auto"/>
        </w:rPr>
      </w:pPr>
    </w:p>
    <w:p>
      <w:pPr>
        <w:ind w:left="320" w:right="85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by the underwriters of their option to purchase additional shares.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 addition to the other information included and incorporated by reference in this prospectus supplement and the accompanying prospectus, including the information provided under the caption “Risk Factors” in our Annual Report on Form 10-K for the year ended December 31, 2025, you should carefully consider the risks described or referred to below before deciding to purchase our common stock. The occurrence of any of these risks may materially harm our business, results of operations and financial condition. As a result, the trading price of our common stock may decline, and you might lose part or all of your investment. As used in this section, “we,” “our” and “us” refer to Vishay Intertechnology, Inc. and not to its subsidiaries.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Common Stock</w:t>
      </w:r>
    </w:p>
    <w:p>
      <w:pPr>
        <w:spacing w:after="0" w:line="117" w:lineRule="exact"/>
        <w:rPr>
          <w:sz w:val="20"/>
          <w:szCs w:val="20"/>
          <w:color w:val="auto"/>
        </w:rPr>
      </w:pPr>
    </w:p>
    <w:p>
      <w:pPr>
        <w:ind w:left="30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invest or spend the proceeds in ways with which you do not agree and in ways that may not yield a return on your investment.</w:t>
      </w:r>
    </w:p>
    <w:p>
      <w:pPr>
        <w:spacing w:after="0" w:line="5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w:t>
      </w:r>
    </w:p>
    <w:p>
      <w:pPr>
        <w:spacing w:after="0" w:line="183" w:lineRule="exact"/>
        <w:rPr>
          <w:sz w:val="20"/>
          <w:szCs w:val="20"/>
          <w:color w:val="auto"/>
        </w:rPr>
      </w:pPr>
    </w:p>
    <w:p>
      <w:pPr>
        <w:ind w:left="30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or sale of additional shares of our common stock, or rights to acquire shares of our common stock, could depress the trading price of our common stock.</w:t>
      </w:r>
    </w:p>
    <w:p>
      <w:pPr>
        <w:spacing w:after="0" w:line="51" w:lineRule="exact"/>
        <w:rPr>
          <w:sz w:val="20"/>
          <w:szCs w:val="20"/>
          <w:color w:val="auto"/>
        </w:rPr>
      </w:pPr>
    </w:p>
    <w:p>
      <w:pPr>
        <w:ind w:left="300" w:right="459" w:firstLine="360"/>
        <w:spacing w:after="0" w:line="268" w:lineRule="auto"/>
        <w:rPr>
          <w:sz w:val="20"/>
          <w:szCs w:val="20"/>
          <w:color w:val="auto"/>
        </w:rPr>
      </w:pPr>
      <w:r>
        <w:rPr>
          <w:rFonts w:ascii="Times New Roman" w:cs="Times New Roman" w:eastAsia="Times New Roman" w:hAnsi="Times New Roman"/>
          <w:sz w:val="17"/>
          <w:szCs w:val="17"/>
          <w:color w:val="auto"/>
        </w:rPr>
        <w:t>We may conduct future offerings of our common stock, preferred stock or other securities that are convertible into, or exercisable or exchangeable for, our common stock to finance our operations or fund acquisitions, or for other purposes. In addition, as of April 4, 2026, we had 5,071,000 shares of common stock that were issuable upon the vesting and settlement of outstanding restricted stock units, assuming any performance-based awards are achieved at maximum; 142,000 shares of common stock underlying phantom stock units; 24,870,675 shares of common stock reserved for future issuance pursuant to the conversion of 2030 Notes, of which</w:t>
      </w:r>
    </w:p>
    <w:p>
      <w:pPr>
        <w:spacing w:after="0" w:line="5"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$750,000,000 aggregate principal amount was outstanding; 549,000 shares of common stock reserved for issuance under the 2023 Plan; and 12,097,148 shares of common stock issuable upon conversion of our outstanding Class B common stock. Additionally, on May 18, 2026, following approval by our board of directors, our stockholders approved an amendment to the 2023 Plan that, among other things, increased the number of shares of common stock available for issuance under the 2023 Plan by 6,000,000 shares.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may significantly decline. In addition, our issuance of additional shares of common stock, including upon conversion of our outstanding 2030 Notes, will dilute the ownership interests of our existing common stockholders.</w:t>
      </w:r>
    </w:p>
    <w:p>
      <w:pPr>
        <w:spacing w:after="0" w:line="189"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will incur immediate and substantial dilution in the book value of your shares.</w:t>
      </w:r>
    </w:p>
    <w:p>
      <w:pPr>
        <w:spacing w:after="0" w:line="5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Investors purchasing shares of common stock in this offering will pay a price per share that substantially exceeds the book value per share of common stock, after giving effect to this offering. As a result of the dilution to investors purchasing shares in this offering, investors may receive significantly less than the purchase price paid in this offering, if anything, in the event of our liquidation. Further, we may in the future sell substantial amounts of common stock or securities convertible into or exchangeable for common stock. These future issuances of common stock or common stock-related securities, together with the exercise of outstanding options and any additional shares issued in connection with acquisitions, if any, may result in further dilution.</w:t>
      </w:r>
    </w:p>
    <w:p>
      <w:pPr>
        <w:spacing w:after="0" w:line="185"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5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adversely affected by market conditions affecting the stock markets in general and the stock prices of companies in our industry in particular.</w:t>
      </w:r>
    </w:p>
    <w:p>
      <w:pPr>
        <w:spacing w:after="0" w:line="5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Market conditions may result in volatility in the level of, and fluctuations in, market prices of stocks generally and, in turn, our common stock, which may be unrelated or disproportionate to changes in our operating performance. Any actual or perceived weakness in the economy in general could increase the volatility of the stock market, which may adversely affect the market price of our common stock. In addition, the stock prices of many companies in the semiconductor industry have recently increased substantially, and there can be no guarantee that these market conditions will persist. A downturn in the market for semiconductor companies could adversely impact the market price of our common stock.</w:t>
      </w:r>
    </w:p>
    <w:p>
      <w:pPr>
        <w:spacing w:after="0" w:line="185" w:lineRule="exact"/>
        <w:rPr>
          <w:sz w:val="20"/>
          <w:szCs w:val="20"/>
          <w:color w:val="auto"/>
        </w:rPr>
      </w:pPr>
    </w:p>
    <w:p>
      <w:pPr>
        <w:ind w:left="30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5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control these analysts. If we fail to meet the estimates provided by securities or industry analysts, our stock price would likely decline.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85"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holders of our Class B common stock have effective voting control of our company, giving them the effective ability to prevent a change in control transaction.</w:t>
      </w:r>
    </w:p>
    <w:p>
      <w:pPr>
        <w:spacing w:after="0" w:line="5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We have two classes of common stock: common stock and Class B common stock. The holders of common stock are entitled to one vote for each share held, while the holders of Class B common stock are entitled to 10 votes for each share held. At April 4, 2026, the holders of Class B common stock held approximately 49.4% of the voting power of the Company. The ownership of Class B common stock is highly concentrated, and holders of Class B common stock effectively can cause the election of directors and approve other actions as stockholders.</w:t>
      </w:r>
    </w:p>
    <w:p>
      <w:pPr>
        <w:spacing w:after="0" w:line="3" w:lineRule="exact"/>
        <w:rPr>
          <w:sz w:val="20"/>
          <w:szCs w:val="20"/>
          <w:color w:val="auto"/>
        </w:rPr>
      </w:pPr>
    </w:p>
    <w:p>
      <w:pPr>
        <w:ind w:left="300" w:right="359"/>
        <w:spacing w:after="0" w:line="251" w:lineRule="auto"/>
        <w:rPr>
          <w:sz w:val="20"/>
          <w:szCs w:val="20"/>
          <w:color w:val="auto"/>
        </w:rPr>
      </w:pPr>
      <w:r>
        <w:rPr>
          <w:rFonts w:ascii="Times New Roman" w:cs="Times New Roman" w:eastAsia="Times New Roman" w:hAnsi="Times New Roman"/>
          <w:sz w:val="18"/>
          <w:szCs w:val="18"/>
          <w:color w:val="auto"/>
        </w:rPr>
        <w:t>Mrs. Ruta Zandman (a member of our board of directors) controls the voting of, solely or on a shared basis with Marc Zandman (our Executive Chairman) and Ziv Shoshani (a former member of our board of directors), approximately 89.7% of our Class B common stock and 44.3% of the total voting power of our capital stock as of April 4, 2026. Holders of our Class B common stock may act in ways that are contrary to, or not in the best interests of, holders of our common stock. The voting rights of the holders of our Class B common stock effectively give such holders the ability to prevent transactions that would result in a change in control of us, including transactions in which holders of our common stock might otherwise receive a premium for their shares over the then-current market price.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common stock may decline.</w:t>
      </w:r>
    </w:p>
    <w:p>
      <w:pPr>
        <w:spacing w:after="0" w:line="121"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 or the financial guidance we provide to the public;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products and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or our stockholders;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17"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geopolitical, regulatory, and market conditions, may also negatively impact the market price of our common stock. In addition, technology stocks have historically experienced high levels of volatility. In the past, companies that have experienced volatility in the market price of their securities have been subject to securities class action litigation. We have in the past and may in the future be the target of this type of litigation in the future, which could result in substantial expenses and divert our management’s attention.</w:t>
      </w:r>
    </w:p>
    <w:p>
      <w:pPr>
        <w:spacing w:after="0" w:line="183" w:lineRule="exact"/>
        <w:rPr>
          <w:sz w:val="20"/>
          <w:szCs w:val="20"/>
          <w:color w:val="auto"/>
        </w:rPr>
      </w:pPr>
    </w:p>
    <w:p>
      <w:pPr>
        <w:ind w:left="30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defenses in our corrected amended and restated certificate of incorporation, our amended and restated bylaws and under Delaware law may impede or discourage a merger, a takeover attempt or other business combinations, which could also reduce the market price of our common stock.</w:t>
      </w:r>
    </w:p>
    <w:p>
      <w:pPr>
        <w:spacing w:after="0" w:line="67"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Delaware law impose various impediments to the ability of a third party to acquire control of us, even if a change in control would be beneficial to our existing stockholders. Our corrected amended and restated certificate of incorporation and amended and restated bylaws also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79" w:lineRule="exact"/>
        <w:rPr>
          <w:sz w:val="20"/>
          <w:szCs w:val="20"/>
          <w:color w:val="auto"/>
        </w:rPr>
      </w:pPr>
    </w:p>
    <w:p>
      <w:pPr>
        <w:ind w:left="1000" w:right="759" w:hanging="348"/>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that our Class B common stock is generally entitled to ten votes per share, while our common stock is entitled to one vote per share, enabling the holders of our Class B common stock to effectively control the outcome of substantially all matters submitted to a vote of our stockholders, including the election of directors and change of control transactions;</w:t>
      </w:r>
    </w:p>
    <w:p>
      <w:pPr>
        <w:spacing w:after="0" w:line="71"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establishing a classified board of directors with three-year staggered terms and the provision that a director may be removed only for cause, each of which could delay the ability of stockholders to change the membership of a majority of our board of directors;</w:t>
      </w:r>
    </w:p>
    <w:p>
      <w:pPr>
        <w:spacing w:after="0" w:line="67" w:lineRule="exact"/>
        <w:rPr>
          <w:rFonts w:ascii="Times New Roman" w:cs="Times New Roman" w:eastAsia="Times New Roman" w:hAnsi="Times New Roman"/>
          <w:sz w:val="18"/>
          <w:szCs w:val="18"/>
          <w:color w:val="auto"/>
        </w:rPr>
      </w:pPr>
    </w:p>
    <w:p>
      <w:pPr>
        <w:jc w:val="both"/>
        <w:ind w:left="1000" w:right="41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jc w:val="both"/>
        <w:ind w:left="1000" w:right="33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6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directors or by any officer instructed by the directors to call the meeting, which could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by majority vote, to amend the bylaws, which may allow our board of directors to take additional actions to prevent an unsolicited takeover and inhibit the ability of an acquirer to amend the bylaws to facilitate an unsolicited takeover attempt.</w:t>
      </w:r>
    </w:p>
    <w:p>
      <w:pPr>
        <w:spacing w:after="0" w:line="68"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This statute prohibits a Delaware corporation listed on a national securities exchange from engaging in a business combination with an interested stockholder (generally a person who, together with its affiliates, owns or within the last three years has owned 15% or more of our voting stock subject to certain exceptions) for a period of three years after the date of the transaction in which the person became an interested stockholder, unless the business combination is approved in a prescribed manner. The application of Section 203 also could have the effect of delaying or preventing a change in control of us. Any of these provisions could, under certain circumstances, depress the market price of our common stock.</w:t>
      </w:r>
    </w:p>
    <w:p>
      <w:pPr>
        <w:spacing w:after="0" w:line="84" w:lineRule="exact"/>
        <w:rPr>
          <w:sz w:val="20"/>
          <w:szCs w:val="20"/>
          <w:color w:val="auto"/>
        </w:rPr>
      </w:pPr>
    </w:p>
    <w:p>
      <w:pPr>
        <w:ind w:left="300" w:right="479" w:firstLine="360"/>
        <w:spacing w:after="0" w:line="289" w:lineRule="auto"/>
        <w:rPr>
          <w:sz w:val="20"/>
          <w:szCs w:val="20"/>
          <w:color w:val="auto"/>
        </w:rPr>
      </w:pPr>
      <w:r>
        <w:rPr>
          <w:rFonts w:ascii="Times New Roman" w:cs="Times New Roman" w:eastAsia="Times New Roman" w:hAnsi="Times New Roman"/>
          <w:sz w:val="17"/>
          <w:szCs w:val="17"/>
          <w:color w:val="auto"/>
        </w:rPr>
        <w:t>The ability of our board of directors or a committee thereof to create and issue a new series of preferred stock and certain provisions of Delaware law and our corrected amended and restated certificate of incorporation and amended and restated bylaws could impede a merger, takeover attempt or other business combination involving 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1119"/>
        <w:spacing w:after="0" w:line="282" w:lineRule="auto"/>
        <w:rPr>
          <w:sz w:val="20"/>
          <w:szCs w:val="20"/>
          <w:color w:val="auto"/>
        </w:rPr>
      </w:pPr>
      <w:r>
        <w:rPr>
          <w:rFonts w:ascii="Times New Roman" w:cs="Times New Roman" w:eastAsia="Times New Roman" w:hAnsi="Times New Roman"/>
          <w:sz w:val="18"/>
          <w:szCs w:val="18"/>
          <w:color w:val="auto"/>
        </w:rPr>
        <w:t>or discourage a potential acquirer from making a tender offer for our common stock, which, under certain circumstances, could reduce the market price of our common stock.</w:t>
      </w:r>
    </w:p>
    <w:p>
      <w:pPr>
        <w:spacing w:after="0" w:line="54"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Finally, certain provisions in the 2030 Notes and the applicable indenture could make it more difficult or more expensive for a third party to acquire us. For example, if a takeover would constitute a fundamental change, holders of the notes will have the right to require us to repurchase their notes in cash. In addition, if a takeover constitutes a make-whole fundamental change, we may be required to increase the conversion rate for holders who convert their notes in connection with such takeover. In either case, and in other cases, our obligations under the notes and the applicable indenture could increase the cost of acquiring us or otherwise discourage a third party from acquiring us or removing incumbent management, including in a transaction that holders of the notes or holders of our common stock may view as favorable.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that the net proceeds from the sale of our common stock in this offering will be approximately</w:t>
      </w:r>
    </w:p>
    <w:p>
      <w:pPr>
        <w:spacing w:after="0" w:line="27" w:lineRule="exact"/>
        <w:rPr>
          <w:sz w:val="20"/>
          <w:szCs w:val="20"/>
          <w:color w:val="auto"/>
        </w:rPr>
      </w:pPr>
    </w:p>
    <w:p>
      <w:pPr>
        <w:ind w:left="300"/>
        <w:spacing w:after="0"/>
        <w:tabs>
          <w:tab w:leader="none" w:pos="940" w:val="left"/>
          <w:tab w:leader="none" w:pos="3520" w:val="left"/>
        </w:tabs>
        <w:rPr>
          <w:sz w:val="20"/>
          <w:szCs w:val="20"/>
          <w:color w:val="auto"/>
        </w:rPr>
      </w:pPr>
      <w:r>
        <w:rPr>
          <w:rFonts w:ascii="Times New Roman" w:cs="Times New Roman" w:eastAsia="Times New Roman" w:hAnsi="Times New Roman"/>
          <w:sz w:val="18"/>
          <w:szCs w:val="18"/>
          <w:color w:val="auto"/>
        </w:rPr>
        <w:t xml:space="preserve">$       </w:t>
        <w:tab/>
        <w:t xml:space="preserve">million (or approximately $       </w:t>
      </w:r>
      <w:r>
        <w:rPr>
          <w:sz w:val="20"/>
          <w:szCs w:val="20"/>
          <w:color w:val="auto"/>
        </w:rPr>
        <w:tab/>
      </w:r>
      <w:r>
        <w:rPr>
          <w:rFonts w:ascii="Times New Roman" w:cs="Times New Roman" w:eastAsia="Times New Roman" w:hAnsi="Times New Roman"/>
          <w:sz w:val="17"/>
          <w:szCs w:val="17"/>
          <w:color w:val="auto"/>
        </w:rPr>
        <w:t>million if the underwriters exercise their option to purchase additional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in full), after deducting the estimated expenses of this offering. We intend to use the net proceeds from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sale of our common stock in this offering to accelerate our growth initiatives and for general corporate purposes,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including to reduce current borrowings under our Credit Facility (as defined below). These growth initiatives may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include investments in capacity expansion, manufacturing optimization, technology innovation research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development, and other strategic priorities intended to support long-term growth. We may also use a portion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net proceeds to acquire or invest in businesses, products and/or technologies that are complementary to our own,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although we have no current plans, commitments or agreements with respect to any acquisitions as of the date of this</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prospectus supplement. Pending these uses, we may invest the net proceeds in short-term, investment-grade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instruments.</w:t>
      </w:r>
    </w:p>
    <w:p>
      <w:pPr>
        <w:spacing w:after="0" w:line="9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Our senior secured credit facility is with a consortium of banks led by J.P. Morgan Chase Bank, N.A. and matures on May 8, 2028 (the “Credit Facility”). Borrowings under the Credit Facility currently bears interest at the Secured Overnight Financing Rate plus 2.10%.</w:t>
      </w:r>
    </w:p>
    <w:p>
      <w:pPr>
        <w:spacing w:after="0" w:line="68"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Certain of the underwriters or their affiliates are lenders and/or agents under the Credit Facility. Accordingly, such underwriters and/or their respective affiliates may receive a portion of the net proceeds from this offering. See “</w:t>
      </w:r>
      <w:r>
        <w:rPr>
          <w:rFonts w:ascii="Times New Roman" w:cs="Times New Roman" w:eastAsia="Times New Roman" w:hAnsi="Times New Roman"/>
          <w:sz w:val="18"/>
          <w:szCs w:val="18"/>
          <w:i w:val="1"/>
          <w:iCs w:val="1"/>
          <w:color w:val="auto"/>
        </w:rPr>
        <w:t>Underwriting (Conflicts of Interest)—Conflicts of Interest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In 2022, our board of directors adopted a Stockholder Return Policy, which calls for us to return at least 70% of free cash flow, net of scheduled principal payments of long-term debt, on an annual basis. We intend to return such amounts to stockholders directly, in the form of dividends, or indirectly, in the form of stock repurchases. The policy sets forth our intention, but does not obligate us to acquire any shares of common stock or declare any dividends, and the policy may be terminated or suspended at any time at our discretion, in accordance with applicable laws and regulations. For 2026, we expect to maintain our dividend and opportunistically repurchase shares based on available liquidity in line with this policy.</w:t>
      </w:r>
    </w:p>
    <w:p>
      <w:pPr>
        <w:spacing w:after="0" w:line="81"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structure of our Stockholder Return Policy enables us to allocate capital responsibly among our business, our lenders, and our stockholders. We will continue to invest in growth initiatives including key product line expansions, targeted R&amp;D, and synergistic acquisitions.</w:t>
      </w:r>
    </w:p>
    <w:p>
      <w:pPr>
        <w:spacing w:after="0" w:line="68"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We have paid dividends each quarter since the first quarter of 2014, and the Stockholder Return Policy will remain in effect until such time as our board of directors votes to amend or rescind the policy. Our most recent quarterly dividend declared by our board of directors was $0.10 per share of common stock and Class B common stock, paid on June 29, 2026 to stockholders of record as of the close of business on June 18, 2026. Implementation of the Stockholder Return Policy is subject to future declarations of dividends by our board of directors, market and business conditions, legal requirements, and other factors.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short-term investments and capitalization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4, 2026:</w:t>
      </w:r>
    </w:p>
    <w:p>
      <w:pPr>
        <w:spacing w:after="0" w:line="99"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this offering, after deducting estimated offering expenses payable by us but without giving effect to the anticipated use of the net proceeds from this offering.</w:t>
      </w:r>
    </w:p>
    <w:p>
      <w:pPr>
        <w:spacing w:after="0" w:line="52"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This table should be read in conjunction with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in this prospectus supplement and our consolidated financial statements, related notes and “Management’s Discussion and Analysis of Financial Condition and Results of Operations” contained in our Quarterly Report on Form 10-Q for the quarter ended April 4, 2026, which is incorporated by reference into this prospectus supplement and the accompanying prospectus.</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April 4, 2026</w:t>
            </w:r>
          </w:p>
        </w:tc>
      </w:tr>
      <w:tr>
        <w:trPr>
          <w:trHeight w:val="23"/>
        </w:trPr>
        <w:tc>
          <w:tcPr>
            <w:tcW w:w="6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6"/>
        </w:trPr>
        <w:tc>
          <w:tcPr>
            <w:tcW w:w="6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80" w:type="dxa"/>
            <w:vAlign w:val="bottom"/>
          </w:tcPr>
          <w:p>
            <w:pPr>
              <w:spacing w:after="0"/>
              <w:rPr>
                <w:sz w:val="16"/>
                <w:szCs w:val="16"/>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3"/>
        </w:trPr>
        <w:tc>
          <w:tcPr>
            <w:tcW w:w="6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44"/>
        </w:trPr>
        <w:tc>
          <w:tcPr>
            <w:tcW w:w="6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60" w:type="dxa"/>
            <w:vAlign w:val="bottom"/>
            <w:gridSpan w:val="6"/>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 except par value</w:t>
            </w:r>
          </w:p>
        </w:tc>
      </w:tr>
      <w:tr>
        <w:trPr>
          <w:trHeight w:val="190"/>
        </w:trPr>
        <w:tc>
          <w:tcPr>
            <w:tcW w:w="6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and share amounts)</w:t>
            </w:r>
          </w:p>
        </w:tc>
      </w:tr>
      <w:tr>
        <w:trPr>
          <w:trHeight w:val="23"/>
        </w:trPr>
        <w:tc>
          <w:tcPr>
            <w:tcW w:w="6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479,357</w:t>
            </w:r>
          </w:p>
        </w:tc>
        <w:tc>
          <w:tcPr>
            <w:tcW w:w="480" w:type="dxa"/>
            <w:vAlign w:val="bottom"/>
            <w:shd w:val="clear" w:color="auto" w:fill="CCEEFF"/>
          </w:tcPr>
          <w:p>
            <w:pPr>
              <w:spacing w:after="0"/>
              <w:rPr>
                <w:sz w:val="23"/>
                <w:szCs w:val="23"/>
                <w:color w:val="auto"/>
              </w:rPr>
            </w:pPr>
          </w:p>
        </w:tc>
        <w:tc>
          <w:tcPr>
            <w:tcW w:w="9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479,548</w:t>
            </w:r>
          </w:p>
        </w:tc>
        <w:tc>
          <w:tcPr>
            <w:tcW w:w="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64"/>
        </w:trPr>
        <w:tc>
          <w:tcPr>
            <w:tcW w:w="6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debt (including current portion of long-term debt)</w:t>
            </w:r>
          </w:p>
        </w:tc>
        <w:tc>
          <w:tcPr>
            <w:tcW w:w="60" w:type="dxa"/>
            <w:vAlign w:val="bottom"/>
            <w:tcBorders>
              <w:top w:val="single" w:sz="8" w:color="CCEEFF"/>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(less current portion)</w:t>
            </w: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9019"/>
          </w:cols>
          <w:pgMar w:left="1440" w:top="263" w:right="1440" w:bottom="1440" w:gutter="0" w:footer="0" w:header="0"/>
        </w:sectPr>
      </w:pPr>
    </w:p>
    <w:p>
      <w:pPr>
        <w:ind w:left="480"/>
        <w:spacing w:after="0" w:line="182" w:lineRule="auto"/>
        <w:rPr>
          <w:sz w:val="20"/>
          <w:szCs w:val="20"/>
          <w:color w:val="auto"/>
        </w:rPr>
      </w:pPr>
      <w:r>
        <w:rPr>
          <w:rFonts w:ascii="Times New Roman" w:cs="Times New Roman" w:eastAsia="Times New Roman" w:hAnsi="Times New Roman"/>
          <w:sz w:val="17"/>
          <w:szCs w:val="17"/>
          <w:color w:val="auto"/>
        </w:rPr>
        <w:t>Senior secured credit facility</w:t>
      </w:r>
      <w:r>
        <w:rPr>
          <w:rFonts w:ascii="Times New Roman" w:cs="Times New Roman" w:eastAsia="Times New Roman" w:hAnsi="Times New Roman"/>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0</wp:posOffset>
            </wp:positionV>
            <wp:extent cx="534924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ind w:left="480"/>
        <w:spacing w:after="0" w:line="184" w:lineRule="auto"/>
        <w:rPr>
          <w:sz w:val="20"/>
          <w:szCs w:val="20"/>
          <w:color w:val="auto"/>
        </w:rPr>
      </w:pPr>
      <w:r>
        <w:rPr>
          <w:rFonts w:ascii="Times New Roman" w:cs="Times New Roman" w:eastAsia="Times New Roman" w:hAnsi="Times New Roman"/>
          <w:sz w:val="18"/>
          <w:szCs w:val="18"/>
          <w:color w:val="auto"/>
        </w:rPr>
        <w:t>2.25% Convertible senior notes, due 2030</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30480</wp:posOffset>
            </wp:positionV>
            <wp:extent cx="53492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 long-term debt</w:t>
      </w:r>
    </w:p>
    <w:p>
      <w:pPr>
        <w:ind w:left="300"/>
        <w:spacing w:after="0" w:line="215" w:lineRule="auto"/>
        <w:rPr>
          <w:sz w:val="20"/>
          <w:szCs w:val="20"/>
          <w:color w:val="auto"/>
        </w:rPr>
      </w:pPr>
      <w:r>
        <w:rPr>
          <w:rFonts w:ascii="Times New Roman" w:cs="Times New Roman" w:eastAsia="Times New Roman" w:hAnsi="Times New Roman"/>
          <w:sz w:val="18"/>
          <w:szCs w:val="18"/>
          <w:color w:val="auto"/>
        </w:rPr>
        <w:t>Stockholders’ equity</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-8890</wp:posOffset>
            </wp:positionV>
            <wp:extent cx="534924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ind w:left="660" w:right="180" w:hanging="179"/>
        <w:spacing w:after="0" w:line="254" w:lineRule="auto"/>
        <w:rPr>
          <w:sz w:val="20"/>
          <w:szCs w:val="20"/>
          <w:color w:val="auto"/>
        </w:rPr>
      </w:pPr>
      <w:r>
        <w:rPr>
          <w:rFonts w:ascii="Times New Roman" w:cs="Times New Roman" w:eastAsia="Times New Roman" w:hAnsi="Times New Roman"/>
          <w:sz w:val="18"/>
          <w:szCs w:val="18"/>
          <w:color w:val="auto"/>
        </w:rPr>
        <w:t>Preferred stock, par value $1.00 per share: 1,000,000 shares authorized; none issued, actual and as adjusted</w:t>
      </w:r>
    </w:p>
    <w:p>
      <w:pPr>
        <w:spacing w:after="0" w:line="1" w:lineRule="exact"/>
        <w:rPr>
          <w:sz w:val="20"/>
          <w:szCs w:val="20"/>
          <w:color w:val="auto"/>
        </w:rPr>
      </w:pPr>
    </w:p>
    <w:p>
      <w:pPr>
        <w:ind w:left="660" w:hanging="179"/>
        <w:spacing w:after="0" w:line="260" w:lineRule="auto"/>
        <w:rPr>
          <w:sz w:val="20"/>
          <w:szCs w:val="20"/>
          <w:color w:val="auto"/>
        </w:rPr>
      </w:pPr>
      <w:r>
        <w:rPr>
          <w:rFonts w:ascii="Times New Roman" w:cs="Times New Roman" w:eastAsia="Times New Roman" w:hAnsi="Times New Roman"/>
          <w:sz w:val="18"/>
          <w:szCs w:val="18"/>
          <w:color w:val="auto"/>
        </w:rPr>
        <w:t>Common stock, par value $0.10 per share: 300,000,000 shares authorized; 124,008,087 shares outstanding, actual and           shares outstanding, as adjusted</w:t>
      </w:r>
    </w:p>
    <w:p>
      <w:pPr>
        <w:spacing w:after="0" w:line="2" w:lineRule="exact"/>
        <w:rPr>
          <w:sz w:val="20"/>
          <w:szCs w:val="20"/>
          <w:color w:val="auto"/>
        </w:rPr>
      </w:pPr>
    </w:p>
    <w:p>
      <w:pPr>
        <w:ind w:left="660" w:right="100" w:hanging="179"/>
        <w:spacing w:after="0" w:line="266" w:lineRule="auto"/>
        <w:rPr>
          <w:sz w:val="20"/>
          <w:szCs w:val="20"/>
          <w:color w:val="auto"/>
        </w:rPr>
      </w:pPr>
      <w:r>
        <w:rPr>
          <w:rFonts w:ascii="Times New Roman" w:cs="Times New Roman" w:eastAsia="Times New Roman" w:hAnsi="Times New Roman"/>
          <w:sz w:val="18"/>
          <w:szCs w:val="18"/>
          <w:color w:val="auto"/>
        </w:rPr>
        <w:t>Class B common stock: 40,000,000 shares authorized; 12,097,148 shares outstanding, actual and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-287655</wp:posOffset>
            </wp:positionV>
            <wp:extent cx="534924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Capital in excess of par value</w:t>
      </w: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8229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Times New Roman" w:cs="Times New Roman" w:eastAsia="Times New Roman" w:hAnsi="Times New Roman"/>
          <w:sz w:val="18"/>
          <w:szCs w:val="18"/>
          <w:color w:val="auto"/>
        </w:rPr>
        <w:t>250,000</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750,000</w:t>
      </w:r>
    </w:p>
    <w:p>
      <w:pPr>
        <w:spacing w:after="0" w:line="36" w:lineRule="exact"/>
        <w:rPr>
          <w:sz w:val="20"/>
          <w:szCs w:val="20"/>
          <w:color w:val="auto"/>
        </w:rPr>
      </w:pPr>
    </w:p>
    <w:p>
      <w:pPr>
        <w:jc w:val="right"/>
        <w:ind w:right="1699"/>
        <w:spacing w:after="0"/>
        <w:rPr>
          <w:sz w:val="20"/>
          <w:szCs w:val="20"/>
          <w:color w:val="auto"/>
        </w:rPr>
      </w:pPr>
      <w:r>
        <w:rPr>
          <w:rFonts w:ascii="Times New Roman" w:cs="Times New Roman" w:eastAsia="Times New Roman" w:hAnsi="Times New Roman"/>
          <w:sz w:val="18"/>
          <w:szCs w:val="18"/>
          <w:color w:val="auto"/>
        </w:rPr>
        <w:t>(16,910)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5143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8890</wp:posOffset>
            </wp:positionV>
            <wp:extent cx="3429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983,090</w:t>
      </w:r>
    </w:p>
    <w:p>
      <w:pPr>
        <w:spacing w:after="0" w:line="200" w:lineRule="exact"/>
        <w:rPr>
          <w:sz w:val="20"/>
          <w:szCs w:val="20"/>
          <w:color w:val="auto"/>
        </w:rPr>
      </w:pPr>
    </w:p>
    <w:p>
      <w:pPr>
        <w:spacing w:after="0" w:line="2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12,402</w:t>
      </w:r>
    </w:p>
    <w:p>
      <w:pPr>
        <w:spacing w:after="0" w:line="252"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8"/>
          <w:szCs w:val="18"/>
          <w:color w:val="auto"/>
        </w:rPr>
        <w:t>1,210</w:t>
      </w:r>
    </w:p>
    <w:p>
      <w:pPr>
        <w:spacing w:after="0" w:line="36" w:lineRule="exact"/>
        <w:rPr>
          <w:sz w:val="20"/>
          <w:szCs w:val="20"/>
          <w:color w:val="auto"/>
        </w:rPr>
      </w:pPr>
    </w:p>
    <w:p>
      <w:pPr>
        <w:jc w:val="right"/>
        <w:ind w:right="1759"/>
        <w:spacing w:after="0"/>
        <w:rPr>
          <w:sz w:val="20"/>
          <w:szCs w:val="20"/>
          <w:color w:val="auto"/>
        </w:rPr>
      </w:pPr>
      <w:r>
        <w:rPr>
          <w:rFonts w:ascii="Times New Roman" w:cs="Times New Roman" w:eastAsia="Times New Roman" w:hAnsi="Times New Roman"/>
          <w:sz w:val="18"/>
          <w:szCs w:val="18"/>
          <w:color w:val="auto"/>
        </w:rPr>
        <w:t>1,109,461</w:t>
      </w:r>
    </w:p>
    <w:p>
      <w:pPr>
        <w:spacing w:after="0" w:line="36" w:lineRule="exact"/>
        <w:rPr>
          <w:sz w:val="20"/>
          <w:szCs w:val="20"/>
          <w:color w:val="auto"/>
        </w:rPr>
      </w:pPr>
    </w:p>
    <w:p>
      <w:pPr>
        <w:jc w:val="right"/>
        <w:ind w:right="1759"/>
        <w:spacing w:after="0"/>
        <w:rPr>
          <w:sz w:val="20"/>
          <w:szCs w:val="20"/>
          <w:color w:val="auto"/>
        </w:rPr>
      </w:pPr>
      <w:r>
        <w:rPr>
          <w:rFonts w:ascii="Times New Roman" w:cs="Times New Roman" w:eastAsia="Times New Roman" w:hAnsi="Times New Roman"/>
          <w:sz w:val="18"/>
          <w:szCs w:val="18"/>
          <w:color w:val="auto"/>
        </w:rPr>
        <w:t>885,771</w:t>
      </w:r>
    </w:p>
    <w:p>
      <w:pPr>
        <w:spacing w:after="0" w:line="36"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8"/>
          <w:szCs w:val="18"/>
          <w:color w:val="auto"/>
        </w:rPr>
        <w:t>67,021</w:t>
      </w:r>
    </w:p>
    <w:p>
      <w:pPr>
        <w:spacing w:after="0" w:line="36" w:lineRule="exact"/>
        <w:rPr>
          <w:sz w:val="20"/>
          <w:szCs w:val="20"/>
          <w:color w:val="auto"/>
        </w:rPr>
      </w:pPr>
    </w:p>
    <w:p>
      <w:pPr>
        <w:jc w:val="right"/>
        <w:ind w:right="1759"/>
        <w:spacing w:after="0"/>
        <w:rPr>
          <w:sz w:val="20"/>
          <w:szCs w:val="20"/>
          <w:color w:val="auto"/>
        </w:rPr>
      </w:pPr>
      <w:r>
        <w:rPr>
          <w:rFonts w:ascii="Times New Roman" w:cs="Times New Roman" w:eastAsia="Times New Roman" w:hAnsi="Times New Roman"/>
          <w:sz w:val="18"/>
          <w:szCs w:val="18"/>
          <w:color w:val="auto"/>
        </w:rPr>
        <w:t>2,075,865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$3,058,955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43180</wp:posOffset>
            </wp:positionV>
            <wp:extent cx="5143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8890</wp:posOffset>
            </wp:positionV>
            <wp:extent cx="3429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34290</wp:posOffset>
            </wp:positionV>
            <wp:extent cx="3429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640"/>
            <w:col w:w="2559"/>
          </w:cols>
          <w:pgMar w:left="1440" w:top="263" w:right="1440" w:bottom="1440" w:gutter="0" w:footer="0" w:header="0"/>
          <w:type w:val="continuous"/>
        </w:sectPr>
      </w:pPr>
    </w:p>
    <w:p>
      <w:pPr>
        <w:spacing w:after="0" w:line="169" w:lineRule="exact"/>
        <w:rPr>
          <w:sz w:val="20"/>
          <w:szCs w:val="20"/>
          <w:color w:val="auto"/>
        </w:rPr>
      </w:pPr>
    </w:p>
    <w:p>
      <w:pPr>
        <w:ind w:left="640" w:right="47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April 4, 2026, we had $250 million outstanding under our Credit Facility. After giving effect to subsequent borrowings, as of June 26, 2026, we had $303 million outstanding under our Credit Facility.</w:t>
      </w: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April 4, 2026, the aggregate principal amount of our outstanding 2030 Notes was $750 million.</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share information set forth above is as of April 4, 2026, and excludes as of that date:</w:t>
      </w:r>
    </w:p>
    <w:p>
      <w:pPr>
        <w:spacing w:after="0" w:line="95" w:lineRule="exact"/>
        <w:rPr>
          <w:rFonts w:ascii="Times New Roman" w:cs="Times New Roman" w:eastAsia="Times New Roman" w:hAnsi="Times New Roman"/>
          <w:sz w:val="14"/>
          <w:szCs w:val="14"/>
          <w:color w:val="auto"/>
        </w:rPr>
      </w:pPr>
    </w:p>
    <w:p>
      <w:pPr>
        <w:ind w:left="1000" w:right="379" w:hanging="348"/>
        <w:spacing w:after="0" w:line="261" w:lineRule="auto"/>
        <w:tabs>
          <w:tab w:leader="none" w:pos="100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5,071,000 shares of common stock issuable upon the vesting and settlement of our restricted stock units, assuming any performance-based awards are achieved at maximum, under the 2023 Plan;</w:t>
      </w:r>
    </w:p>
    <w:p>
      <w:pPr>
        <w:spacing w:after="0" w:line="54" w:lineRule="exact"/>
        <w:rPr>
          <w:rFonts w:ascii="Times New Roman" w:cs="Times New Roman" w:eastAsia="Times New Roman" w:hAnsi="Times New Roman"/>
          <w:sz w:val="14"/>
          <w:szCs w:val="14"/>
          <w:color w:val="auto"/>
        </w:rPr>
      </w:pPr>
    </w:p>
    <w:p>
      <w:pPr>
        <w:ind w:left="1000" w:hanging="348"/>
        <w:spacing w:after="0"/>
        <w:tabs>
          <w:tab w:leader="none" w:pos="100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142,000 shares of common stock underlying phantom stock units;</w:t>
      </w:r>
    </w:p>
    <w:p>
      <w:pPr>
        <w:spacing w:after="0" w:line="95" w:lineRule="exact"/>
        <w:rPr>
          <w:rFonts w:ascii="Times New Roman" w:cs="Times New Roman" w:eastAsia="Times New Roman" w:hAnsi="Times New Roman"/>
          <w:sz w:val="14"/>
          <w:szCs w:val="14"/>
          <w:color w:val="auto"/>
        </w:rPr>
      </w:pPr>
    </w:p>
    <w:p>
      <w:pPr>
        <w:ind w:left="1000" w:right="639" w:hanging="348"/>
        <w:spacing w:after="0" w:line="261" w:lineRule="auto"/>
        <w:tabs>
          <w:tab w:leader="none" w:pos="100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24,870,675 shares of common stock reserved for future issuance upon the conversion of the 2030 Notes, of which $750,000,000 aggregate principal amount was outstanding; and</w:t>
      </w:r>
    </w:p>
    <w:p>
      <w:pPr>
        <w:spacing w:after="0" w:line="54" w:lineRule="exact"/>
        <w:rPr>
          <w:rFonts w:ascii="Times New Roman" w:cs="Times New Roman" w:eastAsia="Times New Roman" w:hAnsi="Times New Roman"/>
          <w:sz w:val="14"/>
          <w:szCs w:val="14"/>
          <w:color w:val="auto"/>
        </w:rPr>
      </w:pPr>
    </w:p>
    <w:p>
      <w:pPr>
        <w:ind w:left="1000" w:hanging="348"/>
        <w:spacing w:after="0"/>
        <w:tabs>
          <w:tab w:leader="none" w:pos="100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549,000 shares of common stock reserved for issuance under the 2023 Plan.</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TO NON-U.S. HOLDERS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following is a summary of U.S. federal income tax considerations generally applicable to the ownership and disposition of our common stock by a Non-U.S. Holder (as defined below) that acquires such stock in this offering and that holds such stock as a capital asset (generally, property held for investment). This summary does not address all aspects of U.S. federal income taxation that may be relevant to a particular Non-U.S. Holder in light of its individual circumstances or the U.S. federal income tax consequences applicable to Non-U.S. Holders that are subject to special rules, such as controlled foreign corporations, passive foreign investment companies, corporations that accumulate earnings to avoid U.S. federal income tax, banks or other financial institutions, tax-exempt organizations (including private foundations), U.S. expatriates and certain former citizens or long-term residents of the United States, broker-dealers and traders in securities or currencies, or Non-U.S. Holders that hold common stock as part of a “straddle,” “hedge,” “conversion transaction,” or other integrated investment.</w:t>
      </w:r>
    </w:p>
    <w:p>
      <w:pPr>
        <w:spacing w:after="0" w:line="86"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This summary is based on provisions of the Internal Revenue Code of 1986, as amended (the “Code”), U.S. Treasury Regulations promulgated thereunder, and administrative and judicial interpretations thereof, all as in effect on the date hereof, and all of which are subject to change or differing interpretation, possibly with retroactive effect. We have not sought and will not seek any rulings from the Internal Revenue Service (“IRS”) regarding the statements made and the conclusions reached in the discussion below. There can be no assurance the IRS or a court will not take a contrary position to that discussed below regarding the tax consequences of the ownership and disposition of our common stock. This summary does not describe any U.S. state, local, or Non-U.S. income or other tax consequences (including estate, gift, and Medicare contribution tax on net investment income consequences) of owning and disposing of our common stock.</w:t>
      </w:r>
    </w:p>
    <w:p>
      <w:pPr>
        <w:spacing w:after="0" w:line="80"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summary, the term “Non-U.S. Holder” means a beneficial owner of our common stock that is not for U.S. federal income tax purposes:</w:t>
      </w:r>
    </w:p>
    <w:p>
      <w:pPr>
        <w:spacing w:after="0" w:line="54"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(as determined under the Code) of the United States;</w:t>
      </w:r>
    </w:p>
    <w:p>
      <w:pPr>
        <w:spacing w:after="0" w:line="11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created or organized in or under the laws of the United States or any political subdivision thereof or the District of Columbia;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United States court is able to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72" w:lineRule="exact"/>
        <w:rPr>
          <w:sz w:val="20"/>
          <w:szCs w:val="20"/>
          <w:color w:val="auto"/>
        </w:rPr>
      </w:pPr>
    </w:p>
    <w:p>
      <w:pPr>
        <w:ind w:left="300" w:right="579" w:firstLine="360"/>
        <w:spacing w:after="0" w:line="256"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or other pass-through entity for U.S. federal income tax purposes) holds our common stock, the tax treatment of a partner or beneficial owner in such entity will generally depend upon the status of the owner and the activities of the entity. Partners in a partnership (or beneficial owners of another entity or arrangement treated as a partnership or other pass-through entity for U.S. federal income tax purposes) should consult their tax advisors as to the U.S. federal income tax consequences to them of an investment in our common stock in their particular circumstances.</w:t>
      </w:r>
    </w:p>
    <w:p>
      <w:pPr>
        <w:spacing w:after="0" w:line="75" w:lineRule="exact"/>
        <w:rPr>
          <w:sz w:val="20"/>
          <w:szCs w:val="20"/>
          <w:color w:val="auto"/>
        </w:rPr>
      </w:pPr>
    </w:p>
    <w:p>
      <w:pPr>
        <w:ind w:left="300" w:right="3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OF U.S. FEDERAL INCOME TAX CONSIDERATIONS IS NOT INTENDED TO BE, AND SHOULD NOT BE CONSTRUED AS, TAX ADVICE. EACH PROSPECTIVE INVESTOR SHOULD CONSULT ITS TAX ADVISOR REGARDING THE U.S. FEDERAL, STATE, LOCAL, AND NON-U.S. INCOME AND OTHER TAX CONSEQUENCES OF THE PURCHASE, OWNERSHIP AND DISPOSITION OF OUR COMMON STOCK.</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19"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See the section of this prospectus supplement entitled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relating to our Stockholder Return Policy. Distributions of cash or property on our common stock, if any, will generally be treated as dividends to the extent such distributions are paid from our current or accumulated earnings and profits as determined for U.S. federal income tax purposes. Any such distributions in excess of our current and accumulated earnings and profits will be treated first as a return of capital to the extent of the holder’s adjusted tax basis in our common stock and thereafter as capital gain from the sale or exchange of such common stock, which is subject to the tax treatment described below in the section titled “</w:t>
      </w:r>
      <w:r>
        <w:rPr>
          <w:rFonts w:ascii="Times New Roman" w:cs="Times New Roman" w:eastAsia="Times New Roman" w:hAnsi="Times New Roman"/>
          <w:sz w:val="18"/>
          <w:szCs w:val="18"/>
          <w:i w:val="1"/>
          <w:iCs w:val="1"/>
          <w:color w:val="auto"/>
        </w:rPr>
        <w:t>—Sale, Exchange or Other Taxable Disposition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gross amount of dividends paid to a Non-U.S. Holder with respect to our common stock will generally be subject to U.S. federal withholding tax at a rate of 30% (or such lower rate as may be provided by an applicable income tax treaty), unless the dividends are effectively connected with the Non-U.S. Holder’s conduct of a trade or business within the United States (and, if required by an applicable income tax treaty, are attributable to a permanent establishment maintained by such Non-U.S. Holder in the United States). Subject to the discussion below in the sections titled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—Foreign Account Tax Compliance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dividends effectively connected with a Non-U.S. Holder’s conduct of a U.S. trade or business (and,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an applicable income tax treaty, attributable to a permanent establishment maintained by such Non-U.S. Holder in the United States) will generally not be subject to U.S. withholding tax if the Non-U.S. Holder complies with applicable certification and disclosure requirements (generally, by providing an IRS Form W-8ECI (or any appropriate successor or replacement form)). Instead, such dividends will generally be subject to U.S. federal income tax on a net income basis in the same manner in which citizens and residents of the United States are subject to U.S. federal income tax. Corporate Non-U.S. Holders may be subject to an additional “branch profits tax” at a rate of 30% (or such lower rate as may be specified by an applicable income tax treaty) on their “effectively connected earnings and profits,” subject to certain adjustments.</w:t>
      </w:r>
    </w:p>
    <w:p>
      <w:pPr>
        <w:spacing w:after="0" w:line="88"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An eligible Non-U.S. Holder may obtain a reduced rate of withholding under an applicable income tax treaty by providing a properly executed IRS Form W-8BEN or IRS Form W-8BEN-E (or any appropriate successor or replacement forms), as applicable, certifying that it is not a U.S. person as defined under the Code and that it is entitled to benefits under the treaty or, if such Non-U.S. Holder’s common stock is held through certain foreign intermediaries or foreign partnerships, by satisfying the relevant certification and documentation requirements of applicable Treasury Regulations.</w:t>
      </w:r>
    </w:p>
    <w:p>
      <w:pPr>
        <w:spacing w:after="0" w:line="79"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A Non-U.S. Holder eligible for a reduced rate of or exemption from U.S. federal withholding tax may obtain a refund of any excess amounts withheld by timely filing an appropriate claim for refund with the IRS. Non-U.S. Holders should consult their tax advisors regarding their entitlement to benefits under an applicable income tax treaty and the specific manner of claiming the benefits of the treaty.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or withholding tax with respect to gain recognized on the sale, exchange, or other taxable disposition of our common stock unless:</w:t>
      </w:r>
    </w:p>
    <w:p>
      <w:pPr>
        <w:spacing w:after="0" w:line="54" w:lineRule="exact"/>
        <w:rPr>
          <w:sz w:val="20"/>
          <w:szCs w:val="20"/>
          <w:color w:val="auto"/>
        </w:rPr>
      </w:pPr>
    </w:p>
    <w:p>
      <w:pPr>
        <w:ind w:left="1000" w:right="499" w:hanging="348"/>
        <w:spacing w:after="0" w:line="255"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such Non-U.S. Holder’s conduct of a trade or business within the United States (and, if required by an applicable income tax treaty, is attributable to a permanent establishment maintained by such Non-U.S. Holder in the United States), in which case, the Non-U.S. Holder will be subject to U.S. federal income tax on such gain on a net income basis in the same manner in which U.S. persons are subject to U.S. federal income tax and, in the case of corporate Non-U.S. Holders, may also be subject to an additional “branch profits tax” at a rate of 30% (or such lower rate as may be specified by an applicable income tax treaty);</w:t>
      </w:r>
    </w:p>
    <w:p>
      <w:pPr>
        <w:spacing w:after="0" w:line="80"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Holder that is a non-resident alien individual, such Non-U.S. Holder is present in the United States for 183 or more days in the taxable year of disposition and certain other conditions are met, in which case the Non-U.S. Holder will generally be subject to a flat income tax at a rate of 30% (or lower applicable treaty rate) on any capital gain recognized on the disposition of our common stock, which may be offset by certain U.S. source capital losses of the Non-U.S. Holder (even though the individual is not considered a resident of the United States), provided such Non-U.S. Holder has timely filed U.S. federal income tax returns with respect to such losses; or</w:t>
      </w:r>
    </w:p>
    <w:p>
      <w:pPr>
        <w:spacing w:after="0" w:line="80" w:lineRule="exact"/>
        <w:rPr>
          <w:rFonts w:ascii="Times New Roman" w:cs="Times New Roman" w:eastAsia="Times New Roman" w:hAnsi="Times New Roman"/>
          <w:sz w:val="18"/>
          <w:szCs w:val="18"/>
          <w:color w:val="auto"/>
        </w:rPr>
      </w:pPr>
    </w:p>
    <w:p>
      <w:pPr>
        <w:ind w:left="1000" w:right="359" w:hanging="348"/>
        <w:spacing w:after="0" w:line="254"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(“USRPHC”) for U.S. federal income tax purposes at any time within the shorter of the five-year period ending on the date of such sale, exchange, or other taxable disposition or the period that such Non-U.S. Holder held our common stock and either (a) our common stock was not treated as regularly traded on an established securities market at any time during the calendar year in which the sale, exchange, or other taxable disposition occurs, or (b) such Non-U.S. Holder owns or owned (actually or constructively) more than 5% of our common stock at any time during the shorter of the two periods mentioned above. We believe we are not, have not been and do not anticipate becoming a USRPHC for U.S. federal income tax purposes.</w:t>
      </w:r>
    </w:p>
    <w:p>
      <w:pPr>
        <w:spacing w:after="0" w:line="84"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tax treaties that may provide for different rules.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Payments of dividends on our common stock and the payment of the proceeds from the sale of our common stock effected at a U.S. office of a broker generally will not be subject to backup withholding and the payment of proceeds from the sale of our common stock effected at a U.S. office of a broker will generally not be subject to information reporting, provided the applicable withholding agent does not have actual knowledge or reason to know the Non-U.S. Holder is a United States person and the Non-U.S. Holder either certifies its non-U.S. status, such as by furnishing a valid IRS Form W-8BEN or W-8BEN-E or other documentation upon which it may rely to treat the payments as made to a non-U.S. person in accordance with Treasury Regulations or otherwise establishes an exemption.</w:t>
      </w:r>
    </w:p>
    <w:p>
      <w:pPr>
        <w:spacing w:after="0" w:line="84" w:lineRule="exact"/>
        <w:rPr>
          <w:sz w:val="20"/>
          <w:szCs w:val="20"/>
          <w:color w:val="auto"/>
        </w:rPr>
      </w:pPr>
    </w:p>
    <w:p>
      <w:pPr>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However, we are required to file information returns with the IRS in connection with any distribution on our common stock paid to the Non-U.S. Holder, regardless of whether any tax was actually withheld. Copies of information returns that are filed with the IRS may also be made available under the provisions of an applicable treaty or agreement to the tax authorities of the country in which the Non-U.S. Holder resides or is established.</w:t>
      </w:r>
    </w:p>
    <w:p>
      <w:pPr>
        <w:spacing w:after="0" w:line="72"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Payment of the proceeds from the sale of our common stock effected at a foreign office of a broker generally will not be subject to information reporting or backup withholding. However, a sale of our common stock by a Non-U.S. Holder that is effected at a foreign office of a broker will be subject to information reporting and backup withholding if (i) the proceeds are transferred to an account maintained by the Non-U.S. Holder in the United States,</w:t>
      </w:r>
    </w:p>
    <w:p>
      <w:pPr>
        <w:spacing w:after="0" w:line="3" w:lineRule="exact"/>
        <w:rPr>
          <w:sz w:val="20"/>
          <w:szCs w:val="20"/>
          <w:color w:val="auto"/>
        </w:rPr>
      </w:pPr>
    </w:p>
    <w:p>
      <w:pPr>
        <w:ind w:left="560" w:hanging="268"/>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proceeds or the confirmation of the sale is mailed to the Non-U.S. Holder at a U.S. address or</w:t>
      </w:r>
    </w:p>
    <w:p>
      <w:pPr>
        <w:spacing w:after="0" w:line="9" w:lineRule="exact"/>
        <w:rPr>
          <w:rFonts w:ascii="Times New Roman" w:cs="Times New Roman" w:eastAsia="Times New Roman" w:hAnsi="Times New Roman"/>
          <w:sz w:val="18"/>
          <w:szCs w:val="18"/>
          <w:color w:val="auto"/>
        </w:rPr>
      </w:pPr>
    </w:p>
    <w:p>
      <w:pPr>
        <w:ind w:left="300" w:right="419" w:hanging="8"/>
        <w:spacing w:after="0" w:line="253" w:lineRule="auto"/>
        <w:tabs>
          <w:tab w:leader="none" w:pos="6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has some other specified connection with the United States as provided in the Treasury Regulations, unless, in each case, the broker does not have actual knowledge or reason to know that the holder is a United States person and the documentation requirements described above are met or the Non-U.S. Holder otherwise establishes an exemption.</w:t>
      </w:r>
    </w:p>
    <w:p>
      <w:pPr>
        <w:spacing w:after="0" w:line="81"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In addition, a sale of our common stock will be subject to information reporting if it is effected at a foreign office of a broker that is (i) a United States person, (ii) a “controlled foreign corporation” for U.S. federal income tax purposes, (iii) a foreign person 50% or more of whose gross income is effectively connected with the conduct of a U.S. trade or business for a specified three-year period or (iv) a foreign partnership, if at any time during its tax year</w:t>
      </w:r>
    </w:p>
    <w:p>
      <w:pPr>
        <w:spacing w:after="0" w:line="3" w:lineRule="exact"/>
        <w:rPr>
          <w:sz w:val="20"/>
          <w:szCs w:val="20"/>
          <w:color w:val="auto"/>
        </w:rPr>
      </w:pPr>
    </w:p>
    <w:p>
      <w:pPr>
        <w:ind w:left="300" w:right="359" w:hanging="8"/>
        <w:spacing w:after="0" w:line="252" w:lineRule="auto"/>
        <w:tabs>
          <w:tab w:leader="none" w:pos="5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its partners are “U.S. persons,” as defined in the Treasury Regulations, who in the aggregate hold more than 50% of the income or capital interest in the partnership or (b) such foreign partnership is engaged in the conduct of a trade or business in the United States, in each case unless the broker does not have actual knowledge or reason to know that the holder is a United States person and the documentation requirements described above are met or an exemption is otherwise established. Backup withholding will apply if the sale is subject to information reporting and the broker has actual knowledge that the holder is a United States person.</w:t>
      </w:r>
    </w:p>
    <w:p>
      <w:pPr>
        <w:spacing w:after="0" w:line="8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 Moreover, certain penalties may be imposed by the IRS on a Non-U.S. Holder who is required to furnish information but does not do so in the proper manner. Non-U.S. Holders should consult their tax advisors regarding the application of backup withholding in their particular circumstances and the availability of and procedure for obtaining an exemption from backup withholding under current Treasury Regulations.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 (“FATCA”)</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Certain rules may require withholding at a rate of 30% on dividends in respect of our common stock (but not on payments of gross proceeds from the sale, exchange, or other disposition of our common stock) held by or through certain foreign financial institutions (including investment funds), unless such institution (i) enters into, and complies with, an agreement with the Treasury Department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or (ii) complies with an intergovernmental agreement between the United States and an applicable foreign country to report such information to its local tax authority, which will exchange such information with the U.S. authorities. An intergovernmental agreement between the United States and an applicable foreign country may modify these requirements.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exemptions will be subject to</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Treasury Department.</w:t>
      </w:r>
    </w:p>
    <w:p>
      <w:pPr>
        <w:spacing w:after="0" w:line="68"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Withholding under FATCA generally applies to payments of dividends on our shares and to payments of gross proceeds from a sale or other disposition of our shares. Withholding agents may, however, rely on proposed U.S. Treasury Regulations that would no longer require FATCA withholding on payments of gross proceeds. A withholding agent such as a broker, and not the Bank, will determine whether or not to implement gross proceeds FATCA withholding.</w:t>
      </w:r>
    </w:p>
    <w:p>
      <w:pPr>
        <w:spacing w:after="0" w:line="75"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If a dividend payment is subject to withholding both under FATCA and the withholding tax rules discussed above in the section entitled “Distributions”, the withholding under FATCA may be credited against, and therefore reduce, such other withholding tax. Holders of shares should consult their own tax advisors regarding these requirements and whether they may be relevant to their ownership and disposition of the shares.</w:t>
      </w:r>
    </w:p>
    <w:p>
      <w:pPr>
        <w:spacing w:after="0" w:line="72"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Under certain circumstances, a Non-U.S. Holder will be eligible for refunds or credits of withholding taxes imposed under FATCA by filing a United States federal income tax return. Prospective investors should consult their tax advisors regarding the effect of FATCA on their ownership and disposition of our shares.</w:t>
      </w:r>
    </w:p>
    <w:p>
      <w:pPr>
        <w:spacing w:after="0" w:line="68"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possible implications of FATCA tax on an investment in our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21" w:lineRule="exact"/>
        <w:rPr>
          <w:sz w:val="20"/>
          <w:szCs w:val="20"/>
          <w:color w:val="auto"/>
        </w:rPr>
      </w:pPr>
    </w:p>
    <w:p>
      <w:pPr>
        <w:ind w:left="1300" w:right="1320" w:firstLine="360"/>
        <w:spacing w:after="0" w:line="255" w:lineRule="auto"/>
        <w:rPr>
          <w:sz w:val="20"/>
          <w:szCs w:val="20"/>
          <w:color w:val="auto"/>
        </w:rPr>
      </w:pPr>
      <w:r>
        <w:rPr>
          <w:rFonts w:ascii="Times New Roman" w:cs="Times New Roman" w:eastAsia="Times New Roman" w:hAnsi="Times New Roman"/>
          <w:sz w:val="18"/>
          <w:szCs w:val="18"/>
          <w:color w:val="auto"/>
        </w:rPr>
        <w:t>We are offering the shares of common stock described in this prospectus supplement through a number of underwriters. J.P. Morgan Securities LLC is acting as book running manager of the offering and as representative of the underwriters (the “representative”).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listed next to its name in the following table:</w:t>
      </w:r>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tcPr>
          <w:p>
            <w:pPr>
              <w:spacing w:after="0"/>
              <w:rPr>
                <w:sz w:val="13"/>
                <w:szCs w:val="13"/>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90"/>
        </w:trPr>
        <w:tc>
          <w:tcPr>
            <w:tcW w:w="69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3"/>
        </w:trPr>
        <w:tc>
          <w:tcPr>
            <w:tcW w:w="69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840" w:type="dxa"/>
            <w:vAlign w:val="bottom"/>
            <w:shd w:val="clear" w:color="auto" w:fill="CCEEFF"/>
          </w:tcPr>
          <w:p>
            <w:pPr>
              <w:spacing w:after="0"/>
              <w:rPr>
                <w:sz w:val="21"/>
                <w:szCs w:val="21"/>
                <w:color w:val="auto"/>
              </w:rPr>
            </w:pPr>
          </w:p>
        </w:tc>
        <w:tc>
          <w:tcPr>
            <w:tcW w:w="6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UniCredit Capital Markets LLC</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300" w:right="1500" w:firstLine="360"/>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68" w:lineRule="exact"/>
        <w:rPr>
          <w:sz w:val="20"/>
          <w:szCs w:val="20"/>
          <w:color w:val="auto"/>
        </w:rPr>
      </w:pPr>
    </w:p>
    <w:p>
      <w:pPr>
        <w:ind w:left="1300" w:right="1420" w:firstLine="360"/>
        <w:spacing w:after="0" w:line="276" w:lineRule="auto"/>
        <w:rPr>
          <w:sz w:val="20"/>
          <w:szCs w:val="20"/>
          <w:color w:val="auto"/>
        </w:rPr>
      </w:pPr>
      <w:r>
        <w:rPr>
          <w:rFonts w:ascii="Times New Roman" w:cs="Times New Roman" w:eastAsia="Times New Roman" w:hAnsi="Times New Roman"/>
          <w:sz w:val="17"/>
          <w:szCs w:val="17"/>
          <w:color w:val="auto"/>
        </w:rPr>
        <w:t>The underwriters propose to offer the common shares directly to the public at the initial public offering price set forth on the cover page of this prospectus supplement and to certain dealers at that price less a concession not in</w:t>
      </w:r>
    </w:p>
    <w:p>
      <w:pPr>
        <w:spacing w:after="0" w:line="1" w:lineRule="exact"/>
        <w:rPr>
          <w:sz w:val="20"/>
          <w:szCs w:val="20"/>
          <w:color w:val="auto"/>
        </w:rPr>
      </w:pPr>
    </w:p>
    <w:p>
      <w:pPr>
        <w:ind w:left="1300" w:right="1420"/>
        <w:spacing w:after="0" w:line="250" w:lineRule="auto"/>
        <w:rPr>
          <w:sz w:val="20"/>
          <w:szCs w:val="20"/>
          <w:color w:val="auto"/>
        </w:rPr>
      </w:pPr>
      <w:r>
        <w:rPr>
          <w:rFonts w:ascii="Times New Roman" w:cs="Times New Roman" w:eastAsia="Times New Roman" w:hAnsi="Times New Roman"/>
          <w:sz w:val="18"/>
          <w:szCs w:val="18"/>
          <w:color w:val="auto"/>
        </w:rPr>
        <w:t>excess of $      per share. Any such dealers may resell shares to certain other brokers or dealers at a discount of up to $      per share from the initial public offering price. After the initial offering of the shares to the public, if</w:t>
      </w:r>
    </w:p>
    <w:p>
      <w:pPr>
        <w:spacing w:after="0" w:line="1" w:lineRule="exact"/>
        <w:rPr>
          <w:sz w:val="20"/>
          <w:szCs w:val="20"/>
          <w:color w:val="auto"/>
        </w:rPr>
      </w:pPr>
    </w:p>
    <w:p>
      <w:pPr>
        <w:ind w:left="1300" w:right="1520"/>
        <w:spacing w:after="0" w:line="255" w:lineRule="auto"/>
        <w:rPr>
          <w:sz w:val="20"/>
          <w:szCs w:val="20"/>
          <w:color w:val="auto"/>
        </w:rPr>
      </w:pPr>
      <w:r>
        <w:rPr>
          <w:rFonts w:ascii="Times New Roman" w:cs="Times New Roman" w:eastAsia="Times New Roman" w:hAnsi="Times New Roman"/>
          <w:sz w:val="18"/>
          <w:szCs w:val="18"/>
          <w:color w:val="auto"/>
        </w:rPr>
        <w:t>all of the shares are not sold at the initial public offering price, the underwriters may change the offering price and the other selling terms. Sales of any shares made outside of the United States may be made by affiliates of the underwriters.</w:t>
      </w:r>
    </w:p>
    <w:p>
      <w:pPr>
        <w:spacing w:after="0" w:line="78" w:lineRule="exact"/>
        <w:rPr>
          <w:sz w:val="20"/>
          <w:szCs w:val="20"/>
          <w:color w:val="auto"/>
        </w:rPr>
      </w:pPr>
    </w:p>
    <w:p>
      <w:pPr>
        <w:ind w:left="1300" w:right="1380" w:firstLine="360"/>
        <w:spacing w:after="0" w:line="255" w:lineRule="auto"/>
        <w:rPr>
          <w:sz w:val="20"/>
          <w:szCs w:val="20"/>
          <w:color w:val="auto"/>
        </w:rPr>
      </w:pPr>
      <w:r>
        <w:rPr>
          <w:rFonts w:ascii="Times New Roman" w:cs="Times New Roman" w:eastAsia="Times New Roman" w:hAnsi="Times New Roman"/>
          <w:sz w:val="18"/>
          <w:szCs w:val="18"/>
          <w:color w:val="auto"/>
        </w:rPr>
        <w:t>The underwriters have an option to purchase up to         additional shares of common stock from us to cover sales of shares by the underwriters which exceed the number of shares specified in the table above.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81" w:lineRule="exact"/>
        <w:rPr>
          <w:sz w:val="20"/>
          <w:szCs w:val="20"/>
          <w:color w:val="auto"/>
        </w:rPr>
      </w:pPr>
    </w:p>
    <w:p>
      <w:pPr>
        <w:ind w:left="1300" w:right="1400" w:firstLine="360"/>
        <w:spacing w:after="0" w:line="261"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us per share. The underwriting fee is $      per share of common stock. The following table shows the per share and total underwriting discounts and commissions to be paid to the underwriters assuming both no exercise and full exercise of the underwriters’ option to purchase additional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32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With full</w:t>
            </w:r>
          </w:p>
        </w:tc>
        <w:tc>
          <w:tcPr>
            <w:tcW w:w="1300" w:type="dxa"/>
            <w:vAlign w:val="bottom"/>
          </w:tcPr>
          <w:p>
            <w:pPr>
              <w:spacing w:after="0"/>
              <w:rPr>
                <w:sz w:val="13"/>
                <w:szCs w:val="13"/>
                <w:color w:val="auto"/>
              </w:rPr>
            </w:pPr>
          </w:p>
        </w:tc>
      </w:tr>
      <w:tr>
        <w:trPr>
          <w:trHeight w:val="148"/>
        </w:trPr>
        <w:tc>
          <w:tcPr>
            <w:tcW w:w="1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3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1300" w:type="dxa"/>
            <w:vAlign w:val="bottom"/>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w:t>
            </w:r>
          </w:p>
        </w:tc>
        <w:tc>
          <w:tcPr>
            <w:tcW w:w="3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300" w:type="dxa"/>
            <w:vAlign w:val="bottom"/>
          </w:tcPr>
          <w:p>
            <w:pPr>
              <w:spacing w:after="0"/>
              <w:rPr>
                <w:sz w:val="12"/>
                <w:szCs w:val="12"/>
                <w:color w:val="auto"/>
              </w:rPr>
            </w:pPr>
          </w:p>
        </w:tc>
      </w:tr>
      <w:tr>
        <w:trPr>
          <w:trHeight w:val="148"/>
        </w:trPr>
        <w:tc>
          <w:tcPr>
            <w:tcW w:w="1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3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300" w:type="dxa"/>
            <w:vAlign w:val="bottom"/>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3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300" w:type="dxa"/>
            <w:vAlign w:val="bottom"/>
          </w:tcPr>
          <w:p>
            <w:pPr>
              <w:spacing w:after="0"/>
              <w:rPr>
                <w:sz w:val="12"/>
                <w:szCs w:val="12"/>
                <w:color w:val="auto"/>
              </w:rPr>
            </w:pPr>
          </w:p>
        </w:tc>
      </w:tr>
      <w:tr>
        <w:trPr>
          <w:trHeight w:val="190"/>
        </w:trPr>
        <w:tc>
          <w:tcPr>
            <w:tcW w:w="1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2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4440" w:type="dxa"/>
            <w:vAlign w:val="bottom"/>
            <w:shd w:val="clear" w:color="auto" w:fill="CCEEFF"/>
          </w:tcPr>
          <w:p>
            <w:pPr>
              <w:spacing w:after="0"/>
              <w:rPr>
                <w:sz w:val="21"/>
                <w:szCs w:val="21"/>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40" w:type="dxa"/>
            <w:vAlign w:val="bottom"/>
          </w:tcPr>
          <w:p>
            <w:pPr>
              <w:spacing w:after="0"/>
              <w:rPr>
                <w:sz w:val="20"/>
                <w:szCs w:val="20"/>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spacing w:after="0"/>
              <w:rPr>
                <w:sz w:val="20"/>
                <w:szCs w:val="20"/>
                <w:color w:val="auto"/>
              </w:rPr>
            </w:pPr>
          </w:p>
        </w:tc>
      </w:tr>
      <w:tr>
        <w:trPr>
          <w:trHeight w:val="481"/>
        </w:trPr>
        <w:tc>
          <w:tcPr>
            <w:tcW w:w="1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7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S-16</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      . We have agreed to reimburse the underwriters for expenses of up to $30,000 relating to the clearance of this offering with FINRA.</w:t>
      </w:r>
    </w:p>
    <w:p>
      <w:pPr>
        <w:spacing w:after="0" w:line="72"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75"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have agreed that we will not, during the period commencing on the date of this prospectus supplement and ending 60 days after the date of this prospectus supplement (the “company lock up restricted period”):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of 1933, as amended (the “Securities Act”), relating to any shares of common stock or any shares of the Class B common stock (together with the common stock, the “common equity”), or any securities convertible into or exercisable or exchangeable for common equity, or publicly disclose the intention to undertake any of the foregoing, or (ii) enter into any swap or other agreement that transfers, in whole or in part, any of the economic consequences of ownership of the common equity or any such other securities, whether any such transaction described in clause (i) or (ii) above is to be settled by delivery of common equity or such other securities, in cash or otherwise, without the prior written consent of the representative, other than (A) the shares to be sold in this offering; (B) any shares of our common stock issued upon the exercise of options granted under existing employee stock plans described in this prospectus supplement and the accompanying prospectus, and the grants of options, restricted stock, restricted stock units and phantom stock units under such existing employee stock plans described in the this prospectus supplement and the accompanying prospectus; (C) the issuance by us of any shares of common stock upon the exercise of an option or warrant or the conversion of a security outstanding on the date of this prospectus supplement, including any of the 2030 Notes; (D) the filing of a registration statement with the SEC on Form S-8 in connection with our employee benefit plans and arrangements; and (E) the issuance of securities in full or partial consideration for any future acquisitions or strategic investments in an aggregate amount not to exceed 5.0% of our outstanding shares of common stock as of the date of this prospectus supplement, provided that the recipients of such shares shall enter into “lock-up” agreements.</w:t>
      </w:r>
    </w:p>
    <w:p>
      <w:pPr>
        <w:spacing w:after="0" w:line="80"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Each of our executive officers and directors has agreed that, without the prior written consent of the representative, such person will not, and will not publicly disclose an intention to, during the period commencing on the date of this offering and ending 60 days after the date of this prospectus supplement (the “individual lock up restricted period”): (1) offer, pledge, sell, contract to sell, sell any option or contract to purchase, purchase any option or contract to sell, grant any option, right or warrant to purchase, lend, or otherwise transfer or dispose of, directly or indirectly, any shares of common stock or Class B common stock beneficially owned by such person or any other securities convertible into or exercisable or exchangeable for common stock or (2) enter into any hedging, swap or other arrangement that transfers to another, in whole or in part, any of the economic consequences of ownership of the common stock or Class B common stock, whether any such transaction described in clause (1) or (2) above is to be settled by delivery of common stock or such other securities, in cash or otherwise.</w:t>
      </w:r>
    </w:p>
    <w:p>
      <w:pPr>
        <w:spacing w:after="0" w:line="86"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and contained in the lock-up agreements between the underwriters and our directors and officers do not apply, subject in certain cases to various conditions, to certain transactions, including (i) transfers of lock-up securities as a bona fide gift or gifts, (ii) dispositions to any trust for the direct or indirect benefit of the lock-up party and/or a member of the immediate family of the lock-up party; (iii) transfers upon death by will or intestacy to a member of the immediate family of the lock-up party;</w:t>
      </w:r>
    </w:p>
    <w:p>
      <w:pPr>
        <w:spacing w:after="0" w:line="3" w:lineRule="exact"/>
        <w:rPr>
          <w:sz w:val="20"/>
          <w:szCs w:val="20"/>
          <w:color w:val="auto"/>
        </w:rPr>
      </w:pPr>
    </w:p>
    <w:p>
      <w:pPr>
        <w:ind w:left="300" w:right="319" w:hanging="8"/>
        <w:spacing w:after="0" w:line="250" w:lineRule="auto"/>
        <w:tabs>
          <w:tab w:leader="none" w:pos="6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any contract, instruction or plan (a “10b5-1 Plan”) that satisfies all of the requirements of Rule 10b5-1(c)(1)(i)(B) of the Exchange Act, provided that no sales of the lock-up party’s lock-up securities shall be made pursuant to such 10b5-1 Plan during the individual lock-up restricted period; (v) sales made pursuant to a</w:t>
      </w:r>
    </w:p>
    <w:p>
      <w:pPr>
        <w:spacing w:after="0" w:line="1" w:lineRule="exact"/>
        <w:rPr>
          <w:rFonts w:ascii="Times New Roman" w:cs="Times New Roman" w:eastAsia="Times New Roman" w:hAnsi="Times New Roman"/>
          <w:sz w:val="18"/>
          <w:szCs w:val="18"/>
          <w:color w:val="auto"/>
        </w:rPr>
      </w:pPr>
    </w:p>
    <w:p>
      <w:pPr>
        <w:ind w:left="300" w:right="33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10b5-1 Plan, provided that such 10b5-1 Plan was established prior to the date of such lock-up agreement, disclosed to the representative in writing and that any required report under the Exchange Act filed in connection with such sale shall indicate that the sale was pursuant to such 10b5-1 Plan; (vi) dispositions from any grantor retained annuity trust established for the direct benefit of the lock-up party and/or a member of the immediate family of the lock-up party pursuant to the terms of such trust; (vii) distributions to any partnership, corporation or limited liability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controlled by the lock-up party or by a member of the immediate family of the lock-up party; (viii)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exercise of stock options or vesting of restricted stock awards pursuant to our stock incentive plans described in this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prospectus supplement; provided that the underlying shares of common stock shall continue to be subject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restrictions set forth in the lock-up agreement; and (ix) transfers to us, or the withholding of lock-up securities by us,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connection with a vesting event of our securities granted pursuant to a stock incentive plan or stock purchase plan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described in this prospectus supplement, to cover tax withholding obligations or the payment of taxes due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connection with the vesting event, provided that if the lock-up party is required to file a report under Section 16(a)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the Exchange Act during the individual lock-up restricted period, the lock-up party shall clearly indicate in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footnotes thereto that the purpose of such transfer is to cover such tax withholding obligations or the payment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taxes due in connection with the vesting event, and provided, further that no other public announcement shall be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made voluntarily in connection with such transfer;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gift, disposition, transfer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distribution pursuant to clauses (i), (ii), (iii), (vi) or (vii), (a) such transfer shall not involve a disposition for value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(b) each donee, transferee or distributee shall agree to be bound in writing for the benefit of the representative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by the same restrictions with respect to such lock-up securities as the lock-up party is bound;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case of clauses (i), (ii), (iv), (v), (vi) and (vii), no party, including the lock-up party, shall (a) be required to, nor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shall it voluntarily, file a report under the Exchange Act in connection with such disposition, transfer or other action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so permitted (other than (A) a filing on Form 5 made after the expiration of the individual lock up restricted period,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provided, however, if the individual lock up restricted period has not terminated by the 45th day after our fiscal year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end, then a filing on Form 5 shall be permitted on such 45th day, or if such 45th day is a weekend or legal holiday,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then on the next business day, (B) a filing in the case of a transfer pursuant to clause (i) required pursuant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Section 16(a) of the Exchange Act, provided, however, any such filing shall state that such transfer is a bona fide gift</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that such shares remain subject to the restrictions set forth herein and (C) a public announcement or filing under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Exchange Act, if any, to the extent required by or on behalf of the lock-up party or us regarding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establishment of a 10b5-1 Plan; provided such announcement or filing shall include a statement to the effect that no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transfer of lock-up securities may be made under such plan during the individual lock up restricted period) or</w:t>
      </w:r>
    </w:p>
    <w:p>
      <w:pPr>
        <w:spacing w:after="0" w:line="9" w:lineRule="exact"/>
        <w:rPr>
          <w:sz w:val="20"/>
          <w:szCs w:val="20"/>
          <w:color w:val="auto"/>
        </w:rPr>
      </w:pPr>
    </w:p>
    <w:p>
      <w:pPr>
        <w:ind w:left="300" w:right="299" w:hanging="8"/>
        <w:spacing w:after="0" w:line="260" w:lineRule="auto"/>
        <w:tabs>
          <w:tab w:leader="none" w:pos="5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voluntarily effect any public filing, report or announcement of such disposition, transfer or other action so permitted.</w:t>
      </w:r>
    </w:p>
    <w:p>
      <w:pPr>
        <w:spacing w:after="0" w:line="73"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Subject to certain limitations, we have agreed to indemnify the underwriters against certain liabilities, including liabilities under the Securities Act.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listed/quoted on NYSE under the symbol “VSH”.</w:t>
      </w:r>
    </w:p>
    <w:p>
      <w:pPr>
        <w:spacing w:after="0" w:line="117"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8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7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86"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81" w:lineRule="exact"/>
        <w:rPr>
          <w:sz w:val="20"/>
          <w:szCs w:val="20"/>
          <w:color w:val="auto"/>
        </w:rPr>
      </w:pPr>
    </w:p>
    <w:p>
      <w:pPr>
        <w:jc w:val="both"/>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Certain of the underwriters or their affiliates are lenders and/or agents under our Credit Facility. Accordingly, such underwriters and/or their respective affiliates may receive a portion of the net proceeds from this offering.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Because affiliates of J.P. Morgan Securities LLC, TD Securities (USA) LLC, MUFG Securities Americas Inc., Santander US Capital Markets and UniCredit Capital Markets LLC are lenders and/or agents under the Credit Facility, if we determine to repay all or a portion of our indebtedness under this facility with the proceeds of this offering, then these affiliates may receive 5% or more of the net proceeds of this offering. Therefore, J.P. Morgan Securities LLC, TD Securities (USA) LLC, MUFG Securities Americas Inc., Santander US Capital Markets and UniCredit Capital Markets LLC may be deemed to have a “conflict of interest” under FINRA Rule 5121. Accordingly, this offering is being made in compliance with the requirements of Rule 5121. The appointment of a “qualified independent underwriter” is not required in connection with this offering as a “bona fide public market,” as defined in Rule 5121, exists for our common stock. In accordance with Rule 5121, neither J.P. Morgan Securities LLC, TD Securities (USA) LLC, MUFG Securities Americas Inc., Santander US Capital Markets nor UniCredit Capital Markets LLC will confirm any sales to any account over which they exercise discretionary authority without the specific written approval of the transaction from the account holder.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an offer to the public of any securities may not be made in that Relevant Member State prior to the publication of a prospectus in relation to the securities which has been approved by the competent authority in that Relevant Member State or, where appropriate, approved in another Relevant Member State and notified to the competent authority in that Relevant Member State, all in accordance with the Prospectus Regulation, except that an offer to the public in that Relevant Member State of any securities may be made at any time under the following exemptions under the Prospectus Regulation:</w:t>
      </w:r>
    </w:p>
    <w:p>
      <w:pPr>
        <w:spacing w:after="0" w:line="81"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representative for any such offer;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provided that no such offer of securities shall result in a requirement for the company or any of the underwriters to publish a prospectus pursuant to Article 3 of the Prospectus Regulation or a supplemental prospectus pursuant to Article 23 of the Prospectus Regulation and each person who initially acquires any securities or to whom any offer is made will be deemed to have represented, warranted and agreed to and with each of the underwriters and the company that it is a qualified investor within the meaning of Article 2 of the Prospectus Regulation.</w:t>
      </w:r>
    </w:p>
    <w:p>
      <w:pPr>
        <w:spacing w:after="0" w:line="60"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In the case of any securities being offered to a financial intermediary as that term is used in Article 1(4) of the Prospectus Regulation, each financial intermediary will also be deemed to have represented, warranted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underwriters has been obtained to each such proposed offer or resale.</w:t>
      </w:r>
    </w:p>
    <w:p>
      <w:pPr>
        <w:spacing w:after="0" w:line="81" w:lineRule="exact"/>
        <w:rPr>
          <w:sz w:val="20"/>
          <w:szCs w:val="20"/>
          <w:color w:val="auto"/>
        </w:rPr>
      </w:pPr>
    </w:p>
    <w:p>
      <w:pPr>
        <w:jc w:val="both"/>
        <w:ind w:left="300" w:right="339" w:firstLine="360"/>
        <w:spacing w:after="0" w:line="281"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shares of common stock in any Relevant Member State means the communication in any form and by any means of sufficient information on the terms of the offer and any shares of common stock to be offered so as to enable an investor to decide to purchase or subscribe for any shares, and the expression “Prospectus Regulation” means Regulation (EU) 2017/1129.</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the offering of the shares of common stock falls within one of the exceptions specified in Part 1 of Schedule 1 of the Public Offers and Admissions to Trading Regulations 2024 (the “POATRs”) and, accordingly, there will not be a prospectus prepared or published for the purposes of the POATRs. This prospectus does not constitute a prospectus for the purposes of the POATRs.</w:t>
      </w:r>
    </w:p>
    <w:p>
      <w:pPr>
        <w:spacing w:after="0" w:line="72"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Each underwriter has represented and agreed that it has not made and will not make an offer of shares of common stock which are the subject of this prospectus to the public in the United Kingdom, except that it may make an offer:</w:t>
      </w:r>
    </w:p>
    <w:p>
      <w:pPr>
        <w:spacing w:after="0" w:line="68" w:lineRule="exact"/>
        <w:rPr>
          <w:sz w:val="20"/>
          <w:szCs w:val="20"/>
          <w:color w:val="auto"/>
        </w:rPr>
      </w:pPr>
    </w:p>
    <w:p>
      <w:pPr>
        <w:ind w:left="1000" w:right="35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any legal entity which is a qualified investor as defined in paragraph 15 of Schedule 1 to the POATRs;</w:t>
      </w:r>
    </w:p>
    <w:p>
      <w:pPr>
        <w:spacing w:after="0" w:line="53"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fewer than 150 persons (other than qualified investors as defined in paragraph 15 of Schedule 1 to the POATRs) in the United Kingdom subject to obtaining the prior consent of the relevant underwriters nominated by us for any such offer;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any other circumstances falling within Part 1 of Schedule 1 to the POATRs.</w:t>
      </w:r>
    </w:p>
    <w:p>
      <w:pPr>
        <w:spacing w:after="0" w:line="117"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securities” to the public in relation to any securities in the United Kingdom means the communication in any form and by any means of sufficient information on the terms of the offer and the securities to be offered so as to enable an investor to decide to purchase or subscribe for the securities.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shares of common stock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this prospectus being a “prospectus” as defined in the Companies (Winding Up and Miscellaneous Provisions) Ordinance (Cap. 32 of the Laws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securities which are or are intended to be disposed of only to persons outside Hong Kong or only to “professional investors” as defined in the SFO and any rules made thereunder.</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300" w:right="399" w:firstLine="360"/>
        <w:spacing w:after="0" w:line="312" w:lineRule="auto"/>
        <w:rPr>
          <w:sz w:val="20"/>
          <w:szCs w:val="20"/>
          <w:color w:val="auto"/>
        </w:rPr>
      </w:pPr>
      <w:r>
        <w:rPr>
          <w:rFonts w:ascii="Times New Roman" w:cs="Times New Roman" w:eastAsia="Times New Roman" w:hAnsi="Times New Roman"/>
          <w:sz w:val="17"/>
          <w:szCs w:val="17"/>
          <w:color w:val="auto"/>
        </w:rPr>
        <w:t>This prospectus supplement has not been registered as a prospectus with the Monetary Authority of Singapore. Accordingly, no shares of common stock (1) have been or will be offered or sold and no shares of common stock</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have been or will be made the subject of an invitation for subscription or purchase, and no prospectus or any other document or material in connection with the offer or sale, or invitation for subscription or purchase, of the shares of common stock, has been or will be circulated or distributed,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shares of common stock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w:t>
      </w:r>
    </w:p>
    <w:p>
      <w:pPr>
        <w:spacing w:after="0" w:line="8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us or the shares of common stock has been or will be filed with or approved by any Swiss regulatory authority. In particular, this prospectus will not be filed with, and the offer of securities will not be supervised by, FINMA, and the offer of securities has not been and will not be authorized under CISA. The investor protection afforded to acquirers of interests in collective investment schemes under the CISA does not extend to acquirers of the shares of common stock.</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79"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w:t>
      </w:r>
    </w:p>
    <w:p>
      <w:pPr>
        <w:spacing w:after="0" w:line="72" w:lineRule="exact"/>
        <w:rPr>
          <w:sz w:val="20"/>
          <w:szCs w:val="20"/>
          <w:color w:val="auto"/>
        </w:rPr>
      </w:pPr>
    </w:p>
    <w:p>
      <w:pPr>
        <w:jc w:val="both"/>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The purchaser should refer to any applicable provisions of the securities legislation of the purchaser’s province or territory for particulars of these rights or consult with a legal advisor.</w:t>
      </w:r>
    </w:p>
    <w:p>
      <w:pPr>
        <w:spacing w:after="0" w:line="54"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300" w:right="419" w:firstLine="360"/>
        <w:spacing w:after="0" w:line="289" w:lineRule="auto"/>
        <w:rPr>
          <w:sz w:val="20"/>
          <w:szCs w:val="20"/>
          <w:color w:val="auto"/>
        </w:rPr>
      </w:pPr>
      <w:r>
        <w:rPr>
          <w:rFonts w:ascii="Times New Roman" w:cs="Times New Roman" w:eastAsia="Times New Roman" w:hAnsi="Times New Roman"/>
          <w:sz w:val="17"/>
          <w:szCs w:val="17"/>
          <w:color w:val="auto"/>
        </w:rPr>
        <w:t>No placement document, prospectus, product disclosure statement, or other disclosure document has been lodged with the Australian Securities and Investments Commission (the “ASIC”) in relation to this offering. This prospectus supplement does not constitute a prospectus, product disclosure statement, or other disclosure document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under the Corporations Act 2001 (the “Corporations Act”), and does not purport to include the information required for a prospectus, product disclosure statement, or other disclosure document under the Corporations Act. Any offer in Australia of our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common stock without disclosure to investors under Chapter 6D of the Corporations Act.</w:t>
      </w:r>
    </w:p>
    <w:p>
      <w:pPr>
        <w:spacing w:after="0" w:line="81"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The shares of common stock applied for by Exempt Investors in Australia must not be offered for sale in Australia in the period of twelve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79"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Brazil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offer and sale of the shares of common stock have not been and will not be registered with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Brazilian Securities Commission (Comissão de Valores Mobiliários, or “CVM”) and, therefore, will not be carried</w:t>
      </w:r>
    </w:p>
    <w:p>
      <w:pPr>
        <w:spacing w:after="0" w:line="9" w:lineRule="exact"/>
        <w:rPr>
          <w:sz w:val="20"/>
          <w:szCs w:val="20"/>
          <w:color w:val="auto"/>
        </w:rPr>
      </w:pPr>
    </w:p>
    <w:p>
      <w:pPr>
        <w:ind w:left="300" w:right="619"/>
        <w:spacing w:after="0" w:line="252" w:lineRule="auto"/>
        <w:rPr>
          <w:sz w:val="20"/>
          <w:szCs w:val="20"/>
          <w:color w:val="auto"/>
        </w:rPr>
      </w:pPr>
      <w:r>
        <w:rPr>
          <w:rFonts w:ascii="Times New Roman" w:cs="Times New Roman" w:eastAsia="Times New Roman" w:hAnsi="Times New Roman"/>
          <w:sz w:val="18"/>
          <w:szCs w:val="18"/>
          <w:color w:val="auto"/>
        </w:rPr>
        <w:t>out by any means that would constitute a public offering in Brazil under CVM Resolution No 160, dated 13 July 2022, as amended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People’s Republic of China</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This prospectus supplement will not be circulated or distributed in the PRC and the shares of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 (“DIFC”)</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of common stock to which this prospectus supplement relates may be illiquid and/or subject to restrictions on their resale. Prospective purchasers of the securities should conduct their own due diligence on the securities. If you do not understand the contents of this prospectus, you should consult an authorized financial advisor.</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Israel</w:t>
      </w:r>
    </w:p>
    <w:p>
      <w:pPr>
        <w:spacing w:after="0" w:line="121" w:lineRule="exact"/>
        <w:rPr>
          <w:sz w:val="20"/>
          <w:szCs w:val="20"/>
          <w:color w:val="auto"/>
        </w:rPr>
      </w:pPr>
    </w:p>
    <w:p>
      <w:pPr>
        <w:jc w:val="both"/>
        <w:ind w:left="300" w:right="419" w:firstLine="360"/>
        <w:spacing w:after="0" w:line="289" w:lineRule="auto"/>
        <w:rPr>
          <w:sz w:val="20"/>
          <w:szCs w:val="20"/>
          <w:color w:val="auto"/>
        </w:rPr>
      </w:pPr>
      <w:r>
        <w:rPr>
          <w:rFonts w:ascii="Times New Roman" w:cs="Times New Roman" w:eastAsia="Times New Roman" w:hAnsi="Times New Roman"/>
          <w:sz w:val="17"/>
          <w:szCs w:val="17"/>
          <w:color w:val="auto"/>
        </w:rPr>
        <w:t>The shares of common stock offered by this prospectus supplement have not been approved or disapproved by the Israel Securities Authority (the “ISA”), nor have such securities been registered for sale in Israel. The shares of common stock may not be offered or sold, directly or indirectly, to the public in Israel, absent the publication of a</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89" w:lineRule="auto"/>
        <w:rPr>
          <w:sz w:val="20"/>
          <w:szCs w:val="20"/>
          <w:color w:val="auto"/>
        </w:rPr>
      </w:pPr>
      <w:r>
        <w:rPr>
          <w:rFonts w:ascii="Times New Roman" w:cs="Times New Roman" w:eastAsia="Times New Roman" w:hAnsi="Times New Roman"/>
          <w:sz w:val="17"/>
          <w:szCs w:val="17"/>
          <w:color w:val="auto"/>
        </w:rPr>
        <w:t>prospectus that has been approved by the ISA. The ISA has not issued permits, approvals or licenses in connection with this offering or publishing this prospectus supplement, nor has it authenticated the details included herein, confirmed their reliability or completeness, or rendered an opinion as to the quality of the securities being offered.</w:t>
      </w:r>
    </w:p>
    <w:p>
      <w:pPr>
        <w:spacing w:after="0" w:line="5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does not constitute a prospectus under the Israeli Securities Law, 5728-1968 (the “Israeli Securities Law”), and has not been filed with or approved by the ISA. In Israel, this prospectus supplement is being 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The legality of the common stock offered hereby will be passed upon for us by Troutman Pepper Locke LLP, Philadelphia, Pennsylvania. The underwriters have been represented by Davis Polk &amp; Wardwell LLP, New York, New York.</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supplement and elsewhere in the registration statement. Our financial statements are incorporated by reference in reliance on Ernst &amp; Young LLP’s reports, given on their authority as experts in accounting and auditing.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This prospectus supplement is part of the registration statement on Form S-3 we filed with the SEC under the Securities Act and does not contain all the information set forth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 Because the prospectus supplement may not contain all the information that you may find important, you should review the full text of these documents.</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read our SEC filings, including the registration statement, over the Internet at the SEC’s website at www.sec.gov. We also maintain a website at www.vishay.com, at which you may access these materials free of charge as soon as reasonably practicable after they are electronically filed with, or furnished to, the SEC. Information contained on, or that can be accessed through, our website is not incorporated by reference into this prospectus supplement and does not constitute part of this prospectus supplement.</w:t>
      </w:r>
    </w:p>
    <w:p>
      <w:pPr>
        <w:spacing w:after="0" w:line="79"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In addition, you may request copies of these filings at no cost, by writing or telephoning us at the following address or telephone number: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Office of the Corporate Secretary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Vishay Intertechnology,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 Lancaster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Malvern, Pennsylvania 19355</w:t>
      </w:r>
    </w:p>
    <w:p>
      <w:pPr>
        <w:spacing w:after="0" w:line="9" w:lineRule="exact"/>
        <w:rPr>
          <w:sz w:val="20"/>
          <w:szCs w:val="20"/>
          <w:color w:val="auto"/>
        </w:rPr>
      </w:pPr>
    </w:p>
    <w:p>
      <w:pPr>
        <w:ind w:left="4340" w:right="3959" w:hanging="398"/>
        <w:spacing w:after="0" w:line="555" w:lineRule="auto"/>
        <w:tabs>
          <w:tab w:leader="none" w:pos="438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644-1300 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-50800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 this prospectus supplement. This means that we can disclose important information to you by referring you to another document filed separately with the SEC. The information incorporated by reference is considered to be part of this prospectus supplement, except for any information that is superseded by information that is included directly in this prospectus supplement.</w:t>
      </w:r>
    </w:p>
    <w:p>
      <w:pPr>
        <w:spacing w:after="0" w:line="72"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We are incorporating by reference the filings listed below and any additional documents that we may file with the SEC pursuant to Section 13(a), 13(c), 14 or 15(d) of the Securities Exchange Act of 1934, as amended (the “Exchange Act”), on or after the date hereof and prior to the termination of any offering (other than documents or information deemed to have been furnished and not filed in accordance with SEC rules):</w:t>
      </w:r>
    </w:p>
    <w:p>
      <w:pPr>
        <w:spacing w:after="0" w:line="72" w:lineRule="exact"/>
        <w:rPr>
          <w:sz w:val="20"/>
          <w:szCs w:val="20"/>
          <w:color w:val="auto"/>
        </w:rPr>
      </w:pPr>
    </w:p>
    <w:p>
      <w:pPr>
        <w:ind w:left="1000" w:right="699" w:hanging="348"/>
        <w:spacing w:after="0" w:line="282" w:lineRule="auto"/>
        <w:tabs>
          <w:tab w:leader="none" w:pos="1000" w:val="left"/>
        </w:tabs>
        <w:numPr>
          <w:ilvl w:val="0"/>
          <w:numId w:val="1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2025, filed with the SEC on </w:t>
      </w:r>
      <w:hyperlink r:id="rId54">
        <w:r>
          <w:rPr>
            <w:rFonts w:ascii="Times New Roman" w:cs="Times New Roman" w:eastAsia="Times New Roman" w:hAnsi="Times New Roman"/>
            <w:sz w:val="18"/>
            <w:szCs w:val="18"/>
            <w:u w:val="single" w:color="auto"/>
            <w:color w:val="0000EE"/>
          </w:rPr>
          <w:t>February 13, 2026</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59" w:hanging="348"/>
        <w:spacing w:after="0" w:line="266" w:lineRule="auto"/>
        <w:tabs>
          <w:tab w:leader="none" w:pos="1000" w:val="left"/>
        </w:tabs>
        <w:numPr>
          <w:ilvl w:val="0"/>
          <w:numId w:val="1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portions of our Definitive Proxy Statement on Schedule 14A, filed with the SEC on </w:t>
      </w:r>
      <w:hyperlink r:id="rId55">
        <w:r>
          <w:rPr>
            <w:rFonts w:ascii="Times New Roman" w:cs="Times New Roman" w:eastAsia="Times New Roman" w:hAnsi="Times New Roman"/>
            <w:sz w:val="18"/>
            <w:szCs w:val="18"/>
            <w:u w:val="single" w:color="auto"/>
            <w:color w:val="0000EE"/>
          </w:rPr>
          <w:t>April 8, 2026</w:t>
        </w:r>
      </w:hyperlink>
      <w:r>
        <w:rPr>
          <w:rFonts w:ascii="Times New Roman" w:cs="Times New Roman" w:eastAsia="Times New Roman" w:hAnsi="Times New Roman"/>
          <w:sz w:val="18"/>
          <w:szCs w:val="18"/>
          <w:color w:val="auto"/>
        </w:rPr>
        <w:t xml:space="preserve">, that were incorporated by reference into Part III of our Annual Report on Form 10-K for the fiscal year ended </w:t>
      </w:r>
      <w:hyperlink r:id="rId56">
        <w:r>
          <w:rPr>
            <w:rFonts w:ascii="Times New Roman" w:cs="Times New Roman" w:eastAsia="Times New Roman" w:hAnsi="Times New Roman"/>
            <w:sz w:val="18"/>
            <w:szCs w:val="18"/>
            <w:u w:val="single" w:color="auto"/>
            <w:color w:val="0000EE"/>
          </w:rPr>
          <w:t>December 31, 2025</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EE"/>
        </w:rPr>
      </w:pPr>
    </w:p>
    <w:p>
      <w:pPr>
        <w:ind w:left="1000" w:right="579" w:hanging="348"/>
        <w:spacing w:after="0" w:line="282" w:lineRule="auto"/>
        <w:tabs>
          <w:tab w:leader="none" w:pos="1000" w:val="left"/>
        </w:tabs>
        <w:numPr>
          <w:ilvl w:val="0"/>
          <w:numId w:val="18"/>
        </w:numPr>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auto"/>
          </w:rPr>
          <w:t xml:space="preserve">our Quarterly Report on Form 10-Q for the quarter ended April 4, 2026, filed with the SEC on </w:t>
        </w:r>
        <w:r>
          <w:rPr>
            <w:rFonts w:ascii="Times New Roman" w:cs="Times New Roman" w:eastAsia="Times New Roman" w:hAnsi="Times New Roman"/>
            <w:sz w:val="18"/>
            <w:szCs w:val="18"/>
            <w:u w:val="single" w:color="auto"/>
            <w:color w:val="0000EE"/>
          </w:rPr>
          <w:t>May 13,</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39" w:hanging="348"/>
        <w:spacing w:after="0" w:line="266" w:lineRule="auto"/>
        <w:tabs>
          <w:tab w:leader="none" w:pos="1000" w:val="left"/>
        </w:tabs>
        <w:numPr>
          <w:ilvl w:val="0"/>
          <w:numId w:val="18"/>
        </w:numPr>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25,</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9">
        <w:r>
          <w:rPr>
            <w:rFonts w:ascii="Times New Roman" w:cs="Times New Roman" w:eastAsia="Times New Roman" w:hAnsi="Times New Roman"/>
            <w:sz w:val="18"/>
            <w:szCs w:val="18"/>
            <w:u w:val="single" w:color="auto"/>
            <w:color w:val="0000EE"/>
          </w:rPr>
          <w:t>May 18, 2026</w:t>
        </w:r>
      </w:hyperlink>
      <w:hyperlink r:id="rId58">
        <w:r>
          <w:rPr>
            <w:rFonts w:ascii="Times New Roman" w:cs="Times New Roman" w:eastAsia="Times New Roman" w:hAnsi="Times New Roman"/>
            <w:sz w:val="18"/>
            <w:szCs w:val="18"/>
            <w:color w:val="000000"/>
          </w:rPr>
          <w:t>, in each case only to the extent the information in such report is filed and not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furnished; and</w:t>
      </w:r>
    </w:p>
    <w:p>
      <w:pPr>
        <w:spacing w:after="0" w:line="67" w:lineRule="exact"/>
        <w:rPr>
          <w:rFonts w:ascii="Times New Roman" w:cs="Times New Roman" w:eastAsia="Times New Roman" w:hAnsi="Times New Roman"/>
          <w:sz w:val="18"/>
          <w:szCs w:val="18"/>
          <w:color w:val="0000EE"/>
        </w:rPr>
      </w:pPr>
    </w:p>
    <w:p>
      <w:pPr>
        <w:ind w:left="1000" w:right="41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registered under Section 12 of the Exchange Act of 1934 contained in </w:t>
      </w:r>
      <w:hyperlink r:id="rId60">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Quarterly Report on Form 10-Q for the quarter ended </w:t>
      </w:r>
      <w:hyperlink r:id="rId61">
        <w:r>
          <w:rPr>
            <w:rFonts w:ascii="Times New Roman" w:cs="Times New Roman" w:eastAsia="Times New Roman" w:hAnsi="Times New Roman"/>
            <w:sz w:val="18"/>
            <w:szCs w:val="18"/>
            <w:u w:val="single" w:color="auto"/>
            <w:color w:val="0000EE"/>
          </w:rPr>
          <w:t>October 1, 2022</w:t>
        </w:r>
      </w:hyperlink>
      <w:r>
        <w:rPr>
          <w:rFonts w:ascii="Times New Roman" w:cs="Times New Roman" w:eastAsia="Times New Roman" w:hAnsi="Times New Roman"/>
          <w:sz w:val="18"/>
          <w:szCs w:val="18"/>
          <w:color w:val="auto"/>
        </w:rPr>
        <w:t>, filed with the SEC on November 2, 2022, including any amendment or report filed for the purpose of updating such description.</w:t>
      </w:r>
    </w:p>
    <w:p>
      <w:pPr>
        <w:spacing w:after="0" w:line="72" w:lineRule="exact"/>
        <w:rPr>
          <w:rFonts w:ascii="Times New Roman" w:cs="Times New Roman" w:eastAsia="Times New Roman" w:hAnsi="Times New Roman"/>
          <w:sz w:val="18"/>
          <w:szCs w:val="18"/>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In addition, we also incorporate by reference additional documents that we may file with the SEC under Sections 13(a), 13(c), 14 or 15(d) of the Securities Exchange Act of 1934 after the date of this prospectus supplement and until the termination of this offering. These documents include periodic reports, such as Annual Reports on Form 10-K, Quarterly Reports on Form 10-Q and Current Reports on Form 8-K, as well as proxy statements. Nothing in this prospectus supplement shall be deemed to incorporate information furnished but not filed with the SEC pursuant to Item 2.02 or Item 7.01 (or corresponding information furnished under Item 9.01 or included as an exhibit) of Form 8-K, unless such Form 8-K expressly provides to the contrary.</w:t>
      </w:r>
    </w:p>
    <w:p>
      <w:pPr>
        <w:spacing w:after="0" w:line="81" w:lineRule="exact"/>
        <w:rPr>
          <w:rFonts w:ascii="Times New Roman" w:cs="Times New Roman" w:eastAsia="Times New Roman" w:hAnsi="Times New Roman"/>
          <w:sz w:val="18"/>
          <w:szCs w:val="18"/>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We encourage you to read our periodic and current reports. We believe these reports provide additional information about our company which prudent investors find important. You may request a copy of these filings as well as any future filings incorporated by reference, at no cost, by writing or telephoning us at our principal executive offices. To obtain copies of these filings,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on page S-</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 xml:space="preserve"> of this prospectus supplement.</w:t>
      </w:r>
    </w:p>
    <w:p>
      <w:pPr>
        <w:spacing w:after="0" w:line="75" w:lineRule="exact"/>
        <w:rPr>
          <w:rFonts w:ascii="Times New Roman" w:cs="Times New Roman" w:eastAsia="Times New Roman" w:hAnsi="Times New Roman"/>
          <w:sz w:val="18"/>
          <w:szCs w:val="18"/>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or in the accompanying prospectus. We have not authorized anyone else to provide you with different information. We are not making an offer of these securities in any jurisdiction where the offer or sale is not permitted. You should not assume that the information in this prospectus supplement is accurate as of any date other than the date on the front of this prospectus supplement.</w:t>
      </w:r>
    </w:p>
    <w:p>
      <w:pPr>
        <w:spacing w:after="0" w:line="75" w:lineRule="exact"/>
        <w:rPr>
          <w:rFonts w:ascii="Times New Roman" w:cs="Times New Roman" w:eastAsia="Times New Roman" w:hAnsi="Times New Roman"/>
          <w:sz w:val="18"/>
          <w:szCs w:val="18"/>
          <w:color w:val="auto"/>
        </w:rPr>
      </w:pPr>
    </w:p>
    <w:p>
      <w:pPr>
        <w:jc w:val="both"/>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prospectus supplement will be deemed to be modified or superseded for purposes of the document to the extent that a statement contained in this prospectus supplement or any other subsequently filed document that is deemed to be incorporated by reference into this prospectus supplement modifies or supersedes the statement.</w:t>
      </w:r>
    </w:p>
    <w:p>
      <w:pPr>
        <w:spacing w:after="0" w:line="18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182880</wp:posOffset>
            </wp:positionV>
            <wp:extent cx="968375" cy="814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9683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Vishay Intertechnology,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Common Stock</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Preferred Stock</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Units</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73025</wp:posOffset>
            </wp:positionV>
            <wp:extent cx="10972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may, from time to time, offer and sell in one or more series or issuances:</w:t>
      </w:r>
    </w:p>
    <w:p>
      <w:pPr>
        <w:spacing w:after="0" w:line="90" w:lineRule="exact"/>
        <w:rPr>
          <w:sz w:val="20"/>
          <w:szCs w:val="20"/>
          <w:color w:val="auto"/>
        </w:rPr>
      </w:pPr>
    </w:p>
    <w:p>
      <w:pPr>
        <w:ind w:left="1120" w:hanging="36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w:t>
      </w:r>
    </w:p>
    <w:p>
      <w:pPr>
        <w:spacing w:after="0" w:line="76" w:lineRule="exact"/>
        <w:rPr>
          <w:rFonts w:ascii="Times New Roman" w:cs="Times New Roman" w:eastAsia="Times New Roman" w:hAnsi="Times New Roman"/>
          <w:sz w:val="18"/>
          <w:szCs w:val="18"/>
          <w:color w:val="auto"/>
        </w:rPr>
      </w:pPr>
    </w:p>
    <w:p>
      <w:pPr>
        <w:ind w:left="1120" w:hanging="36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w:t>
      </w:r>
    </w:p>
    <w:p>
      <w:pPr>
        <w:spacing w:after="0" w:line="76" w:lineRule="exact"/>
        <w:rPr>
          <w:rFonts w:ascii="Times New Roman" w:cs="Times New Roman" w:eastAsia="Times New Roman" w:hAnsi="Times New Roman"/>
          <w:sz w:val="18"/>
          <w:szCs w:val="18"/>
          <w:color w:val="auto"/>
        </w:rPr>
      </w:pPr>
    </w:p>
    <w:p>
      <w:pPr>
        <w:ind w:left="1120" w:hanging="36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our common stock, preferred stock and/or debt securities;</w:t>
      </w:r>
    </w:p>
    <w:p>
      <w:pPr>
        <w:spacing w:after="0" w:line="90" w:lineRule="exact"/>
        <w:rPr>
          <w:rFonts w:ascii="Times New Roman" w:cs="Times New Roman" w:eastAsia="Times New Roman" w:hAnsi="Times New Roman"/>
          <w:sz w:val="18"/>
          <w:szCs w:val="18"/>
          <w:color w:val="auto"/>
        </w:rPr>
      </w:pPr>
    </w:p>
    <w:p>
      <w:pPr>
        <w:ind w:left="1120" w:right="419" w:hanging="360"/>
        <w:spacing w:after="0" w:line="280"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consisting of debentures, notes or other evidences of indebtedness (which may be issued as convertible or exchangeable debt securities);</w:t>
      </w:r>
    </w:p>
    <w:p>
      <w:pPr>
        <w:spacing w:after="0" w:line="16" w:lineRule="exact"/>
        <w:rPr>
          <w:rFonts w:ascii="Times New Roman" w:cs="Times New Roman" w:eastAsia="Times New Roman" w:hAnsi="Times New Roman"/>
          <w:sz w:val="18"/>
          <w:szCs w:val="18"/>
          <w:color w:val="auto"/>
        </w:rPr>
      </w:pPr>
    </w:p>
    <w:p>
      <w:pPr>
        <w:ind w:left="1120" w:hanging="36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 combination of the foregoing securities;</w:t>
      </w:r>
    </w:p>
    <w:p>
      <w:pPr>
        <w:spacing w:after="0" w:line="76" w:lineRule="exact"/>
        <w:rPr>
          <w:rFonts w:ascii="Times New Roman" w:cs="Times New Roman" w:eastAsia="Times New Roman" w:hAnsi="Times New Roman"/>
          <w:sz w:val="18"/>
          <w:szCs w:val="18"/>
          <w:color w:val="auto"/>
        </w:rPr>
      </w:pPr>
    </w:p>
    <w:p>
      <w:pPr>
        <w:ind w:left="1120" w:hanging="36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common stock, preferred stock or debt securities; or</w:t>
      </w:r>
    </w:p>
    <w:p>
      <w:pPr>
        <w:spacing w:after="0" w:line="90" w:lineRule="exact"/>
        <w:rPr>
          <w:rFonts w:ascii="Times New Roman" w:cs="Times New Roman" w:eastAsia="Times New Roman" w:hAnsi="Times New Roman"/>
          <w:sz w:val="18"/>
          <w:szCs w:val="18"/>
          <w:color w:val="auto"/>
        </w:rPr>
      </w:pPr>
    </w:p>
    <w:p>
      <w:pPr>
        <w:ind w:left="1120" w:hanging="36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117" w:lineRule="exact"/>
        <w:rPr>
          <w:sz w:val="20"/>
          <w:szCs w:val="20"/>
          <w:color w:val="auto"/>
        </w:rPr>
      </w:pPr>
    </w:p>
    <w:p>
      <w:pPr>
        <w:jc w:val="both"/>
        <w:ind w:left="40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that we may offer. Each time that we offer securities under this prospectus, we will provide the specific terms of the securities offered, including the public offering price, in a supplement to this prospectus. We may also authorize one or more free writing prospectuses to be provided to you in connection with any offering. Any prospectus supplement may add to, update or change information contained in this prospectus. If information in any prospectus supplement or any related free writing prospectus is inconsistent with the information in this prospectus, then the information in that prospectus supplement or any related free writing prospectus will apply and will supersede the information in this prospectus. In addition, we may supplement, update or change any information contained in this prospectus by incorporating information by reference. You should read this prospectus, any applicable prospectus supplement and any related free writing prospectus, together with any additional information described under the headings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carefully before you make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decision.</w:t>
      </w:r>
    </w:p>
    <w:p>
      <w:pPr>
        <w:spacing w:after="0" w:line="82" w:lineRule="exact"/>
        <w:rPr>
          <w:sz w:val="20"/>
          <w:szCs w:val="20"/>
          <w:color w:val="auto"/>
        </w:rPr>
      </w:pPr>
    </w:p>
    <w:p>
      <w:pPr>
        <w:jc w:val="both"/>
        <w:ind w:left="400" w:right="419" w:firstLine="360"/>
        <w:spacing w:after="0" w:line="254" w:lineRule="auto"/>
        <w:rPr>
          <w:sz w:val="20"/>
          <w:szCs w:val="20"/>
          <w:color w:val="auto"/>
        </w:rPr>
      </w:pPr>
      <w:r>
        <w:rPr>
          <w:rFonts w:ascii="Times New Roman" w:cs="Times New Roman" w:eastAsia="Times New Roman" w:hAnsi="Times New Roman"/>
          <w:sz w:val="18"/>
          <w:szCs w:val="18"/>
          <w:color w:val="auto"/>
        </w:rPr>
        <w:t>The securities offered pursuant to this prospectus may be sold at prevailing market prices or at prices different than prevailing market prices. We may offer or sell these securities to or through underwriters or dealers, directly to purchasers or through agents designated from time to time, or a combination of such methods, on a continuous or delayed basis. For additional information on the methods of sale, you should refer to the section 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in this prospectus and the comparable section of any applicable prospectus supplement.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are involved in the sale of the securities with respect to which this prospectus is being delivered, the names of such underwriters and any applicable discounts or commissions and over-allotment options will be set forth in the applicable prospectus supplement.</w:t>
      </w:r>
    </w:p>
    <w:p>
      <w:pPr>
        <w:spacing w:after="0" w:line="84" w:lineRule="exact"/>
        <w:rPr>
          <w:sz w:val="20"/>
          <w:szCs w:val="20"/>
          <w:color w:val="auto"/>
        </w:rPr>
      </w:pPr>
    </w:p>
    <w:p>
      <w:pPr>
        <w:ind w:left="400" w:right="1239" w:firstLine="360"/>
        <w:spacing w:after="0" w:line="280" w:lineRule="auto"/>
        <w:rPr>
          <w:sz w:val="20"/>
          <w:szCs w:val="20"/>
          <w:color w:val="auto"/>
        </w:rPr>
      </w:pPr>
      <w:r>
        <w:rPr>
          <w:rFonts w:ascii="Times New Roman" w:cs="Times New Roman" w:eastAsia="Times New Roman" w:hAnsi="Times New Roman"/>
          <w:sz w:val="18"/>
          <w:szCs w:val="18"/>
          <w:color w:val="auto"/>
        </w:rPr>
        <w:t>This prospectus may not be used to offer or sell any securities unless accompanied by a prospectus supplement.</w:t>
      </w:r>
    </w:p>
    <w:p>
      <w:pPr>
        <w:spacing w:after="0" w:line="57" w:lineRule="exact"/>
        <w:rPr>
          <w:sz w:val="20"/>
          <w:szCs w:val="20"/>
          <w:color w:val="auto"/>
        </w:rPr>
      </w:pPr>
    </w:p>
    <w:p>
      <w:pPr>
        <w:jc w:val="both"/>
        <w:ind w:left="400" w:right="419" w:firstLine="360"/>
        <w:spacing w:after="0" w:line="260"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“VSH.” On June 26, 2026, the last reported sale price of our common stock was $56.35 per share. If we decide to list or seek a quotation for any other securities offered hereunder, the applicable prospectus supplement or free writing prospectus will disclose the exchange or market on which those securities will be listed or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41275</wp:posOffset>
            </wp:positionV>
            <wp:extent cx="10972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46" w:lineRule="exact"/>
        <w:rPr>
          <w:sz w:val="20"/>
          <w:szCs w:val="20"/>
          <w:color w:val="auto"/>
        </w:rPr>
      </w:pPr>
    </w:p>
    <w:p>
      <w:pPr>
        <w:jc w:val="both"/>
        <w:ind w:left="400" w:right="419" w:firstLine="360"/>
        <w:spacing w:after="0" w:line="261"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you should carefully consider the risks described under “</w:t>
      </w:r>
      <w:r>
        <w:rPr>
          <w:rFonts w:ascii="Times New Roman" w:cs="Times New Roman" w:eastAsia="Times New Roman" w:hAnsi="Times New Roman"/>
          <w:sz w:val="18"/>
          <w:szCs w:val="18"/>
          <w:b w:val="1"/>
          <w:bCs w:val="1"/>
          <w:i w:val="1"/>
          <w:iCs w:val="1"/>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w:t>
      </w:r>
      <w:r>
        <w:rPr>
          <w:rFonts w:ascii="Times New Roman" w:cs="Times New Roman" w:eastAsia="Times New Roman" w:hAnsi="Times New Roman"/>
          <w:sz w:val="18"/>
          <w:szCs w:val="18"/>
          <w:b w:val="1"/>
          <w:bCs w:val="1"/>
          <w:color w:val="auto"/>
        </w:rPr>
        <w:t>” on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0000EE"/>
        </w:rPr>
        <w:t>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of this prospectus, as well as the other information contained or incorporated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reference in this prospectus, any applicable prospectus supplement and any related free writing prospectus, before making a decision to invest in our securities.</w:t>
      </w:r>
    </w:p>
    <w:p>
      <w:pPr>
        <w:spacing w:after="0" w:line="72" w:lineRule="exact"/>
        <w:rPr>
          <w:sz w:val="20"/>
          <w:szCs w:val="20"/>
          <w:color w:val="auto"/>
        </w:rPr>
      </w:pPr>
    </w:p>
    <w:p>
      <w:pPr>
        <w:jc w:val="both"/>
        <w:ind w:left="400" w:right="419" w:firstLine="360"/>
        <w:spacing w:after="0" w:line="26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45720</wp:posOffset>
            </wp:positionV>
            <wp:extent cx="10972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130175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517"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240" w:type="dxa"/>
            <w:vAlign w:val="bottom"/>
            <w:tcBorders>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OUR COMPANY</w:t>
            </w: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3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820" w:type="dxa"/>
            <w:vAlign w:val="bottom"/>
            <w:gridSpan w:val="14"/>
          </w:tcPr>
          <w:p>
            <w:pPr>
              <w:spacing w:after="0"/>
              <w:rPr>
                <w:sz w:val="16"/>
                <w:szCs w:val="16"/>
                <w:color w:val="auto"/>
              </w:rPr>
            </w:pP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5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540" w:type="dxa"/>
            <w:vAlign w:val="bottom"/>
            <w:gridSpan w:val="12"/>
            <w:shd w:val="clear" w:color="auto" w:fill="CCEEFF"/>
          </w:tcPr>
          <w:p>
            <w:pPr>
              <w:spacing w:after="0"/>
              <w:rPr>
                <w:sz w:val="16"/>
                <w:szCs w:val="16"/>
                <w:color w:val="auto"/>
              </w:rPr>
            </w:pP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DESCRIPTION OF OUR COMMON STOCK</w:t>
            </w: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5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DESCRIPTION OF OUR PREFERRED STOCK</w:t>
            </w:r>
          </w:p>
        </w:tc>
        <w:tc>
          <w:tcPr>
            <w:tcW w:w="4560" w:type="dxa"/>
            <w:vAlign w:val="bottom"/>
            <w:gridSpan w:val="5"/>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5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4560" w:type="dxa"/>
            <w:vAlign w:val="bottom"/>
            <w:gridSpan w:val="5"/>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9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OUR WARRANTS</w:t>
            </w:r>
          </w:p>
        </w:tc>
        <w:tc>
          <w:tcPr>
            <w:tcW w:w="5220" w:type="dxa"/>
            <w:vAlign w:val="bottom"/>
            <w:gridSpan w:val="8"/>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9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DESCRIPTION OF OUR UNITS</w:t>
            </w:r>
          </w:p>
        </w:tc>
        <w:tc>
          <w:tcPr>
            <w:tcW w:w="5220" w:type="dxa"/>
            <w:vAlign w:val="bottom"/>
            <w:gridSpan w:val="8"/>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20</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8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4240" w:type="dxa"/>
            <w:vAlign w:val="bottom"/>
            <w:gridSpan w:val="3"/>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80" w:type="dxa"/>
            <w:vAlign w:val="bottom"/>
            <w:gridSpan w:val="13"/>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51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940" w:type="dxa"/>
            <w:vAlign w:val="bottom"/>
            <w:gridSpan w:val="2"/>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U.S. Securities and Exchange Commission (the “SEC”) as a “well-known seasoned issuer,” as defined in Rule 405 under the Securities Act of 1933, as amended (the “Securities Act”), utilizing a “shelf” registration process. Under this shelf registration process, we may offer and sell, from time to time in one or more offerings, any combination of the securities described in this prospectus. Because we are a “well-known seasoned issuer,” we may also add to and offer additional securities by filing a prospectus supplement with the SEC at the time of any such offer.</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It does not contain all of the information set forth in the registration statement, certain parts of which are omitted in accordance with the rules and regulations of the SEC. Each time we offer and sell securities under this shelf registration statement, we will provide a prospectus supplement. We may also authorize one or more free writing prospectuses to be provided to you in connection with the offering. For the purposes of the discussion in this prospectus, the term “prospectus supplement” shall also include any related free writing prospectus. The prospectus supplement will contain specific information about the terms of the securities being offered and the terms of that offering, including the type and amount of securities being offered, the offering price, and the names of any underwriters, dealers or agents and any applicable commissions, discounts or over-allotment options. A prospectus supplement may also include a discussion of any risk factors or other special considerations applicable to those securities or to us. Any prospectus supplement may also add, update or change information contained or incorporated by reference in this prospectus. If there is any inconsistency between the information in this prospectus and the applicable prospectus supplement, you should rely on the information in the document with the most recent date. 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filings we make with the SEC that are incorporated by reference in this prospectus, or by any other method as may then be permitted under applicable law, rules or regulations.</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have not authorized any other person to provide you with any information other than what is contained or incorporated by reference in this prospectus, any applicable prospectus supplement or any free writing prospectus prepared by or on behalf of us or to which we have referred you. We take no responsibility for, and provide no assurance as to, the reliability of any other information that others may give you. You should not assume that the information contained or incorporated by reference in this prospectus or any applicable prospectus supplement is accurate as of any date subsequent to the date set forth on the front of the document, or that any information we have incorporated by reference is correct on any date subsequent to the date of the document incorporated by reference, even though this prospectus or any accompanying prospectus supplement is delivered or securities are sold on a later date. Our business, financial condition, results of operations and prospects may have changed since those dates. This prospectus and any accompanying prospectus supplement do not constitute an offer to sell or the solicitation of an offer to buy any securities other than the securities to which they relate, nor do this prospectus and any accompanying prospectus supplement constitute an offer to sell or the solicitation of an offer to buy securities in any jurisdiction to any person to whom it is unlawful to make such offer or solicitation in such jurisdiction.</w:t>
      </w:r>
    </w:p>
    <w:p>
      <w:pPr>
        <w:spacing w:after="0" w:line="79" w:lineRule="exact"/>
        <w:rPr>
          <w:sz w:val="20"/>
          <w:szCs w:val="20"/>
          <w:color w:val="auto"/>
        </w:rPr>
      </w:pPr>
    </w:p>
    <w:p>
      <w:pPr>
        <w:jc w:val="both"/>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You should read this prospectus, any applicable prospectus supplement, the related exhibits filed with the SEC, and the documents incorporated by reference herein and therein carefully and in their entirety before making an investment decision. In particular, you should carefully consider the risks and uncertainties described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any applicable prospectus supplement or incorporated by reference in this prospectus before deciding whether to purchase any securities. Please also refer to the additional information described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in this prospectus.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References in this prospectus to the terms “we,” “us,” “our,” the “Company” and “Vishay” or other similar terms refer to Vishay Intertechnology, Inc. and its consolidated subsidiaries, unless expressly stated or the context otherwise indicates.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herein by reference contain forward-looking statements within the meaning of Section 27A of the Securities Act and Section 21E of the Securities Exchange Act of 1934, as amended (the “Exchange Act”) that are based on our management’s beliefs and assumptions and on information available to our management as of the date hereof or as of the date of any such document incorporated herein by reference, as the case may be. Forward-looking statements are inherently subject to risks and uncertainties, some of which cannot be predicted or quantified. All statements other than present and historical facts and conditions contained in this prospectus and the documents incorporated herein by reference, including statements regarding our future results of operations and financial position, business strategy, plans and our objectives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have based the forward-looking statements contained in this prospectus and the documents incorporated herein by reference primarily on our expectations and projections about future events and trends as of the date hereof or as of the date of the applicable document incorporated herein by reference, as the case may be, that we believe may affect our business, financial condition, results of operations, prospects, business strategy and financial needs. Such statements are based on current expectations only, and are subject to certain risks, uncertainties and assumptions, many of which are beyond our control. Should one or more of these risks or uncertainties materialize, or should underlying assumptions prove incorrect, actual results, performance, or achievements may vary materially from those anticipated, estimated or projected. Among the factors that could cause actual results to materially differ include:</w:t>
      </w:r>
    </w:p>
    <w:p>
      <w:pPr>
        <w:spacing w:after="0" w:line="80" w:lineRule="exact"/>
        <w:rPr>
          <w:sz w:val="20"/>
          <w:szCs w:val="20"/>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and economic conditions; manufacturing or supply chain interruptions or changes in customer demand;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implementing our cost reduction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expanding our manufacturing capacities;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and retain highly qualified personnel;</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uncertainty related to the effects of changes in foreign currency exchange rates;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technological changes in our industries;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new product development; difficulties in identifying suitable acquisition candidates, consummating a transaction on terms which we consider acceptable, and integration and performance of acquired businesses;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foreign trade regulations and tariffs, and uncertainty regarding the same;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prices for metals and materials;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domestic and foreign tax regulations, and uncertainty regarding the same;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accounting standards; and</w:t>
      </w:r>
    </w:p>
    <w:p>
      <w:pPr>
        <w:spacing w:after="0" w:line="115"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20"/>
        </w:numPr>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auto"/>
          </w:rPr>
          <w:t>other factors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prospectus, our </w:t>
        </w:r>
        <w:r>
          <w:rPr>
            <w:rFonts w:ascii="Times New Roman" w:cs="Times New Roman" w:eastAsia="Times New Roman" w:hAnsi="Times New Roman"/>
            <w:sz w:val="18"/>
            <w:szCs w:val="18"/>
            <w:u w:val="single" w:color="auto"/>
            <w:color w:val="0000EE"/>
          </w:rPr>
          <w:t>Annual Report on</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EE"/>
          </w:rPr>
          <w:t>Form 10-K for the year ended December 31,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Quarterly Report on Form 10-Q for the quarter</w:t>
        </w:r>
      </w:hyperlink>
      <w:r>
        <w:rPr>
          <w:rFonts w:ascii="Times New Roman" w:cs="Times New Roman" w:eastAsia="Times New Roman" w:hAnsi="Times New Roman"/>
          <w:sz w:val="18"/>
          <w:szCs w:val="18"/>
          <w:color w:val="0000EE"/>
        </w:rPr>
        <w:t xml:space="preserve"> </w:t>
      </w:r>
      <w:hyperlink r:id="rId70">
        <w:r>
          <w:rPr>
            <w:rFonts w:ascii="Times New Roman" w:cs="Times New Roman" w:eastAsia="Times New Roman" w:hAnsi="Times New Roman"/>
            <w:sz w:val="18"/>
            <w:szCs w:val="18"/>
            <w:u w:val="single" w:color="auto"/>
            <w:color w:val="0000EE"/>
          </w:rPr>
          <w:t>ended April 4, 2026</w:t>
        </w:r>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Additionally, we operate in a very competitive and rapidly changing environment. New risks and uncertainties emerge from time to time and it is not possible for us to predict all risks and uncertainties that could have an impact on the forward-looking statements contained in this prospectus and the documents incorporated herein by reference. We cannot assure you that the results, events and circumstances reflected in the forward-looking statements will be achieved or occur, and actual results, events or circumstances could differ materially from those described in the forward-looking statements.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84" w:lineRule="exact"/>
        <w:rPr>
          <w:rFonts w:ascii="Times New Roman" w:cs="Times New Roman" w:eastAsia="Times New Roman" w:hAnsi="Times New Roman"/>
          <w:sz w:val="18"/>
          <w:szCs w:val="18"/>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or the applicable</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document incorporated herein by reference, as the case may be,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prospectus and the documents incorporated herein by reference relate only to events as of the date on which such statements are made. We undertake no obligation to update any forward-looking statements after the date of this prospectus or to conform such statements to actual results or revised expectations, except as required by law. All forward-looking statements attributable to us are expressly qualified by these cautionary statements.</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herein by reference may contain market data and industry forecasts that were obtained from industry publications. Any such data and forecasts involve a number of assumptions and limitations, and you are cautioned not to give undue weight to such information. We have not independently verified any third-party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and may not contain all the information that you need to consider in making your investment decision. You should read the entire prospectus, any applicable prospectus supplement and the information incorporated herein by reference before making an investment decision. You should pay special attention to the “Risk factors” contained in this prospectus, the applicable prospectus supplement and under similar headings in the other documents that are incorporated into this prospectus to determine whether an investment in the common stock is appropriate for you. References in the offering memorandum to “the Company,” “we,” “us,” “our” and “Vishay” refer to Vishay Intertechnology, Inc. and its consolidated subsidiaries, except where the context otherwise requires or as otherwise indicated. You should read the following summary together with the more detailed information and consolidated financial statements and the notes to those statements included in the documents filed by us with the SEC, which are incorporated herein by reference.</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Vishay manufactures one of the world’s largest portfolios of discrete semiconductors and passive electronic components that support innovative designs in the automotive, industrial, computing, consumer, telecommunications, military, aerospace, and healthcare markets. Serving customers worldwide, Vishay brands itself as The DNA of tech.®</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Semiconductors include MOSFETs, diodes, and optoelectronic components. Passive components include resistors, inductors, and capacitors. Our semiconductor components are used for a wide variety of functions, including power control, power conversion, power management, signal switching, signal routing, signal blocking, signal amplification, two-way data transfer, one-way remote control, and circuit isolation. Our passive components are used to restrict current flow, suppress voltage increases, store and discharge energy, control alternating current and voltage, filter out unwanted electrical signals, and perform other functions.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Vishay is a Delaware corporation founded in 1962 by the late Dr. Felix Zandman. Our principal executive offices are located at 63 Lancaster Avenue, Malvern, Pennsylvania 19355, and our main telephone number is (610) 644-1300. We maintain a website at www.vishay.com where general information about us is available. The information contained on or accessible through our website is not incorporated herein by reference and does not constitute a part of this prospectus.</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color w:val="auto"/>
        </w:rPr>
        <w:t>To find more information about us, please see the sections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an investment decision, you should carefully consider the risks and uncertainties described under the heading “Risk Factors” in Item 1A of our Annual Report on Form 10-K for the fiscal year ended December 31, 2025, which is incorporated by reference into this prospectus, as well as the risk factors and other information described in any accompanying prospectus supplement and any other filings with the SEC or other documents we incorporate by reference herein or therein (including future filings we make with the SEC that are also incorporated by reference in this prospectus). Each of the risks described in these documents could materially and adversely affect our business, financial condition, results of operations, cash flows and prospects, and could result in a partial or complete loss of your investment. The risks and uncertainties we have described are not the only risks we face. Additional risks and uncertainties not presently known to us or that we currently deem immaterial may also affect our business and operations. See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we currently intend to use the net proceeds from the sale of the securities offered by this prospectus for general corporate purposes, which may include working capital, capital expenditures, manufacturing expenditures, commercial expenditures, repayment and refinancing of debt, acquisitions of new technologies or businesses, investments and other corporate purposes. Additional information on the use of net proceeds from the sale of any securities by us under this prospectus shall be set forth in the prospectus supplement relating to the specific offering.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COMMON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It is subject to and qualified in its entirety by reference to our Corrected Amended and Restated Certificate of Incorporation (the “Certificate of Incorporation”) and our Amended and Restated Bylaws (the “Bylaws”), in each case, as may be amended from time to time, copies of which are incorporated by reference as exhibits to the registration statement of which this prospectus is a part. Please refer to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below for directions on obtaining these documents. We encourage you to read our Certificate of Incorporation, our Bylaws and the applicable provisions of the Delaware General Corporation Law (the “DGCL”) for additional information.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of June 26, 2026, pursuant to our Certificate of Incorporation, we are authorized to issue up to 341,000,000 shares of capital stock, consisting of 1,000,000 shares of preferred stock, par value $1.00 per share, 300,000,000 shares of common stock, par value $0.10 per share, and 40,000,000 shares of Class B common stock, par value $0.10 per share.</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of June 26, 2026, we had 124,030,756 shares of common stock issued and outstanding, 12,097,148 shares of Class B common stock issued and outstanding, and no shares of preferred stock issued and outstanding.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Holders of Class B common stock are entitled to 10 votes for each share held. The common stock and the Class B common stock vote together as one class on all matters subject to stockholder approval, except as set forth in the following sentence. The approval of the holders of common stock and of Class B common stock, each voting separately as a class, is required to authorize issuances of additional shares of Class B common stock other than in connection with stock splits and stock dividends.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After any required payment on shares of preferred stock, holders of common stock and Class B common stock are entitled to receive, and share ratably on a per share basis in, all dividends and other distributions declared by the board of directors of Vishay. In the event of a stock dividend or stock split, holders of common stock will receive shares of common stock and holders of Class B common stock will receive shares of Class B common stock. Neither the common stock nor the Class B common stock may be split, divided or combined unless the other is split, divided or combined equally.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all assets available for distribution to stockholders after the payment of all debts and other liabilities and subject to the prior rights of any outstanding preferred stock. Except as otherwise required by the DGCL or as otherwise described herein and provided in our Certificate of Incorporation, each share of common stock and each share of Class B common stock shall have identical powers, preferences and rights, including rights in liquidation.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 Conversion Rights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Holders of common stock have no conversion rights. Shares of Class B common stock are convertible into shares of our common stock on a one-for-one basis at any time at the option of the holder thereof. The Class B common stock is not transferable except to the holder’s spouse, certain of such holder’s relatives, certain trusts established for the benefit of the holder, the holder’s spouse or relatives, corporations and partnerships beneficially owned and controlled by such holder, such holder’s spouse or relatives, charitable organizations and such holder’s estate. Upon any transfer made in violation of those restrictions, shares of Class B common stock will be automatically converted into shares of our common stock on a one-for-one basis.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Neither the holders of common stock nor the holders of Class B common stock have any preemptive rights to subscribe for additional shares of our capital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trading symbol “VSH.” There is no public market for shares of our Class B common stock.</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Computershare Limited is the transfer agent and registrar of our common stock and Class B common stock.</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Provisions Contained in Our Certificate of Incorporation and Bylaws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may make it less likely that our management would be changed or someone would acquire control of our Company without the board of directors’ consent. These provisions may delay, defer, or prevent a change in control or takeover attempts that stockholders may consider to be in their best interests, including tender offers or attempts that might allow stockholders to receive premiums over the market price of our common stock.</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Dual-Class Capital Structure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authorizes two classes of common stock: common stock, each share of which is entitled to one vote, and Class B common stock, each share of which is entitled to ten votes. This dual-class structure concentrates voting power in the holders of Class B common stock, which may make it more difficult for third parties to acquire control of our company without the consent of those holders, even if they acquire a majority of the economic interest represented by our outstanding common stock. Transfers of Class B common stock are restricted to “Permitted Transferees” as defined in our Certificate of Incorporation, which include certain family members, trusts, and entities controlled by Class B holders. Any transfer to a non-Permitted Transferee results in automatic conversion of the transferred shares into common stock. In addition, if the number of outstanding shares of Class B common stock falls below 300,000 shares (as adjusted for stock splits and stock dividends), all outstanding shares of Class B common stock will automatically convert into shares of common stock.</w:t>
      </w:r>
    </w:p>
    <w:p>
      <w:pPr>
        <w:spacing w:after="0" w:line="2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that the Board of Directors is divided into three classes of directors, as nearly equal in number as possible, with each class serving a staggered three-year term. As a result, approximately one-third of the board of directors is elected at each annual meeting of stockholders. The staggered board makes it more difficult for a third party to gain control of our board of directors through a single proxy contest, since only one class of directors is up for election at any given annual meeting. As a consequence, directors may not be removed other than for cause.</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and Election Procedures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order to nominate candidates for the Board of Directors, a stockholder must follow the advance notice procedures described in our Bylaws. In general, a stockholder must give written notice of such nomination to our Secretary at least 90 calendar days prior to the first anniversary of the preceding year’s annual meeting of stockholders, together with required information regarding the stockholder proponent and the nominee and the written consent of the nominee to serve as director. Directors are elected by a plurality of the voting power of the shares present and entitled to vote on the election of directors at a meeting at which a quorum is present, meaning that the candidates receiving the greatest number of votes are elected, regardless of whether or not they receive a majority of the votes cast. As a result, “vote no” campaigns to unseat incumbent directors may be ineffective in uncontested elections.</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 Proposal Procedures</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Stockholders can propose that business other than nominations to the Board of Directors be considered at an annual meeting of stockholders only if a stockholder follows the advance notice procedures described in our Bylaws. In general, a stockholder must submit a written notice of the proposal together with required information regarding the stockholder and the stockholder’s interest in the proposal to the Board of Directors or our secretary at least 90 calendar days prior to the first anniversary of the preceding year’s annual meeting of stockholders. Stockholders seeking to have a proposal, other than director nominations, considered for inclusion in our annual proxy statement must comply with the requirements of Rule 14a-8 of the proxy rules under the federal securities laws.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Our Bylaws designate the Court of Chancery of the State of Delaware as the sole and exclusive forum for: (i) any derivative action or proceeding brought on behalf of the Company; (ii) any action asserting a claim of breach of fiduciary duty owed by any director, officer or other employee of the Company to the Company or its stockholders;</w:t>
      </w:r>
    </w:p>
    <w:p>
      <w:pPr>
        <w:spacing w:after="0" w:line="1" w:lineRule="exact"/>
        <w:rPr>
          <w:sz w:val="20"/>
          <w:szCs w:val="20"/>
          <w:color w:val="auto"/>
        </w:rPr>
      </w:pPr>
    </w:p>
    <w:p>
      <w:pPr>
        <w:jc w:val="both"/>
        <w:ind w:left="300" w:right="299" w:hanging="8"/>
        <w:spacing w:after="0" w:line="250" w:lineRule="auto"/>
        <w:tabs>
          <w:tab w:leader="none" w:pos="6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Company or any director, officer or other employee of the Company arising pursuant to the DGCL, our Certificate of Incorporation or our Bylaws; or (iv) any action asserting a claim governed by the internal affairs doctrine, in each case unless the Company determines in writing that it is in the best interests of the Company to select an alternative forum. This exclusive forum provision does not apply to any claim</w:t>
      </w:r>
    </w:p>
    <w:p>
      <w:pPr>
        <w:spacing w:after="0" w:line="1" w:lineRule="exact"/>
        <w:rPr>
          <w:rFonts w:ascii="Times New Roman" w:cs="Times New Roman" w:eastAsia="Times New Roman" w:hAnsi="Times New Roman"/>
          <w:sz w:val="18"/>
          <w:szCs w:val="18"/>
          <w:color w:val="auto"/>
        </w:rPr>
      </w:pPr>
    </w:p>
    <w:p>
      <w:pPr>
        <w:jc w:val="both"/>
        <w:ind w:left="300" w:right="2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as to which the Court of Chancery determines that there is an indispensable party not subject to the jurisdiction of the Court of Chancery (and such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If the Court of Chancery dismisses any such action for lack of jurisdiction, the action may be brought in another state court sitting in the State of Delaware or, if no state court located within the State of Delaware has jurisdiction, in the federal district court for the District of Delaware. Although our Bylaws contain this choice of forum provision, it is possible that a court could find the provision to be inapplicable or unenforceable, and our stockholders will not be deemed to have waived our compliance with the federal securities laws and the rules and regulations thereunder.</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Related Person Transactions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no contract or transaction between the Company and one or more of its directors or officers, or between the Company and any other entity in which one or more directors or officers have a financial interest, shall be void or voidable solely for that reason, or solely because the interested director’s or officer’s vote was counted, if: (a) the material facts of the relationship or interest are disclosed to and approved in good faith by a majority of the disinterested members of the board of directors or the relevant committee; (b) the material facts are disclosed to and approved in good faith by the stockholders entitled to vote thereon; or (c) the contract or transaction is fair to the Company at the time it is authorized, approved, or ratified. Interested directors may be counted in determining the presence of a quorum at a meeting authorizing such a contract or transaction.</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addition to the provisions contained in our Certificate of Incorporation and Bylaws, we are subject to Section 203 of the DGCL. In general, Section 203 prohibits a publicly held Delaware corporation from engaging in a “business combination” with an “interested stockholder” for a period of three years following the date the person became an interested stockholder, unless:</w:t>
      </w:r>
    </w:p>
    <w:p>
      <w:pPr>
        <w:spacing w:after="0" w:line="72" w:lineRule="exact"/>
        <w:rPr>
          <w:sz w:val="20"/>
          <w:szCs w:val="20"/>
          <w:color w:val="auto"/>
        </w:rPr>
      </w:pPr>
    </w:p>
    <w:p>
      <w:pPr>
        <w:jc w:val="both"/>
        <w:ind w:left="1000" w:right="29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the person became an interested stockholder, our board of directors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for purposes of determining the number of shares of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2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the person became an interested stockholder, the business combination is approved by our board of directors and authorized at an annual or special meeting of our stockholders, and not by written consent, by the affirmative vote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93"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purposes of Section 203, a “business combination” includes, among other things, mergers, asset sales, and other transactions resulting in a financial benefit to the interested stockholder. An “interested stockholder” is generally a person who, together with affiliates and associates, owns, or within the three years prior to the determination of interested stockholder status did own, 15% or more of a corporation’s outstanding voting stock.</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Section 203 with an express provision in its original certificate of incorporation or an amendment thereto duly adopted by stockholders. We have not opted out of Section 203. As a result, Section 203 may make it more difficult and expensive for a third party to acquire control of us, and could discourage attempts to acquire us, even if such an acquisition would be beneficial to our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authorized, pursuant to our Certificate of Incorporation, to issue, from time to time, up to an aggregate of 1,000,000 shares of preferred stock in one or more series. As of June 26, 2026, there were no shares of our preferred stock outstanding.</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from time to time, direct the issuance of shares of preferred stock in one or more series. Our board of directors may fix or alter the designation, preferences, rights and any qualification, limitations, or restrictions of the shares of any series, including the dividend rights, dividend rates, conversion rights, voting rights, redemption terms and prices, liquidation preferences and the number of shares constituting any series. Satisfaction of any dividend preferences of outstanding shares of our preferred stock would reduce the amount of funds available for the payment of dividends on shares of our common stock. Holders of shares of our preferred stock may be entitled to receive a preference payment in the event of any liquidation, dissolution or winding-up of the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68"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 the liquidation preference per share and the purchase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such dividends;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the Company, and, if applicable, the conversion price (or how it will be calculated), the conversion period and any other terms of conversion (including any anti-dilution provisions, if any);</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the exchange period and any other terms of exchange (including any anti-dilution provisions, if any);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the preferred stock;</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the affairs of the Company;</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limitations on issuance of any series of preferred stock ranking senior to or on a parity with the series of preferred stock as to dividend rights and rights upon liquidation, dissolution or winding up of the Company;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affirmative, negative or other covenants or contractual rights which might be attendant with the specific series of preferred stock.</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preferred stock offered by this prospectus, when issued, will not have, or be subject to, any preemptive or similar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each applicable prospectus supplement.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debt securities that we may offer under this prospectus, any of which may be issued as convertible or exchangeable debt securities. We will set forth the particular terms of the debt securities we offer in a prospectus supplement. The extent, if any, to which the following general provisions apply to particular debt securities will be described in the applicable prospectus supplement. The following description of general terms relating to the debt securities and the indenture under which the debt securities will be issued are summaries only and therefore are not complete. You should read the indenture and the prospectus supplement regarding any particular issuance of debt securities.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will issue any debt securities under an indenture to be entered into between us and the trustee identified in the applicable prospectus supplement. The terms of the debt securities will include those stated in the indenture any amendment or supplement thereto and those made part of the indenture by reference to the Trust Indenture Act of 1939 (the “Trust Indenture Act”), as in effect on the date of the indenture. We have filed or will file a copy of the form of indenture as an exhibit to the registration statement in which this prospectus is included.</w:t>
      </w:r>
    </w:p>
    <w:p>
      <w:pPr>
        <w:spacing w:after="0" w:line="75"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following statements relating to the debt securities and the indenture are summaries, qualified in their entirety by reference to the detailed provisions of the indenture and the final form indenture which will be filed with a future prospectus supplement and any amendment or supplement thereto.</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to the extent required, the following terms of the debt securities in respect of which the prospectus supplement is delivered:</w:t>
      </w:r>
    </w:p>
    <w:p>
      <w:pPr>
        <w:spacing w:after="0" w:line="54"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if any, will be payable and any regular record date for the interest payable;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denominations of $1,000 or any integral multiple of that number;</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securities (as described below) or global securities (as described below);</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and/or the acceleration provisions described in this prospectus or in the indenture;</w:t>
      </w:r>
    </w:p>
    <w:p>
      <w:pPr>
        <w:spacing w:after="0" w:line="5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events of default, if not otherwise described below under “ </w:t>
      </w:r>
      <w:r>
        <w:rPr>
          <w:rFonts w:ascii="Times New Roman" w:cs="Times New Roman" w:eastAsia="Times New Roman" w:hAnsi="Times New Roman"/>
          <w:sz w:val="18"/>
          <w:szCs w:val="18"/>
          <w:i w:val="1"/>
          <w:iCs w:val="1"/>
          <w:color w:val="auto"/>
        </w:rPr>
        <w:t>- Defaults and Notice</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shares of our common stock or preferred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debt securities;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other indebtedness of the Company;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in whole or in part, shall be defeasible.</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All debt securities of one series need not be issued at the same time and, unless otherwise provided, a series may be reopened, without the consent of any holder, for issuances of additional debt securities of that series with the same terms as the original debt securities of that series (other than the issue price and the interest accrued prior to the issue date of the additional debt securities). 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 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and/or Conversion Rights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may issue debt securities which can be exchanged for or converted into shares of our common stock or preferred stock. If we do, we will describe the terms of exchange or conversion in the prospectus supplement relating to these debt securities.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debt securities that will be represented by either:</w:t>
      </w:r>
    </w:p>
    <w:p>
      <w:pPr>
        <w:spacing w:after="0" w:line="117" w:lineRule="exact"/>
        <w:rPr>
          <w:sz w:val="20"/>
          <w:szCs w:val="20"/>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“book-entry securities,” which means that there will be one or more global securities registered in the name of a depositary or a nominee of a depositary;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“certificated securities,” which means that they will be represented by a certificate issued in definitive registered form.</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will specify in the prospectus supplement applicable to a particular offering whether the debt securities offered will be book-entry or certificated securities.</w:t>
      </w:r>
    </w:p>
    <w:p>
      <w:pPr>
        <w:spacing w:after="0" w:line="5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 hold debt securities issued under an indenture, you may transfer or exchange such debt securities in accordance with the terms of the indenture. You will not be charged a service charge for any transfer or exchange of debt securities but may be required to pay an amount sufficient to cover any transfer tax or other governmental charge payable in connection with such transfer or exchange.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debt securities of a series may be issued in the form of one or more global securities that will be deposited with a depositary or its nominees identified in the prospectus supplement relating to the debt securities. In such a case, one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more global securities will be issued in a denomination or aggregate denominations equal to the portion of the aggregate principal amount of outstanding debt securities of the series to be represented by such global security or securities.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Unless and until it is exchanged in whole or in part for debt securities in definitive registered form, a global security may not be registered for transfer or exchange except as a whole by the depositary for such global security to a nominee of the depositary and except in the circumstances described in the prospectus supplement relating to the debt securities. The specific terms of the depositary arrangement with respect to a series of debt securities will be described in the prospectus supplement relating to such series.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Protection in the Event of Change of Control</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Any provision in an indenture that governs our debt securities covered by this prospectus that includes any covenant or other provision providing for a put or increased interest or that would otherwise afford holders of our debt securities additional protection in the event of a recapitalization transaction, a change of control of the Company, or a highly leveraged transaction will be described in the applicable prospectus supplement.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may not have the benefit of any covenant that limits or restricts our business or operations, the pledging of our assets or the incurrence by us of indebtedness. We will describe in the applicable prospectus supplement any material covenants in respect of a series of debt securities.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may agree in any indenture that governs the debt securities of any series covered by this prospectus that we will not consolidate with or merge with or into any other person or convey, transfer, sell or lease our properties and assets substantially as an entirety to any person while such debt securities are outstanding, unless:</w:t>
      </w:r>
    </w:p>
    <w:p>
      <w:pPr>
        <w:spacing w:after="0" w:line="68" w:lineRule="exact"/>
        <w:rPr>
          <w:sz w:val="20"/>
          <w:szCs w:val="20"/>
          <w:color w:val="auto"/>
        </w:rPr>
      </w:pPr>
    </w:p>
    <w:p>
      <w:pPr>
        <w:jc w:val="both"/>
        <w:ind w:left="1000" w:right="299" w:hanging="348"/>
        <w:spacing w:after="0" w:line="258"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of any such transaction or the successor entity (if other than the Company) formed by such transaction is a corporation, partnership, trust or other entity organized and validly existing under the laws of the United States of America, or any state thereof or the District of Columbia, and expressly assumes by a supplemental indenture or otherwise all of our obligations related to such debt securities under the indenture; and</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merger or consolidation, no default or event of default shall have occurred and be continuing.</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indenture may permit any of our subsidiaries to consolidate with, merge into or transfer all or part of its properties to us. Neither an officer’s certificate nor an opinion of counsel will be required to be delivered in connection with any such transaction.</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Defaults and Notice</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debt securities of any series will contain events of default to be specified in the applicable prospectus supplement, which may include, without limitation:</w:t>
      </w:r>
    </w:p>
    <w:p>
      <w:pPr>
        <w:spacing w:after="0" w:line="54" w:lineRule="exact"/>
        <w:rPr>
          <w:sz w:val="20"/>
          <w:szCs w:val="20"/>
          <w:color w:val="auto"/>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the principal of, or premium, if any, on any debt security of such series when due and payable (whether at maturity, upon redemption, acceleration or otherwise);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a payment of any interest on any debt security of such series when due and payable and such failure continues for a period of 30 days (unless the entire amount of such payment is deposited with the trustee or with a paying agent prior to the expiration of the 30-day period);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perform or observe any other covenant or warranty in the indenture with respect to the debt securities of such series (other than defaults pursuant to a covenant or warranty that has been included in the indenture solely for the benefit of a different series of the debt securities), which failure continues uncured for a period of 60 days after we receive written notice of such failure from the trustee, or from the holders of at least 25% in aggregate principal amount of the then-outstanding debt securities of such series, specifying the default and requiring it to be remedied;</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relating to our or any guarantor’s bankruptcy, insolvency or reorganization;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the debt securities of such series, which is specified in a board resolution, a supplemental indenture thereto or an officer’s certificate delivered in connection therewith.</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(other than an event of default resulting from certain events relating to our or any guarantor’s bankruptcy, insolvency or reorganization) shall occur and be continuing, the trustee or the holders of at least 25% in aggregate principal amount of the then-outstanding debt securities of such series may declare the principal amount of all debt securities of such series (or such lesser amount as may be provided for in the case of discount securities), together with accrued and unpaid interest, if any, thereon, to be due and payable immediately by written notice to us. If an event of default resulting from certain events of our or any guarantor’s bankruptcy, insolvency or reorganization occurs, the principal amount of, and accrued and unpaid interest, if any, on, all outstanding debt securities will become due and payable immediately without any declaration or other act on the part of the trustee or any holder. Any provisions pertaining to events of default and any remedies associated therewith will be described in the applicable prospectus supplement.</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Any indenture that governs our debt securities covered by this prospectus may require that the trustee under such indenture shall, within 90 days after a default occurs with respect to debt securities of any series or, if later, after a responsible officer of the trustee has knowledge of such default, give to holders of debt securities of such series notice of such default known to it. However, except in the case of a default that results from the failure to make any payment of the principal of, or interest or premium, if any, on the debt securities of any series, the trustee may withhold such notice if it in good faith determines that the withholding of such notice is in the interest of the holders of debt securities of such series. Any terms and provisions relating to the foregoing types of provisions will be described in further detail in the applicable prospectus supplement.</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Any indenture that governs our debt securities covered by this prospectus will contain a provision entitling the trustee to be indemnified by holders of debt securities before instituting a proceeding or pursuing a remedy under the indenture at the request of such holders. Any such indenture may provide that the holders of at least a majority in aggregate principal amount of the then-outstanding debt securities of any series may direct the time, method and place of conducting any proceedings for any remedy available to the trustee, or of exercising any trust or power conferred upon the trustee with respect to the debt securities of such series. However, the trustee under any such indenture may decline to follow any such direction if, among other reasons, the trustee determines that the actions or proceedings as directed may not lawfully be taken, would involve the trustee in personal liability or would be unduly prejudicial to the holders of the debt securities of such series not joining in such direction.</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Any indenture that governs our debt securities covered by this prospectus may permit the holders of such debt securities to institute a proceeding with respect to such indenture, subject to certain conditions, which will be specified in the applicable prospectus supplement and which may include that the holders of at least 25% in aggregate principal amount of the debt securities of such series then-outstanding make a prior written request upon the trustee to exercise its power under the indenture, and offer reasonable indemnity to the trustee. Even so, such holders may have an absolute right to receipt of the principal of, or premium, if any, and interest when due, to require conversion or exchange of debt securities if such indenture provides for convertibility or exchangeability at the option of the holder and to institute suit for the enforcement of such rights. Any terms and provisions relating to the foregoing types of provisions will be described in further detail in the applicable prospectus supplement.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any guarantors and the trustee may amend or supplement any indenture that governs our debt securities, or the debt securities of one or more series, without the consent of any holder of any such debt security for certain limited purposes, including, without limitation:</w:t>
      </w:r>
    </w:p>
    <w:p>
      <w:pPr>
        <w:spacing w:after="0" w:line="68"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our obligations by a successor in the event of merger, consolidation or other transfer of properties or assets;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holders of our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guarantors or to secure the debt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of a new series of debt securities as permitted by the indenture;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any guarantors and the trustee may also amend or supplement any such indenture, and holders may waive compliance with any provision of the indenture or the debt securities, with the written consent of the holders of at least a majority in aggregate principal amount of the then-outstanding debt securities of each series affected by such amendment, supplement or waiver. However, without the consent of each holder affected, no amendment, supplement or waiver may;</w:t>
      </w:r>
    </w:p>
    <w:p>
      <w:pPr>
        <w:spacing w:after="0" w:line="75" w:lineRule="exact"/>
        <w:rPr>
          <w:sz w:val="20"/>
          <w:szCs w:val="20"/>
          <w:color w:val="auto"/>
        </w:rPr>
      </w:pPr>
    </w:p>
    <w:p>
      <w:pPr>
        <w:ind w:left="1000" w:right="29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debt securities whose holders must consent to an amendment, supplement or waiver;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on any debt security, including default interest;</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stated maturity of any debt security, or reduce the amount of, or postpone the date fixed for, any sinking fund payment or analogous obligation;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thereof;</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or interest on any debt security (except a rescission of acceleration by the holders of at least of majority in principal of the then-outstanding debt securities of such series and a waiver of the related payment default);</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on (if any), any debt security payable in any currency other than that stated in such debt security;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any holder’s unconditional right to receive payment of the principal of, or interest on (if any), any debt security on its stated maturity and to institute suit for the enforcement of any such payment;</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right of the holders of at least a majority in aggregate principal amount of the then- outstanding debt securities of each series to waive a past default and its consequences as provided in the indenture;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limitations on amendments as provided in the indenture;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(provided, that such redemption is made at our option);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a series are entitled to the benefit of a guarantee, release any guarantor other than as provided in the indenture or modify the guarantee in any manner adverse to the holders.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Defeasance; Satisfaction and Discharge</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prospectus supplement relating to the applicable debt securities will outline the conditions under which we may elect to have certain of our obligations under the indenture discharged and under which the indenture obligations will be deemed to be satisfied.</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Any indenture that governs our debt securities covered by this prospectus may provide that we may discharge our obligations under such debt securities and the indenture with respect to such debt securities if:</w:t>
      </w:r>
    </w:p>
    <w:p>
      <w:pPr>
        <w:spacing w:after="0" w:line="54" w:lineRule="exact"/>
        <w:rPr>
          <w:sz w:val="20"/>
          <w:szCs w:val="20"/>
          <w:color w:val="auto"/>
        </w:rPr>
      </w:pPr>
    </w:p>
    <w:p>
      <w:pPr>
        <w:jc w:val="both"/>
        <w:ind w:left="1000" w:right="299" w:hanging="348"/>
        <w:spacing w:after="0" w:line="255"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there shall have been canceled by the trustee under the indenture, or delivered to the trustee for cancellation, all debt securities of such series theretofore authenticated and delivered (other than debt securities that have been destroyed, lost or stolen and that have been replaced or paid); or (B) all such debt securities not theretofore delivered to the trustee for cancellation (i) have become due and payable (ii) will become due and payable within one year, (iii) have been called for redemption, (iv) are to be called for redemption within one year under arrangements satisfactory to the trustee, for the giving of notice of redemption by the trustee, or (v) have been deemed paid and discharged pursuant to the indenture;</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irrevocably deposited or caused to be deposited with the trustee funds in an amount sufficient to pay and discharge the entire indebtedness on the debt securities not theretofore delivered to the trustee for cancellation, for principal, premium, if any, and interest to the maturity or date of redemption;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all other sums payable by us under the indenture or deposited all other required sums with the trustee;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relating to the satisfaction and discharge of this indenture have been complied with.</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indenture that governs our debt securities covered by this prospectus may provide that we may be discharged from our obligations with respect to any debt securities, subject to certain exceptions. Further, any indenture that governs our debt securities covered by this prospectus may provide that we may be released from our obligations under certain sections of such indenture, subject to certain exceptions. In either case, such indenture may provide that certain conditions must be satisfied prior to such discharge or release, including, but not limited to:</w:t>
      </w:r>
    </w:p>
    <w:p>
      <w:pPr>
        <w:spacing w:after="0" w:line="75" w:lineRule="exact"/>
        <w:rPr>
          <w:sz w:val="20"/>
          <w:szCs w:val="20"/>
          <w:color w:val="auto"/>
        </w:rPr>
      </w:pPr>
    </w:p>
    <w:p>
      <w:pPr>
        <w:jc w:val="both"/>
        <w:ind w:left="1000" w:right="319" w:hanging="348"/>
        <w:spacing w:after="0" w:line="25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irrevocably deposited with the trustee, in trust, for the purpose of making the following payments, specifically pledged as security for, and dedicated solely to, the benefit of the holders of the debt securities, (a) money, (b) U.S. or foreign government obligations which through the scheduled payment of principal and interest in respect thereof in accordance with their terms will provide, not later than the due date of any payment, money, or (c) a combination thereof, in an amount sufficient to pay the entire indebtedness on such debt securities in respect of principal, accrued interest and premium, if any;</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continuing default or event of default with respect to such debt securities at the time of the deposit or after giving effect thereto;</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actions shall not result in a breach or violation of, or constitute a default under, any other agreement or instrument to which we are bound;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an officer’s certificate and an opinion of counsel relating to certain tax matters and that all conditions precedent relating to the defeasance have been complied with.</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will identify the trustee and any relationship that we may have with such trustee, with respect to any series of debt securities, in the prospectus supplement relating to the applicable debt securities. You should note that if the trustee becomes a creditor of the Company, the indenture and the Trust Indenture Act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it must eliminate such conflict or resign.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law governing the indenture and the debt securities will be governed by, and construed in accordance with, the internal laws of the State of New York.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for the warrants.</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54" w:lineRule="exact"/>
        <w:rPr>
          <w:sz w:val="20"/>
          <w:szCs w:val="20"/>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of the warrants and a description of that series of our preferred stock;</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our debt securities to be received upon exercise of the warrants, and a description of that series of debt securities;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the warrants may not be continuously exercised throughout that period, the specific date or dates on which the warrants may be exercised;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 or market;</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UNITS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the material terms and provisions of the units that we may offer under this prospectus. Units may be offered independently or together with common stock, preferred stock, debt securities, warrants and/or subscription rights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shares of common stock or preferred stock, debt securities, warrants and/or subscription rights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w:t>
      </w:r>
    </w:p>
    <w:p>
      <w:pPr>
        <w:spacing w:after="0" w:line="117" w:lineRule="exact"/>
        <w:rPr>
          <w:sz w:val="20"/>
          <w:szCs w:val="20"/>
          <w:color w:val="auto"/>
        </w:rPr>
      </w:pPr>
    </w:p>
    <w:p>
      <w:pPr>
        <w:ind w:left="1000" w:right="29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the unit agent,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5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w:t>
      </w:r>
      <w:r>
        <w:rPr>
          <w:rFonts w:ascii="Times New Roman" w:cs="Times New Roman" w:eastAsia="Times New Roman" w:hAnsi="Times New Roman"/>
          <w:sz w:val="18"/>
          <w:szCs w:val="18"/>
          <w:i w:val="1"/>
          <w:iCs w:val="1"/>
          <w:color w:val="auto"/>
        </w:rPr>
        <w:t>Description of Our Common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Our Preferred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Our Debt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Our Warrants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Our Subscription Rights</w:t>
      </w:r>
      <w:r>
        <w:rPr>
          <w:rFonts w:ascii="Times New Roman" w:cs="Times New Roman" w:eastAsia="Times New Roman" w:hAnsi="Times New Roman"/>
          <w:sz w:val="18"/>
          <w:szCs w:val="18"/>
          <w:color w:val="auto"/>
        </w:rPr>
        <w:t>,” will apply to each unit and to any common stock, preferred stock, debt securities, warrants or subscription rights included in each unit, respectively.</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units in such amounts and in numerous distinct series as we determine.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shares of our common stock, preferred stock or debt securities in one or more series together with other securities or separately, as described in each applicable prospectus supplement. Below is a description of certain general terms and provisions of the subscription rights that we may offer. Particular terms of the subscription rights will be described in the applicable subscription rights certificate or subscription rights agreement and the applicable prospectus supplement for the subscription rights.</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subscription rights:</w:t>
      </w:r>
    </w:p>
    <w:p>
      <w:pPr>
        <w:spacing w:after="0" w:line="54"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shares of our common stock, preferred stock or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securityholder;</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the shares of our common stock, preferred stock or debt securities which may be purchased per each subscription right;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subscription rights or the exercise price of the subscription rights;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subscription rights;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the subscription rights.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may sell the offered securities from time to time in one or more of the following ways, or in any combination thereof, or in any other way set forth in an applicable prospectus supplement:</w:t>
      </w:r>
    </w:p>
    <w:p>
      <w:pPr>
        <w:spacing w:after="0" w:line="54"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dealers;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agents;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 to a single purchaser;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block trades;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forward contracts, hedging transactions or other derivative transactions;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17"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including in “at the market offerings” within the meaning of Rule 415(a)(4) of the Securities Act;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each offering, a prospectus supplement will describe the method of distribution of the securities and any applicable restrictions. Such prospectus supplement will also describe the specific terms of the offering of the securities, including the following:</w:t>
      </w:r>
    </w:p>
    <w:p>
      <w:pPr>
        <w:spacing w:after="0" w:line="68" w:lineRule="exact"/>
        <w:rPr>
          <w:sz w:val="20"/>
          <w:szCs w:val="20"/>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securities underwritten or purchased by each of them;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of the securities and the proceeds to us from the sale of the securities;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agency fees or other items constituting underwriters’ or agents’ compensation, and any discounts or concessions allowed, reallowed or paid to dealers;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Any offering price and any discounts or concessions allowed, reallowed or paid to dealers may be changed from time to time. The maximum compensation to underwriters or dealers in connection with any offering pursuant to this prospectus and the accompanying prospectus supplement may not exceed the limits specified in the applicable guidelines of the Financial Industry Regulatory Authority.</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Only the agents or underwriters named in each prospectus supplement are agents or underwriters in connection with the securities being offered thereby.</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By Underwriters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underwriters are used in the sale, the securities will be acquired by the underwriters for their own account and may be resold from time to time in one or more transactions, including negotiated transactions, at a fixed public offering price, at market prices prevailing at the time of sale, at prices related to prevailing market prices or at negotiated prices. Underwriters may offer the securities directly or through underwriting syndicates represented by one or more managing underwriters. Unless otherwise set forth in the applicable prospectus supplement, the obligations of the underwriters to purchase the securities will be subject to certain conditions precedent.</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By Dealers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dealers are used in the sale, unless otherwise specified in the applicable prospectus supplement, we will sell the securities to the dealers as principals. The dealers may then resell the securities to the public at varying prices to be determined by the dealers at the time of resale. The applicable prospectus supplement will contain more information about the dealers, including the names of the dealers and the terms of our agreement with them.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By Agents and Direct Sales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sell the securities directly to the public, without the use of underwriters, dealers or agents. We may also sell the securities through agents designated by us from time to time. Any agent involved in the offer or sale of the securities will be named, and any commissions payable by us to such agents will be set forth, in the applicable prospectus supplement. Agents will be acting on a best efforts basis to solicit purchases for the period of their appointment, unless otherwise stated in the applicable prospectus supplement.</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also may engage a broker-dealer from time to time to act as agent or principal for the offer of the securities in one or more placements pursuant to a distribution agreement. If we and the broker-dealer agree, we will sell to the broker-dealer as agent or as principal, and the broker-dealer will seek to solicit offers to purchase on an agency basis and/or will purchase on a principal basis, the securities. The number and purchase price (less an underwriting discount) of the securities we sell to the broker-dealer will be mutually agreed on the relevant trading day. The securities sold under the distribution agreement will be sold at prices related to the prevailing market price for such securities, and therefore exact figures regarding the price, proceeds that will be raised or commissions to be paid will be described in a prospectus supplement to this prospectus or in other filings made in accordance with and as permitted by the Securities Act and the Exchange Act. The broker-dealer may make sales of the securities pursuant to the distribution agreement in privately negotiated transactions and/or any other method permitted by law deemed to be an “at-the-market” offering as defined in Rule 415 promulgated under the Securities Act including sales made on the New York Stock Exchange, the current trading market for our common stock.</w:t>
      </w: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the securities may be deemed underwriters as defined in the Securities Act, and any discounts or commissions we pay to them and any profit made by them on the resale of the securities may be treated as underwriting discounts and commissions under the Securities Act. Any underwriters, dealers or agents will be identified and their compensation from us will be described in the applicable prospectus supplement. Any initial public offering price and any discounts or concessions allowed or reallowed or paid to dealers may be changed from time to time.</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may agree with the underwriters, dealers and agents to indemnify them against certain civil liabilities, including liabilities under the Securities Act, or to contribute with respect to payments which the underwriters, dealers or agents may be required to make.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Underwriters, dealers and agents may be customers of, engage in transactions with or perform services for, us in the ordinary course of their businesses. We will describe in the applicable prospectus supplement naming the underwriters, dealers or agents, the nature of any material relationship between us and the underwriters, dealers or agents, respectively. Unless otherwise specified in the applicable prospectus supplement, each class or series of securities will be a new issue with no established trading market, other than our common stock, which is listed on the New York Stock Exchange.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by the Company will be passed upon for us by Troutman Pepper Locke LLP, Philadelphia, Pennsylvania. As appropriate, legal counsel representing the underwriters, dealers or agents will be named in the accompanying prospectus supplement and may opine to certain legal matters.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 Because the prospectus may not contain all the information that you may find important, you should review the full text of these documents.</w:t>
      </w:r>
    </w:p>
    <w:p>
      <w:pPr>
        <w:spacing w:after="0" w:line="81"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read our SEC filings, including the registration statement, over the Internet at the SEC’s website at www.sec.gov. We also maintain a website at www.vishay.com, at which you may access these materials free of charge as soon as reasonably practicable after they are electronically filed with, or furnished to, the SEC. Information contained on, or that can be accessed through, our website is not incorporated by reference into this prospectus and does not constitute part of this prospectus.</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addition, you may request copies of these filings at no cost, by writing or telephoning us at the following address or telephone number: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 of the Corporate Secretary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Vishay Intertechnology,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 Lancaster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Malvern, Pennsylvania 19355</w:t>
      </w:r>
    </w:p>
    <w:p>
      <w:pPr>
        <w:spacing w:after="0" w:line="9" w:lineRule="exact"/>
        <w:rPr>
          <w:sz w:val="20"/>
          <w:szCs w:val="20"/>
          <w:color w:val="auto"/>
        </w:rPr>
      </w:pPr>
    </w:p>
    <w:p>
      <w:pPr>
        <w:ind w:left="4380" w:hanging="438"/>
        <w:spacing w:after="0"/>
        <w:tabs>
          <w:tab w:leader="none" w:pos="4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644-1300</w:t>
      </w:r>
    </w:p>
    <w:p>
      <w:pPr>
        <w:spacing w:after="0" w:line="206"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Our Commission filing number is 011-07416. The information incorporated by reference is considered a part of this prospectus, and information that we file later with the SEC will automatically update and supersede this information.</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spacing w:after="0" w:line="72" w:lineRule="exact"/>
        <w:rPr>
          <w:sz w:val="20"/>
          <w:szCs w:val="20"/>
          <w:color w:val="auto"/>
        </w:rPr>
      </w:pPr>
    </w:p>
    <w:p>
      <w:pPr>
        <w:ind w:left="1000" w:right="319" w:hanging="348"/>
        <w:spacing w:after="0" w:line="282" w:lineRule="auto"/>
        <w:tabs>
          <w:tab w:leader="none" w:pos="1000" w:val="left"/>
        </w:tabs>
        <w:numPr>
          <w:ilvl w:val="0"/>
          <w:numId w:val="4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our Annual Report on Form 10-K for the year ended December 31, 2025, filed with the SEC on </w:t>
      </w:r>
      <w:hyperlink r:id="rId54">
        <w:r>
          <w:rPr>
            <w:rFonts w:ascii="Times New Roman" w:cs="Times New Roman" w:eastAsia="Times New Roman" w:hAnsi="Times New Roman"/>
            <w:sz w:val="18"/>
            <w:szCs w:val="18"/>
            <w:u w:val="single" w:color="auto"/>
            <w:color w:val="0000EE"/>
          </w:rPr>
          <w:t>February 13, 2026;</w:t>
        </w:r>
      </w:hyperlink>
    </w:p>
    <w:p>
      <w:pPr>
        <w:spacing w:after="0" w:line="53" w:lineRule="exact"/>
        <w:rPr>
          <w:rFonts w:ascii="Times New Roman" w:cs="Times New Roman" w:eastAsia="Times New Roman" w:hAnsi="Times New Roman"/>
          <w:sz w:val="18"/>
          <w:szCs w:val="18"/>
          <w:u w:val="single" w:color="auto"/>
          <w:color w:val="0000EE"/>
        </w:rPr>
      </w:pPr>
    </w:p>
    <w:p>
      <w:pPr>
        <w:jc w:val="both"/>
        <w:ind w:left="1000" w:right="319" w:hanging="348"/>
        <w:spacing w:after="0" w:line="266" w:lineRule="auto"/>
        <w:tabs>
          <w:tab w:leader="none" w:pos="1000" w:val="left"/>
        </w:tabs>
        <w:numPr>
          <w:ilvl w:val="0"/>
          <w:numId w:val="4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portions of our Definitive Proxy Statement on Schedule 14A, filed with the SEC on </w:t>
      </w:r>
      <w:hyperlink r:id="rId55">
        <w:r>
          <w:rPr>
            <w:rFonts w:ascii="Times New Roman" w:cs="Times New Roman" w:eastAsia="Times New Roman" w:hAnsi="Times New Roman"/>
            <w:sz w:val="18"/>
            <w:szCs w:val="18"/>
            <w:u w:val="single" w:color="auto"/>
            <w:color w:val="0000EE"/>
          </w:rPr>
          <w:t>April 8,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that were incorporated by reference into Part III of our Annual Report on Form 10-K for the fiscal year ended </w:t>
      </w:r>
      <w:hyperlink r:id="rId54">
        <w:r>
          <w:rPr>
            <w:rFonts w:ascii="Times New Roman" w:cs="Times New Roman" w:eastAsia="Times New Roman" w:hAnsi="Times New Roman"/>
            <w:sz w:val="18"/>
            <w:szCs w:val="18"/>
            <w:u w:val="single" w:color="auto"/>
            <w:color w:val="0000EE"/>
          </w:rPr>
          <w:t>December 31, 2025</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43"/>
        </w:numPr>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auto"/>
          </w:rPr>
          <w:t xml:space="preserve">our Quarterly Report on Form 10-Q for the quarter ended April 4, 2026, filed with the SEC on </w:t>
        </w:r>
        <w:r>
          <w:rPr>
            <w:rFonts w:ascii="Times New Roman" w:cs="Times New Roman" w:eastAsia="Times New Roman" w:hAnsi="Times New Roman"/>
            <w:sz w:val="18"/>
            <w:szCs w:val="18"/>
            <w:u w:val="single" w:color="auto"/>
            <w:color w:val="0000EE"/>
          </w:rPr>
          <w:t>May 13,</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jc w:val="both"/>
        <w:ind w:left="1000" w:right="299" w:hanging="348"/>
        <w:spacing w:after="0" w:line="266" w:lineRule="auto"/>
        <w:tabs>
          <w:tab w:leader="none" w:pos="1000" w:val="left"/>
        </w:tabs>
        <w:numPr>
          <w:ilvl w:val="0"/>
          <w:numId w:val="43"/>
        </w:numPr>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25,</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9">
        <w:r>
          <w:rPr>
            <w:rFonts w:ascii="Times New Roman" w:cs="Times New Roman" w:eastAsia="Times New Roman" w:hAnsi="Times New Roman"/>
            <w:sz w:val="18"/>
            <w:szCs w:val="18"/>
            <w:u w:val="single" w:color="auto"/>
            <w:color w:val="0000EE"/>
          </w:rPr>
          <w:t>May 18, 2026</w:t>
        </w:r>
      </w:hyperlink>
      <w:hyperlink r:id="rId58">
        <w:r>
          <w:rPr>
            <w:rFonts w:ascii="Times New Roman" w:cs="Times New Roman" w:eastAsia="Times New Roman" w:hAnsi="Times New Roman"/>
            <w:sz w:val="18"/>
            <w:szCs w:val="18"/>
            <w:color w:val="000000"/>
          </w:rPr>
          <w:t>, in each case only to the extent the information in such report is filed and not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furnished; and</w:t>
      </w:r>
    </w:p>
    <w:p>
      <w:pPr>
        <w:spacing w:after="0" w:line="67" w:lineRule="exact"/>
        <w:rPr>
          <w:rFonts w:ascii="Times New Roman" w:cs="Times New Roman" w:eastAsia="Times New Roman" w:hAnsi="Times New Roman"/>
          <w:sz w:val="18"/>
          <w:szCs w:val="18"/>
          <w:color w:val="0000EE"/>
        </w:rPr>
      </w:pPr>
    </w:p>
    <w:p>
      <w:pPr>
        <w:jc w:val="both"/>
        <w:ind w:left="1000" w:right="319" w:hanging="348"/>
        <w:spacing w:after="0" w:line="263" w:lineRule="auto"/>
        <w:tabs>
          <w:tab w:leader="none" w:pos="1000" w:val="left"/>
        </w:tabs>
        <w:numPr>
          <w:ilvl w:val="0"/>
          <w:numId w:val="43"/>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description of our common stock registered under Section 12 of the Exchange Act contained in </w:t>
      </w:r>
      <w:hyperlink r:id="rId60">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Quarterly Report on Form 10-Q for the quarter ended October 1, 2022, filed with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SEC on </w:t>
      </w:r>
      <w:hyperlink r:id="rId93">
        <w:r>
          <w:rPr>
            <w:rFonts w:ascii="Times New Roman" w:cs="Times New Roman" w:eastAsia="Times New Roman" w:hAnsi="Times New Roman"/>
            <w:sz w:val="18"/>
            <w:szCs w:val="18"/>
            <w:u w:val="single" w:color="auto"/>
            <w:color w:val="0000EE"/>
          </w:rPr>
          <w:t>November 2, 2022</w:t>
        </w:r>
      </w:hyperlink>
      <w:r>
        <w:rPr>
          <w:rFonts w:ascii="Times New Roman" w:cs="Times New Roman" w:eastAsia="Times New Roman" w:hAnsi="Times New Roman"/>
          <w:sz w:val="18"/>
          <w:szCs w:val="18"/>
          <w:color w:val="000000"/>
        </w:rPr>
        <w:t>, including any amendment or report filed for the purpose of updating such description.</w:t>
      </w:r>
    </w:p>
    <w:p>
      <w:pPr>
        <w:spacing w:after="0" w:line="292" w:lineRule="exact"/>
        <w:rPr>
          <w:rFonts w:ascii="Times New Roman" w:cs="Times New Roman" w:eastAsia="Times New Roman" w:hAnsi="Times New Roman"/>
          <w:sz w:val="18"/>
          <w:szCs w:val="18"/>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addition, we also incorporate by reference additional documents that we may file with the SEC under Sections 13(a), 13(c), 14 or 15(d) of the Exchange Act after the date of this prospectus and until the termination of this offering. These documents include periodic reports, such as Annual Reports on Form 10-K, Quarterly Reports on Form 10-Q and Current Reports on Form 8-K, as well as proxy statements. Nothing in this prospectus shall be deemed to incorporate information furnished but not filed with the SEC pursuant to Item 2.02 or Item 7.01 (or corresponding information furnished under Item 9.01 or included as an exhibit) of Form 8-K, unless such Form 8-K expressly provides to the contrary.</w:t>
      </w:r>
    </w:p>
    <w:p>
      <w:pPr>
        <w:spacing w:after="0" w:line="81"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encourage you to read our periodic and current reports. We believe these reports provide additional information about our company which prudent investors find important. You may request a copy of these filings as well as any future filings incorporated by reference, at no cost, by writing or telephoning us at our principal executive offices. To obtain copies of these filings,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of this prospectus.</w:t>
      </w:r>
    </w:p>
    <w:p>
      <w:pPr>
        <w:spacing w:after="0" w:line="75"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else to provide you with different information. We are not making an offer of these securities in any jurisdiction where the offer or sale is not permitted. You should not assume that the information in this prospectus or any prospectus supplement is accurate as of any date other than the date on the front of those documents.</w:t>
      </w:r>
    </w:p>
    <w:p>
      <w:pPr>
        <w:spacing w:after="0" w:line="75" w:lineRule="exact"/>
        <w:rPr>
          <w:rFonts w:ascii="Times New Roman" w:cs="Times New Roman" w:eastAsia="Times New Roman" w:hAnsi="Times New Roman"/>
          <w:sz w:val="18"/>
          <w:szCs w:val="18"/>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prospectus supplement will be deemed to be modified or superseded for purposes of the document to the extent that a statement contained in this prospectus supplement or any other subsequently filed document that is deemed to be incorporated by reference into this prospectus supplement modifies or supersedes the statement.</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523875</wp:posOffset>
            </wp:positionV>
            <wp:extent cx="968375" cy="814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9683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Vishay Intertechnology,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584200</wp:posOffset>
            </wp:positionV>
            <wp:extent cx="10972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Lead Book-Running Manager</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J.P. Morgan</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Book-Running Managers</w:t>
      </w:r>
    </w:p>
    <w:p>
      <w:pPr>
        <w:spacing w:after="0" w:line="278" w:lineRule="exact"/>
        <w:rPr>
          <w:sz w:val="20"/>
          <w:szCs w:val="20"/>
          <w:color w:val="auto"/>
        </w:rPr>
      </w:pPr>
    </w:p>
    <w:p>
      <w:pPr>
        <w:ind w:left="400"/>
        <w:spacing w:after="0"/>
        <w:tabs>
          <w:tab w:leader="none" w:pos="6700" w:val="left"/>
        </w:tabs>
        <w:rPr>
          <w:sz w:val="20"/>
          <w:szCs w:val="20"/>
          <w:color w:val="auto"/>
        </w:rPr>
      </w:pPr>
      <w:r>
        <w:rPr>
          <w:rFonts w:ascii="Times New Roman" w:cs="Times New Roman" w:eastAsia="Times New Roman" w:hAnsi="Times New Roman"/>
          <w:sz w:val="22"/>
          <w:szCs w:val="22"/>
          <w:b w:val="1"/>
          <w:bCs w:val="1"/>
          <w:color w:val="auto"/>
        </w:rPr>
        <w:t>Needham &amp; Company</w:t>
      </w:r>
      <w:r>
        <w:rPr>
          <w:sz w:val="20"/>
          <w:szCs w:val="20"/>
          <w:color w:val="auto"/>
        </w:rPr>
        <w:tab/>
      </w:r>
      <w:r>
        <w:rPr>
          <w:rFonts w:ascii="Times New Roman" w:cs="Times New Roman" w:eastAsia="Times New Roman" w:hAnsi="Times New Roman"/>
          <w:sz w:val="21"/>
          <w:szCs w:val="21"/>
          <w:b w:val="1"/>
          <w:bCs w:val="1"/>
          <w:color w:val="auto"/>
        </w:rPr>
        <w:t>Oppenheimer &amp; Co.</w:t>
      </w:r>
    </w:p>
    <w:p>
      <w:pPr>
        <w:spacing w:after="0" w:line="328" w:lineRule="exact"/>
        <w:rPr>
          <w:sz w:val="20"/>
          <w:szCs w:val="20"/>
          <w:color w:val="auto"/>
        </w:rPr>
      </w:pPr>
    </w:p>
    <w:p>
      <w:pPr>
        <w:ind w:left="400"/>
        <w:spacing w:after="0"/>
        <w:tabs>
          <w:tab w:leader="none" w:pos="4080" w:val="left"/>
        </w:tabs>
        <w:rPr>
          <w:sz w:val="20"/>
          <w:szCs w:val="20"/>
          <w:color w:val="auto"/>
        </w:rPr>
      </w:pPr>
      <w:r>
        <w:rPr>
          <w:rFonts w:ascii="Times New Roman" w:cs="Times New Roman" w:eastAsia="Times New Roman" w:hAnsi="Times New Roman"/>
          <w:sz w:val="22"/>
          <w:szCs w:val="22"/>
          <w:b w:val="1"/>
          <w:bCs w:val="1"/>
          <w:color w:val="auto"/>
        </w:rPr>
        <w:t>Raymond James</w:t>
      </w:r>
      <w:r>
        <w:rPr>
          <w:sz w:val="20"/>
          <w:szCs w:val="20"/>
          <w:color w:val="auto"/>
        </w:rPr>
        <w:tab/>
      </w:r>
      <w:r>
        <w:rPr>
          <w:rFonts w:ascii="Times New Roman" w:cs="Times New Roman" w:eastAsia="Times New Roman" w:hAnsi="Times New Roman"/>
          <w:sz w:val="21"/>
          <w:szCs w:val="21"/>
          <w:b w:val="1"/>
          <w:bCs w:val="1"/>
          <w:color w:val="auto"/>
        </w:rPr>
        <w:t>TD</w:t>
      </w:r>
    </w:p>
    <w:p>
      <w:pPr>
        <w:spacing w:after="0" w:line="18" w:lineRule="exact"/>
        <w:rPr>
          <w:sz w:val="20"/>
          <w:szCs w:val="20"/>
          <w:color w:val="auto"/>
        </w:rPr>
      </w:pPr>
    </w:p>
    <w:p>
      <w:pPr>
        <w:jc w:val="both"/>
        <w:ind w:left="4100"/>
        <w:spacing w:after="0"/>
        <w:tabs>
          <w:tab w:leader="none" w:pos="7040" w:val="left"/>
        </w:tabs>
        <w:rPr>
          <w:sz w:val="20"/>
          <w:szCs w:val="20"/>
          <w:color w:val="auto"/>
        </w:rPr>
      </w:pPr>
      <w:r>
        <w:rPr>
          <w:rFonts w:ascii="Times New Roman" w:cs="Times New Roman" w:eastAsia="Times New Roman" w:hAnsi="Times New Roman"/>
          <w:sz w:val="22"/>
          <w:szCs w:val="22"/>
          <w:b w:val="1"/>
          <w:bCs w:val="1"/>
          <w:color w:val="auto"/>
        </w:rPr>
        <w:t>Cowen</w:t>
      </w:r>
      <w:r>
        <w:rPr>
          <w:sz w:val="20"/>
          <w:szCs w:val="20"/>
          <w:color w:val="auto"/>
        </w:rPr>
        <w:tab/>
      </w:r>
      <w:r>
        <w:rPr>
          <w:rFonts w:ascii="Times New Roman" w:cs="Times New Roman" w:eastAsia="Times New Roman" w:hAnsi="Times New Roman"/>
          <w:sz w:val="22"/>
          <w:szCs w:val="22"/>
          <w:b w:val="1"/>
          <w:bCs w:val="1"/>
          <w:color w:val="auto"/>
        </w:rPr>
        <w:t>Truist Securities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Co-Managers</w:t>
      </w:r>
    </w:p>
    <w:p>
      <w:pPr>
        <w:spacing w:after="0" w:line="301" w:lineRule="exact"/>
        <w:rPr>
          <w:sz w:val="20"/>
          <w:szCs w:val="20"/>
          <w:color w:val="auto"/>
        </w:rPr>
      </w:pPr>
    </w:p>
    <w:p>
      <w:pPr>
        <w:ind w:left="400"/>
        <w:spacing w:after="0"/>
        <w:tabs>
          <w:tab w:leader="none" w:pos="3040" w:val="left"/>
          <w:tab w:leader="none" w:pos="5060" w:val="left"/>
          <w:tab w:leader="none" w:pos="7820" w:val="left"/>
        </w:tabs>
        <w:rPr>
          <w:sz w:val="20"/>
          <w:szCs w:val="20"/>
          <w:color w:val="auto"/>
        </w:rPr>
      </w:pPr>
      <w:r>
        <w:rPr>
          <w:rFonts w:ascii="Times New Roman" w:cs="Times New Roman" w:eastAsia="Times New Roman" w:hAnsi="Times New Roman"/>
          <w:sz w:val="18"/>
          <w:szCs w:val="18"/>
          <w:b w:val="1"/>
          <w:bCs w:val="1"/>
          <w:color w:val="auto"/>
        </w:rPr>
        <w:t>Fifth Third Securities</w:t>
      </w:r>
      <w:r>
        <w:rPr>
          <w:sz w:val="20"/>
          <w:szCs w:val="20"/>
          <w:color w:val="auto"/>
        </w:rPr>
        <w:tab/>
      </w:r>
      <w:r>
        <w:rPr>
          <w:rFonts w:ascii="Times New Roman" w:cs="Times New Roman" w:eastAsia="Times New Roman" w:hAnsi="Times New Roman"/>
          <w:sz w:val="18"/>
          <w:szCs w:val="18"/>
          <w:b w:val="1"/>
          <w:bCs w:val="1"/>
          <w:color w:val="auto"/>
        </w:rPr>
        <w:t>MUFG</w:t>
      </w:r>
      <w:r>
        <w:rPr>
          <w:sz w:val="20"/>
          <w:szCs w:val="20"/>
          <w:color w:val="auto"/>
        </w:rPr>
        <w:tab/>
      </w:r>
      <w:r>
        <w:rPr>
          <w:rFonts w:ascii="Times New Roman" w:cs="Times New Roman" w:eastAsia="Times New Roman" w:hAnsi="Times New Roman"/>
          <w:sz w:val="18"/>
          <w:szCs w:val="18"/>
          <w:b w:val="1"/>
          <w:bCs w:val="1"/>
          <w:color w:val="auto"/>
        </w:rPr>
        <w:t>Santander</w:t>
      </w:r>
      <w:r>
        <w:rPr>
          <w:sz w:val="20"/>
          <w:szCs w:val="20"/>
          <w:color w:val="auto"/>
        </w:rPr>
        <w:tab/>
      </w:r>
      <w:r>
        <w:rPr>
          <w:rFonts w:ascii="Times New Roman" w:cs="Times New Roman" w:eastAsia="Times New Roman" w:hAnsi="Times New Roman"/>
          <w:sz w:val="17"/>
          <w:szCs w:val="17"/>
          <w:b w:val="1"/>
          <w:bCs w:val="1"/>
          <w:color w:val="auto"/>
        </w:rPr>
        <w:t>UniCredit</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163195</wp:posOffset>
            </wp:positionV>
            <wp:extent cx="52120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214630</wp:posOffset>
            </wp:positionV>
            <wp:extent cx="52120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1"/>
    </w:lvl>
    <w:lvl w:ilvl="1">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lowerRoman"/>
      <w:start w:val="2"/>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lowerRoman"/>
      <w:start w:val="4"/>
    </w:lvl>
  </w:abstractNum>
  <w:abstractNum w:abstractNumId="13">
    <w:nsid w:val="836C40E"/>
    <w:multiLevelType w:val="hybridMultilevel"/>
    <w:lvl w:ilvl="0">
      <w:lvlJc w:val="left"/>
      <w:lvlText w:val="(%1)"/>
      <w:numFmt w:val="lowerLetter"/>
      <w:start w:val="2"/>
    </w:lvl>
  </w:abstractNum>
  <w:abstractNum w:abstractNumId="14">
    <w:nsid w:val="2901D82"/>
    <w:multiLevelType w:val="hybridMultilevel"/>
    <w:lvl w:ilvl="0">
      <w:lvlJc w:val="left"/>
      <w:lvlText w:val="(%1)"/>
      <w:numFmt w:val="lowerLetter"/>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decimal"/>
      <w:start w:val="610"/>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lowerRoman"/>
      <w:start w:val="3"/>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610"/>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jpe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jpe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54" Type="http://schemas.openxmlformats.org/officeDocument/2006/relationships/hyperlink" Target="https://www.sec.gov/ix?doc=/Archives/edgar/data/0000103730/000010373026000019/form10k.htm" TargetMode="External"/><Relationship Id="rId55" Type="http://schemas.openxmlformats.org/officeDocument/2006/relationships/hyperlink" Target="https://www.sec.gov/ix?doc=/Archives/edgar/data/0000103730/000010373026000029/vishay_def14a.htm" TargetMode="External"/><Relationship Id="rId56" Type="http://schemas.openxmlformats.org/officeDocument/2006/relationships/hyperlink" Target="https://www.sec.gov/ix?doc=/Archives/edgar/data/103730/000010373026000019/form10k.htm" TargetMode="External"/><Relationship Id="rId57" Type="http://schemas.openxmlformats.org/officeDocument/2006/relationships/hyperlink" Target="https://www.sec.gov/ix?doc=/Archives/edgar/data/0000103730/000010373026000038/vishayintertech_10q.htm" TargetMode="External"/><Relationship Id="rId58" Type="http://schemas.openxmlformats.org/officeDocument/2006/relationships/hyperlink" Target="https://www.sec.gov/ix?doc=/Archives/edgar/data/0000103730/000010373026000023/form8-k.htm" TargetMode="External"/><Relationship Id="rId59" Type="http://schemas.openxmlformats.org/officeDocument/2006/relationships/hyperlink" Target="https://www.sec.gov/ix?doc=/Archives/edgar/data/0000103730/000010373026000043/form8-k.htm" TargetMode="External"/><Relationship Id="rId60" Type="http://schemas.openxmlformats.org/officeDocument/2006/relationships/hyperlink" Target="https://www.sec.gov/Archives/edgar/data/103730/000010373022000072/exhibit4-1.htm" TargetMode="External"/><Relationship Id="rId61" Type="http://schemas.openxmlformats.org/officeDocument/2006/relationships/hyperlink" Target="https://www.sec.gov/ix?doc=/Archives/edgar/data/103730/000010373022000072/vishayintertech_10q.htm" TargetMode="External"/><Relationship Id="rId70" Type="http://schemas.openxmlformats.org/officeDocument/2006/relationships/hyperlink" Target="https://www.sec.gov/ix?doc=/Archives/edgar/data/103730/000010373026000038/vishayintertech_10q.htm" TargetMode="External"/><Relationship Id="rId93" Type="http://schemas.openxmlformats.org/officeDocument/2006/relationships/hyperlink" Target="https://www.sec.gov/ix?doc=/Archives/edgar/data/0000103730/000010373022000072/vishayintertech_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2026-06-29T16:37:49Z</dcterms:created>
  <dcterms:modified xsi:type="dcterms:W3CDTF">2026-06-29T16:37:49Z</dcterms:modified>
</cp:coreProperties>
</file>