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7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Vishay Intertechnology, Inc.</w:t>
      </w:r>
    </w:p>
    <w:p>
      <w:pPr>
        <w:spacing w:after="0" w:line="28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49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color w:val="auto"/>
                <w:w w:val="97"/>
              </w:rPr>
              <w:t>Delaware</w:t>
            </w:r>
          </w:p>
        </w:tc>
        <w:tc>
          <w:tcPr>
            <w:tcW w:w="21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color w:val="auto"/>
                <w:w w:val="99"/>
              </w:rPr>
              <w:t>1-7416</w:t>
            </w: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38-1686453</w:t>
            </w:r>
          </w:p>
        </w:tc>
      </w:tr>
      <w:tr>
        <w:trPr>
          <w:trHeight w:val="216"/>
        </w:trPr>
        <w:tc>
          <w:tcPr>
            <w:tcW w:w="4940" w:type="dxa"/>
            <w:vAlign w:val="bottom"/>
          </w:tcPr>
          <w:p>
            <w:pPr>
              <w:jc w:val="center"/>
              <w:ind w:right="32"/>
              <w:spacing w:after="0" w:line="216" w:lineRule="exact"/>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2140" w:type="dxa"/>
            <w:vAlign w:val="bottom"/>
          </w:tcPr>
          <w:p>
            <w:pPr>
              <w:jc w:val="center"/>
              <w:ind w:right="152"/>
              <w:spacing w:after="0" w:line="216" w:lineRule="exact"/>
              <w:rPr>
                <w:sz w:val="20"/>
                <w:szCs w:val="20"/>
                <w:color w:val="auto"/>
              </w:rPr>
            </w:pPr>
            <w:r>
              <w:rPr>
                <w:rFonts w:ascii="Times New Roman" w:cs="Times New Roman" w:eastAsia="Times New Roman" w:hAnsi="Times New Roman"/>
                <w:sz w:val="22"/>
                <w:szCs w:val="22"/>
                <w:color w:val="auto"/>
                <w:w w:val="98"/>
              </w:rPr>
              <w:t>(Commission File</w:t>
            </w:r>
          </w:p>
        </w:tc>
        <w:tc>
          <w:tcPr>
            <w:tcW w:w="4160" w:type="dxa"/>
            <w:vAlign w:val="bottom"/>
          </w:tcPr>
          <w:p>
            <w:pPr>
              <w:jc w:val="center"/>
              <w:ind w:left="112"/>
              <w:spacing w:after="0" w:line="216" w:lineRule="exact"/>
              <w:rPr>
                <w:sz w:val="20"/>
                <w:szCs w:val="20"/>
                <w:color w:val="auto"/>
              </w:rPr>
            </w:pPr>
            <w:r>
              <w:rPr>
                <w:rFonts w:ascii="Times New Roman" w:cs="Times New Roman" w:eastAsia="Times New Roman" w:hAnsi="Times New Roman"/>
                <w:sz w:val="22"/>
                <w:szCs w:val="22"/>
                <w:color w:val="auto"/>
                <w:w w:val="98"/>
              </w:rPr>
              <w:t>(I.R.S. Employer Identification Number)</w:t>
            </w:r>
          </w:p>
        </w:tc>
      </w:tr>
      <w:tr>
        <w:trPr>
          <w:trHeight w:val="282"/>
        </w:trPr>
        <w:tc>
          <w:tcPr>
            <w:tcW w:w="4940" w:type="dxa"/>
            <w:vAlign w:val="bottom"/>
          </w:tcPr>
          <w:p>
            <w:pPr>
              <w:spacing w:after="0"/>
              <w:rPr>
                <w:sz w:val="24"/>
                <w:szCs w:val="24"/>
                <w:color w:val="auto"/>
              </w:rPr>
            </w:pPr>
          </w:p>
        </w:tc>
        <w:tc>
          <w:tcPr>
            <w:tcW w:w="2140" w:type="dxa"/>
            <w:vAlign w:val="bottom"/>
          </w:tcPr>
          <w:p>
            <w:pPr>
              <w:jc w:val="center"/>
              <w:ind w:right="172"/>
              <w:spacing w:after="0"/>
              <w:rPr>
                <w:sz w:val="20"/>
                <w:szCs w:val="20"/>
                <w:color w:val="auto"/>
              </w:rPr>
            </w:pPr>
            <w:r>
              <w:rPr>
                <w:rFonts w:ascii="Times New Roman" w:cs="Times New Roman" w:eastAsia="Times New Roman" w:hAnsi="Times New Roman"/>
                <w:sz w:val="22"/>
                <w:szCs w:val="22"/>
                <w:color w:val="auto"/>
                <w:w w:val="98"/>
              </w:rPr>
              <w:t>Number)</w:t>
            </w:r>
          </w:p>
        </w:tc>
        <w:tc>
          <w:tcPr>
            <w:tcW w:w="4160" w:type="dxa"/>
            <w:vAlign w:val="bottom"/>
          </w:tcPr>
          <w:p>
            <w:pPr>
              <w:spacing w:after="0"/>
              <w:rPr>
                <w:sz w:val="24"/>
                <w:szCs w:val="24"/>
                <w:color w:val="auto"/>
              </w:rPr>
            </w:pPr>
          </w:p>
        </w:tc>
      </w:tr>
      <w:tr>
        <w:trPr>
          <w:trHeight w:val="690"/>
        </w:trPr>
        <w:tc>
          <w:tcPr>
            <w:tcW w:w="4940" w:type="dxa"/>
            <w:vAlign w:val="bottom"/>
          </w:tcPr>
          <w:p>
            <w:pPr>
              <w:jc w:val="center"/>
              <w:ind w:left="2252"/>
              <w:spacing w:after="0"/>
              <w:rPr>
                <w:sz w:val="20"/>
                <w:szCs w:val="20"/>
                <w:color w:val="auto"/>
              </w:rPr>
            </w:pPr>
            <w:r>
              <w:rPr>
                <w:rFonts w:ascii="Times New Roman" w:cs="Times New Roman" w:eastAsia="Times New Roman" w:hAnsi="Times New Roman"/>
                <w:sz w:val="22"/>
                <w:szCs w:val="22"/>
                <w:color w:val="auto"/>
                <w:w w:val="97"/>
              </w:rPr>
              <w:t>63 Lancaster Avenue</w:t>
            </w:r>
          </w:p>
        </w:tc>
        <w:tc>
          <w:tcPr>
            <w:tcW w:w="2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77"/>
        </w:trPr>
        <w:tc>
          <w:tcPr>
            <w:tcW w:w="4940" w:type="dxa"/>
            <w:vAlign w:val="bottom"/>
            <w:tcBorders>
              <w:bottom w:val="single" w:sz="8" w:color="auto"/>
            </w:tcBorders>
          </w:tcPr>
          <w:p>
            <w:pPr>
              <w:jc w:val="center"/>
              <w:ind w:left="2272"/>
              <w:spacing w:after="0"/>
              <w:rPr>
                <w:sz w:val="20"/>
                <w:szCs w:val="20"/>
                <w:color w:val="auto"/>
              </w:rPr>
            </w:pPr>
            <w:r>
              <w:rPr>
                <w:rFonts w:ascii="Times New Roman" w:cs="Times New Roman" w:eastAsia="Times New Roman" w:hAnsi="Times New Roman"/>
                <w:sz w:val="22"/>
                <w:szCs w:val="22"/>
                <w:color w:val="auto"/>
                <w:w w:val="99"/>
              </w:rPr>
              <w:t>Malvern, PA 19355-2143</w:t>
            </w:r>
          </w:p>
        </w:tc>
        <w:tc>
          <w:tcPr>
            <w:tcW w:w="2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19355-2143</w:t>
            </w:r>
          </w:p>
        </w:tc>
      </w:tr>
      <w:tr>
        <w:trPr>
          <w:trHeight w:val="282"/>
        </w:trPr>
        <w:tc>
          <w:tcPr>
            <w:tcW w:w="708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41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Zip Code</w:t>
            </w:r>
          </w:p>
        </w:tc>
      </w:tr>
      <w:tr>
        <w:trPr>
          <w:trHeight w:val="419"/>
        </w:trPr>
        <w:tc>
          <w:tcPr>
            <w:tcW w:w="4940" w:type="dxa"/>
            <w:vAlign w:val="bottom"/>
          </w:tcPr>
          <w:p>
            <w:pPr>
              <w:jc w:val="center"/>
              <w:ind w:left="912"/>
              <w:spacing w:after="0"/>
              <w:rPr>
                <w:sz w:val="20"/>
                <w:szCs w:val="20"/>
                <w:color w:val="auto"/>
              </w:rPr>
            </w:pPr>
            <w:r>
              <w:rPr>
                <w:rFonts w:ascii="Times New Roman" w:cs="Times New Roman" w:eastAsia="Times New Roman" w:hAnsi="Times New Roman"/>
                <w:sz w:val="22"/>
                <w:szCs w:val="22"/>
                <w:color w:val="auto"/>
                <w:w w:val="97"/>
              </w:rPr>
              <w:t>David L. Tomlinson,</w:t>
            </w:r>
          </w:p>
        </w:tc>
        <w:tc>
          <w:tcPr>
            <w:tcW w:w="2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82"/>
        </w:trPr>
        <w:tc>
          <w:tcPr>
            <w:tcW w:w="7080" w:type="dxa"/>
            <w:vAlign w:val="bottom"/>
            <w:gridSpan w:val="2"/>
          </w:tcPr>
          <w:p>
            <w:pPr>
              <w:jc w:val="center"/>
              <w:ind w:right="992"/>
              <w:spacing w:after="0"/>
              <w:rPr>
                <w:sz w:val="20"/>
                <w:szCs w:val="20"/>
                <w:color w:val="auto"/>
              </w:rPr>
            </w:pPr>
            <w:r>
              <w:rPr>
                <w:rFonts w:ascii="Times New Roman" w:cs="Times New Roman" w:eastAsia="Times New Roman" w:hAnsi="Times New Roman"/>
                <w:sz w:val="22"/>
                <w:szCs w:val="22"/>
                <w:color w:val="auto"/>
                <w:w w:val="97"/>
              </w:rPr>
              <w:t>Senior Vice President - Chief Accounting Officer</w:t>
            </w:r>
          </w:p>
        </w:tc>
        <w:tc>
          <w:tcPr>
            <w:tcW w:w="416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rPr>
              <w:t>610-644-1300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22"/>
          <w:szCs w:val="22"/>
          <w:color w:val="auto"/>
        </w:rPr>
        <w:t>(Name and telephone number, including area code, of the</w:t>
      </w:r>
    </w:p>
    <w:p>
      <w:pPr>
        <w:spacing w:after="0" w:line="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Person to contact in connection with this report.)</w:t>
      </w:r>
    </w:p>
    <w:p>
      <w:pPr>
        <w:spacing w:after="0" w:line="250" w:lineRule="exact"/>
        <w:rPr>
          <w:sz w:val="24"/>
          <w:szCs w:val="24"/>
          <w:color w:val="auto"/>
        </w:rPr>
      </w:pPr>
    </w:p>
    <w:p>
      <w:pPr>
        <w:ind w:left="340" w:right="1060"/>
        <w:spacing w:after="0" w:line="258"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253" w:lineRule="exact"/>
        <w:rPr>
          <w:sz w:val="24"/>
          <w:szCs w:val="24"/>
          <w:color w:val="auto"/>
        </w:rPr>
      </w:pPr>
    </w:p>
    <w:p>
      <w:pPr>
        <w:ind w:left="1520" w:right="1400" w:hanging="1382"/>
        <w:spacing w:after="0" w:line="184" w:lineRule="auto"/>
        <w:tabs>
          <w:tab w:leader="none" w:pos="1477"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 Conflict Minerals Disclosure and Report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Vishay Intertechnology, Inc. ("Vishay," the "Company," "we," "us," or "our") is a leading global manufacturer and supplier of discrete semiconductors and passive components.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Substantially all of our products utilize one or more of the minerals tantalum, tin, tungsten or gold—"conflict minerals" (as defined in Section 1, Item 1.01 (d)(3) of Form SD)—that are necessary to the functionality or production of such products. Based on a "reasonable country of origin inquiry" Vishay knows or has reason to believe that a portion of its necessary conflict minerals originated or may have originated in the Democratic Republic of the Congo or an adjoining country (collectively, the "Covered Countries") and knows or has reason to believe that those necessary conflict minerals may not be from recycled or scrap sources.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Accordingly, Vishay designed its due diligence process regarding the source and chain of custody of such conflict minerals, based upon the Organization for Economic Co-operation and Development ("OECD") Due Diligence Guidance for Responsible Supply Chains of Minerals from Conflict-Affected and High-Risk Areas, an internationally recognized due diligence framework.</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Vishay continues to work with industry groups, including the Responsible Business Alliance (formerly known as the Electronic Industry Citizenship Coalition), and its supply chain partners to attempt to determine the country of origination of such materials.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accordance with Rule 13p-1, Vishay has filed this Specialized Disclosure Form (Form SD) and the associated Conflict Minerals Report filed as an exhibit to this Form SD, and both reports are posted to our publicly available website at http://ir.vishay.com/financial-information/sec-filings. The content of any website referred to in this Form SD is included for general information only and is not incorporated by reference in this Form SD.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 Exhibit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1.01 is hereby incorporated into this item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 Exhibits</w:t>
      </w:r>
    </w:p>
    <w:p>
      <w:pPr>
        <w:spacing w:after="0" w:line="23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Exhibit No.</w:t>
      </w:r>
      <w:r>
        <w:rPr>
          <w:sz w:val="20"/>
          <w:szCs w:val="20"/>
          <w:color w:val="auto"/>
        </w:rPr>
        <w:tab/>
      </w:r>
      <w:r>
        <w:rPr>
          <w:rFonts w:ascii="Times New Roman" w:cs="Times New Roman" w:eastAsia="Times New Roman" w:hAnsi="Times New Roman"/>
          <w:sz w:val="21"/>
          <w:szCs w:val="21"/>
          <w:u w:val="single" w:color="auto"/>
          <w:color w:val="auto"/>
        </w:rPr>
        <w:t>Description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0000EE"/>
        </w:rPr>
        <w:t>1.01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48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33" w:lineRule="exact"/>
        <w:rPr>
          <w:sz w:val="20"/>
          <w:szCs w:val="20"/>
          <w:color w:val="auto"/>
        </w:rPr>
      </w:pPr>
    </w:p>
    <w:p>
      <w:pPr>
        <w:spacing w:after="0"/>
        <w:tabs>
          <w:tab w:leader="none" w:pos="700" w:val="left"/>
          <w:tab w:leader="none" w:pos="7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David L. Tomlinson</w:t>
      </w:r>
      <w:r>
        <w:rPr>
          <w:sz w:val="20"/>
          <w:szCs w:val="20"/>
          <w:color w:val="auto"/>
        </w:rPr>
        <w:tab/>
      </w:r>
      <w:r>
        <w:rPr>
          <w:rFonts w:ascii="Times New Roman" w:cs="Times New Roman" w:eastAsia="Times New Roman" w:hAnsi="Times New Roman"/>
          <w:sz w:val="21"/>
          <w:szCs w:val="21"/>
          <w:color w:val="auto"/>
        </w:rPr>
        <w:t>Date: May 28,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David L. Tomlinson</w:t>
      </w:r>
    </w:p>
    <w:p>
      <w:pPr>
        <w:spacing w:after="0" w:line="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ind w:left="700"/>
        <w:spacing w:after="0"/>
        <w:rPr>
          <w:sz w:val="20"/>
          <w:szCs w:val="20"/>
          <w:color w:val="auto"/>
        </w:rPr>
      </w:pPr>
      <w:r>
        <w:rPr>
          <w:rFonts w:ascii="Times New Roman" w:cs="Times New Roman" w:eastAsia="Times New Roman" w:hAnsi="Times New Roman"/>
          <w:sz w:val="22"/>
          <w:szCs w:val="22"/>
          <w:color w:val="auto"/>
        </w:rPr>
        <w:t>Chief Accounting Officer</w:t>
      </w:r>
    </w:p>
    <w:p>
      <w:pPr>
        <w:sectPr>
          <w:pgSz w:w="11900" w:h="16838" w:orient="portrait"/>
          <w:cols w:equalWidth="0" w:num="1">
            <w:col w:w="11160"/>
          </w:cols>
          <w:pgMar w:left="320" w:top="365" w:right="419" w:bottom="1440" w:gutter="0" w:footer="0" w:header="0"/>
        </w:sectPr>
      </w:pPr>
    </w:p>
    <w:bookmarkStart w:id="3" w:name="page4"/>
    <w:bookmarkEnd w:id="3"/>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28, 2026</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Conflict Minerals Report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Year Ended December 31, 2025</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report for the year ended December 31, 2025 is presented to comply with Rule 13p-1 and Form SD (collectively, the "Rule") promulgated under the Securities Exchange Act of 1934, as amended. The Rule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cassiterite, columbite-tantalite, gold, wolframite, and their derivatives, which are limited to tin, tantalum, tungsten, and gold ("3TG"). These requirements apply to registrants whatever the geographic origin of the conflict minerals and whether or not they fund armed conflict.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 presented herein is not audited.</w:t>
      </w:r>
    </w:p>
    <w:p>
      <w:pPr>
        <w:spacing w:after="0" w:line="233" w:lineRule="exact"/>
        <w:rPr>
          <w:sz w:val="20"/>
          <w:szCs w:val="20"/>
          <w:color w:val="auto"/>
        </w:rPr>
      </w:pPr>
    </w:p>
    <w:p>
      <w:pPr>
        <w:ind w:left="660" w:hanging="490"/>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overview</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Vishay Intertechnology, Inc. ("Vishay," the "Company," "we," "us," or "our") is a leading global manufacturer and supplier of discrete semiconductors and passive components. Semiconductors include MOSFETs, diodes, and optoelectronic components. Passive components include resistors, inductors, and capacitors. Discrete semiconductors and passive components are essential elements of virtually every type of electronic circuit. Substantially all of our products contain 3TG. Our products are more fully described in Item 1 of our Annual Report on Form 10-K filed with the SEC on February 13, 2026.</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a major consumer of the world's annual production of tantalum, a metal used in the manufacturing of tantalum capacitors. There are few suppliers that process tantalum ore into capacitor grade tantalum powder. Although most materials incorporated in our products are available from a number of sources, certain materials are available only from a relatively limited number of suppliers, the source for which may include the Democratic Republic of the Congo ("DRC") or adjoining countries (collectively, the "Covered Countries").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Vishay is a member of the Responsible Business Alliance ("RBA") and Responsible Minerals Initiative ("RMI") and fully supports the position of these organizations in avoiding the use of 3TG which directly or indirectly finance or benefit armed groups in the Covered Countries. As such, our position is in full compliance with the RBA Code of Conduct.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reasonable country of origin inquiry ("RCOI") included only our manufactured products and excluded our buy/resale business, in which we do not manufacture or contract to manufacture products, as permitted by the Rule.</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Vishay Intertechnology is working toward the elimination of conflict minerals that directly or indirectly finance or benefit armed groups in the Covered Countries from its supply chain. Vishay's ultimate goal is to have a supply chain that consists of material that is DRC Conflict Free.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part of this policy, Vishay will:</w:t>
      </w:r>
    </w:p>
    <w:p>
      <w:pPr>
        <w:spacing w:after="0" w:line="233" w:lineRule="exact"/>
        <w:rPr>
          <w:sz w:val="20"/>
          <w:szCs w:val="20"/>
          <w:color w:val="auto"/>
        </w:rPr>
      </w:pPr>
    </w:p>
    <w:p>
      <w:pPr>
        <w:jc w:val="both"/>
        <w:ind w:left="660" w:hanging="328"/>
        <w:spacing w:after="0" w:line="20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due diligence as specified in the Organisation for Economic Co-operation and Development ("OECD") Due Diligence Guidance for Responsible Supply chains of Minerals from Conflict-Affected and High Risk Areas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22"/>
          <w:szCs w:val="22"/>
          <w:color w:val="auto"/>
        </w:rPr>
        <w:t xml:space="preserve"> Edition) ("OECD Framework") and related 3T and gold supplements.</w:t>
      </w:r>
    </w:p>
    <w:p>
      <w:pPr>
        <w:spacing w:after="0" w:line="136"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and participate in industry groups such as the RBA and collaborations such as Conflict Free Sourcing Initiative that are focusing on industry-wide solutions.</w:t>
      </w:r>
    </w:p>
    <w:p>
      <w:pPr>
        <w:spacing w:after="0" w:line="13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 to transparency by providing necessary reports and information to the SEC and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expects its first tier suppliers of 3TG ("In-scope Suppliers") to:</w:t>
      </w:r>
    </w:p>
    <w:p>
      <w:pPr>
        <w:spacing w:after="0" w:line="23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conflict mineral policies in place to ensure material is sourced from socially responsible suppliers.</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due diligence to determine the source of conflict minerals.</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procure material from the DRC or adjoining countries that is not "DRC Conflict Free."</w:t>
      </w:r>
    </w:p>
    <w:p>
      <w:pPr>
        <w:spacing w:after="0" w:line="165"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necessary declarations in order to determine if the conflict minerals in the supply chain are DRC Conflict Free.</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In-scope Suppliers who are not in compliance with these requirements will be reviewed in order for us to determine the extent to which Vishay will continue to do business with those Suppliers. Vishay will terminate business with any In-scope Supplier if we determine that the Supplier's sourcing of 3TG directly or indirectly finance armed groups in the Covered Countries.</w:t>
      </w:r>
    </w:p>
    <w:p>
      <w:pPr>
        <w:sectPr>
          <w:pgSz w:w="11900" w:h="16920" w:orient="portrait"/>
          <w:cols w:equalWidth="0" w:num="1">
            <w:col w:w="11240"/>
          </w:cols>
          <w:pgMar w:left="320" w:top="108" w:right="339" w:bottom="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RCOI Process and results</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Vishay's RCOI employed a combination of measures to determine whether the necessary 3TG in Vishay's products originated from the Covered Countries. Vishay's supply chain is complex and there are multiple tiers between the Company and the mine. Vishay relies on its In-scope Suppliers to provide information on the origin of the 3TG contained in components which are included in the Company's products. Vishay's primary means of determining country of origin of necessary 3TG was conducting a supply-chain survey with In-scope Suppliers using the RMI Conflict Minerals Reporting Template and RCOI data from the RMI.</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Vishay conducted a survey of potential In-scope Suppliers of 3TG, representing all of its potential In-scope suppliers of 3TG. Vishay obtained survey responses from In-scope Suppliers representing 99% of the dollar value of 2025 in-scope procurement activities. The survey responses identified 210 smelters and refiners of 3TG. Based on the survey responses obtained, we have reason to believe that some of our supplies of 3TG may have originated in the Covered Countries, some from outside of the Covered Countries, some from recycled/scrap materials, and some from sources that are currently unknown.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we do not typically have a direct relationship with 3TG smelters and refiners, we rely on the tools available to members of the RBA and RMI to disclose upstream actors in the supply chain.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is significant overlap between our RCOI efforts and our due diligence process.</w:t>
      </w:r>
    </w:p>
    <w:p>
      <w:pPr>
        <w:spacing w:after="0" w:line="2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Design</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Our due diligence measures have been designed to conform, in all material respects, with the framework in the OECD Framework and related Supplements for gold, tantalum, tin, and tungsten.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Performance</w:t>
      </w:r>
    </w:p>
    <w:p>
      <w:pPr>
        <w:spacing w:after="0" w:line="237"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Management Systems</w:t>
      </w:r>
    </w:p>
    <w:p>
      <w:pPr>
        <w:spacing w:after="0" w:line="233"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1"/>
          <w:szCs w:val="21"/>
          <w:color w:val="auto"/>
        </w:rPr>
        <w:t>Policy</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Our Responsible Minerals Sourcing Policy is summarized above under "Company Overview" and is also available on our website at www.vishay.com.</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content of any website referred to in this Conflict Minerals Report is included for general information only and is not incorporated by reference in this Conflict Minerals Report.</w:t>
      </w:r>
    </w:p>
    <w:p>
      <w:pPr>
        <w:spacing w:after="0" w:line="185" w:lineRule="exact"/>
        <w:rPr>
          <w:sz w:val="20"/>
          <w:szCs w:val="20"/>
          <w:color w:val="auto"/>
        </w:rPr>
      </w:pPr>
    </w:p>
    <w:p>
      <w:pPr>
        <w:ind w:left="2620" w:hanging="830"/>
        <w:spacing w:after="0"/>
        <w:tabs>
          <w:tab w:leader="none" w:pos="26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 with In-scope Suppliers</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In-scope Suppliers are one of the key components in the execution of the Vishay's 3TG program. As such, Vishay has specified its expectations of the Supplier through the following sources:</w:t>
      </w:r>
    </w:p>
    <w:p>
      <w:pPr>
        <w:spacing w:after="0" w:line="185" w:lineRule="exact"/>
        <w:rPr>
          <w:sz w:val="20"/>
          <w:szCs w:val="20"/>
          <w:color w:val="auto"/>
        </w:rPr>
      </w:pPr>
    </w:p>
    <w:p>
      <w:pPr>
        <w:ind w:left="1340" w:hanging="315"/>
        <w:spacing w:after="0" w:line="258" w:lineRule="auto"/>
        <w:tabs>
          <w:tab w:leader="none" w:pos="1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Vishay's Responsible Minerals Sourcing Policy via the Vishay website and direct communication with the Suppliers.</w:t>
      </w:r>
    </w:p>
    <w:p>
      <w:pPr>
        <w:spacing w:after="0" w:line="117" w:lineRule="exact"/>
        <w:rPr>
          <w:rFonts w:ascii="Times New Roman" w:cs="Times New Roman" w:eastAsia="Times New Roman" w:hAnsi="Times New Roman"/>
          <w:sz w:val="22"/>
          <w:szCs w:val="22"/>
          <w:color w:val="auto"/>
        </w:rPr>
      </w:pPr>
    </w:p>
    <w:p>
      <w:pPr>
        <w:ind w:left="1340" w:hanging="315"/>
        <w:spacing w:after="0"/>
        <w:tabs>
          <w:tab w:leader="none" w:pos="1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Mineral requirements as part of new or renewed Supplier Agreements.</w:t>
      </w:r>
    </w:p>
    <w:p>
      <w:pPr>
        <w:spacing w:after="0" w:line="219" w:lineRule="exact"/>
        <w:rPr>
          <w:rFonts w:ascii="Times New Roman" w:cs="Times New Roman" w:eastAsia="Times New Roman" w:hAnsi="Times New Roman"/>
          <w:sz w:val="22"/>
          <w:szCs w:val="22"/>
          <w:color w:val="auto"/>
        </w:rPr>
      </w:pPr>
    </w:p>
    <w:p>
      <w:pPr>
        <w:ind w:left="1340" w:hanging="315"/>
        <w:spacing w:after="0"/>
        <w:tabs>
          <w:tab w:leader="none" w:pos="1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Yearly Supplier information requests to gather and/or update sourcing information.</w:t>
      </w:r>
    </w:p>
    <w:p>
      <w:pPr>
        <w:spacing w:after="0" w:line="165" w:lineRule="exact"/>
        <w:rPr>
          <w:rFonts w:ascii="Times New Roman" w:cs="Times New Roman" w:eastAsia="Times New Roman" w:hAnsi="Times New Roman"/>
          <w:sz w:val="22"/>
          <w:szCs w:val="22"/>
          <w:color w:val="auto"/>
        </w:rPr>
      </w:pPr>
    </w:p>
    <w:p>
      <w:pPr>
        <w:ind w:left="2680" w:hanging="890"/>
        <w:spacing w:after="0"/>
        <w:tabs>
          <w:tab w:leader="none" w:pos="26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Education of Personnel</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Vishay has educated key personnel involved in the procurement of materials on the Company's Responsible Minerals Sourcing Policy and Program. Vishay has established a management system for 3TG, which includes a core team comprising vice president-level management and is sponsored by executive vice president-level management. Executive management is briefed about the results of our due diligence efforts and provides feedback and direction to the core Conflict Minerals management team.</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agreed with Supplier, Vishay provides training or meetings to communicate Vishay's expectations under the Company's Responsible Minerals Sourcing Policy and Program and to explain any issues that may arise. From time to time, Vishay may also provide reference material to its In-scope Suppliers in order to help them comply with Vishay and industry requirements.</w:t>
      </w:r>
    </w:p>
    <w:p>
      <w:pPr>
        <w:spacing w:after="0" w:line="200" w:lineRule="exact"/>
        <w:rPr>
          <w:sz w:val="20"/>
          <w:szCs w:val="20"/>
          <w:color w:val="auto"/>
        </w:rPr>
      </w:pPr>
    </w:p>
    <w:p>
      <w:pPr>
        <w:ind w:left="2660" w:hanging="870"/>
        <w:spacing w:after="0"/>
        <w:tabs>
          <w:tab w:leader="none" w:pos="2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Tracking mechanisms</w:t>
      </w:r>
    </w:p>
    <w:p>
      <w:pPr>
        <w:spacing w:after="0" w:line="23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Vishay uses a third-party software system to distribute, track, collect, analyze, and assign risk assessment metrics to Supplier responses.</w:t>
      </w:r>
    </w:p>
    <w:p>
      <w:pPr>
        <w:sectPr>
          <w:pgSz w:w="11900" w:h="16838" w:orient="portrait"/>
          <w:cols w:equalWidth="0" w:num="1">
            <w:col w:w="11240"/>
          </w:cols>
          <w:pgMar w:left="320" w:top="355" w:right="339" w:bottom="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2600" w:hanging="810"/>
        <w:spacing w:after="0"/>
        <w:tabs>
          <w:tab w:leader="none" w:pos="26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Whistleblower mechanisms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event that a Vishay employee, supplier, or customer has a concern regarding the accuracy of information relative to 3TG, they are directed to contact their supervisor or purchasing or sales contact respectively regarding their concern. If such contact is not possible or practical, the employee, supplier, or customer is instructed to contact Vishay's ethics helpline. The contact information for the ethics helpline is available at http://www.vishay.com/en/company/ethics.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has been communicated to affected employees and suppliers via email.</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b.  Identify and assess risks in the supply chain</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3TG In-scope Suppliers are loaded into the Company Conflict Minerals software. The software sends RMI questionnaires and analyzes the responses according to internally defined red flags. Vishay's purchasing team works with its In-scope Suppliers to address any identified red flags. Unresolved red flags are escalated to the 3TG management team. Such suppliers are designated internally as "Red Flag Suppliers."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smelters and refiners identified by Vishay's In-scope Suppliers are then consolidated into one smelters and refiners list. The origin and mine information obtained from the Supplier surveys and from external resources, such as the RMI, are used in our reasonable country of origin procedures.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Vishay checks all smelters and refiners against the RMI Standard Smelter List and investigates any smelters or refiners not currently on the list. If it is determined that an identified smelter or refiner that is not on the list is truly a smelter or refiner of 3TG, Vishay contacts RBA to request that such smelter or refiner be added to the RBA Standard Smelter List. Lists of Conflict-Free Smelter Program compliant smelters and refiners are available at the RMI website at http://www.responsiblemineralsinitiative.org/.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Vishay's smelters and refiners list is checked against internal criteria to identify if the smelter or refiner could potentially be sourcing from the Covered Countries and be benefiting armed conflict.</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Smelters and refiners identified on our consolidated list that do not meet the internal criteria are considered to present a risk of possibly not being DRC Conflict Free and are subject to Vishay's risk mitigation procedures.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an active member of the RBA and RMI, Vishay communicates to its In-scope Suppliers the requirement that at-risk smelters and refiners be independently certified.</w:t>
      </w:r>
    </w:p>
    <w:p>
      <w:pPr>
        <w:spacing w:after="0" w:line="185"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Design and implement strategy to respond to identified risks</w:t>
      </w:r>
    </w:p>
    <w:p>
      <w:pPr>
        <w:spacing w:after="0" w:line="2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Red Flag Suppliers, smelters and refiners not on the RMI Standard Smelter list, smelters and refiners with unknown country sourcing, and other smelters and refiners that are considered to present risk (collectively, "Identified Risk Entities") are all subject to Vishay's risk mitigation procedures. Vishay tailors its risk mitigation procedures for each Identified Risk Entity based on the individual Identified Risk Entity's facts and circumstances. The risk mitigation procedures for Identified Risk Entities generally include the following procedures:</w:t>
      </w:r>
    </w:p>
    <w:p>
      <w:pPr>
        <w:spacing w:after="0" w:line="204" w:lineRule="exact"/>
        <w:rPr>
          <w:sz w:val="20"/>
          <w:szCs w:val="20"/>
          <w:color w:val="auto"/>
        </w:rPr>
      </w:pPr>
    </w:p>
    <w:p>
      <w:pPr>
        <w:ind w:left="660" w:hanging="328"/>
        <w:spacing w:after="0" w:line="241"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 defined time period that the Identified Risk Entity will work with Vishay's purchasing department to mitigate its identified risks.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with RMI to obtain additional information or certifications.</w:t>
      </w:r>
    </w:p>
    <w:p>
      <w:pPr>
        <w:jc w:val="both"/>
        <w:ind w:left="660" w:hanging="328"/>
        <w:spacing w:after="0" w:line="230"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formal reviews of Identified Risk Entities that do not mitigate their identified risks by the established deadline date. The 3TG management team will then implement one or more of the following actions for Identified Risk Entities that cannot be verified to not directly or indirectly benefit armed rebels through their 3TG sourcing:</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additional time to mitigate the identified risk;</w:t>
      </w:r>
    </w:p>
    <w:p>
      <w:pPr>
        <w:ind w:left="1300" w:hanging="320"/>
        <w:spacing w:after="0" w:line="230"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 a long-term improvement plan with the supplier;</w:t>
      </w:r>
    </w:p>
    <w:p>
      <w:pPr>
        <w:ind w:left="1300" w:right="20" w:hanging="320"/>
        <w:spacing w:after="0" w:line="230"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Suspend purchasing activities from the In-scope Supplier that has red flags and/or sources from the Identified Risk Entity;</w:t>
      </w:r>
    </w:p>
    <w:p>
      <w:pPr>
        <w:spacing w:after="0" w:line="1" w:lineRule="exact"/>
        <w:rPr>
          <w:rFonts w:ascii="Times New Roman" w:cs="Times New Roman" w:eastAsia="Times New Roman" w:hAnsi="Times New Roman"/>
          <w:sz w:val="22"/>
          <w:szCs w:val="22"/>
          <w:color w:val="auto"/>
        </w:rPr>
      </w:pPr>
    </w:p>
    <w:p>
      <w:pPr>
        <w:ind w:left="1300" w:right="20" w:hanging="320"/>
        <w:spacing w:after="0" w:line="230"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 phase-out plan for the In-scope supplier that has red flags and/or sources from the Identified Risk Entity.</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determined that the Identified Risk Entity has or likely has directly or indirectly benefited armed rebels through their 3TG sourcing, the 3TG management team will then implement one or more of the following actions:</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affected In-scope Supplier remove the smelter or refiner that is an Identified Risk Entity from Vishay's supply chain; or</w:t>
      </w:r>
    </w:p>
    <w:p>
      <w:pPr>
        <w:spacing w:after="0" w:line="1" w:lineRule="exact"/>
        <w:rPr>
          <w:rFonts w:ascii="Times New Roman" w:cs="Times New Roman" w:eastAsia="Times New Roman" w:hAnsi="Times New Roman"/>
          <w:sz w:val="22"/>
          <w:szCs w:val="22"/>
          <w:color w:val="auto"/>
        </w:rPr>
      </w:pPr>
    </w:p>
    <w:p>
      <w:pPr>
        <w:ind w:left="1300" w:hanging="320"/>
        <w:spacing w:after="0" w:line="237"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purchasing activities with the In-scope Supplier if the Supplier does not remove the smelter or refiner that is an Identified Risk Entity from its supply chain.</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3TG management team maintains records of its actions as well as tracks several metrics used to monitor the effectiveness of its risk management procedures. The status and results of the risk management procedures are reviewed with senior management semi-annually. Vishay updates its supplier determinations and risk management procedures annually.</w:t>
      </w:r>
    </w:p>
    <w:p>
      <w:pPr>
        <w:sectPr>
          <w:pgSz w:w="11900" w:h="16838" w:orient="portrait"/>
          <w:cols w:equalWidth="0" w:num="1">
            <w:col w:w="11240"/>
          </w:cols>
          <w:pgMar w:left="320" w:top="355" w:right="339" w:bottom="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0" w:gutter="0" w:footer="0" w:header="0"/>
          <w:type w:val="continuous"/>
        </w:sectPr>
      </w:pPr>
    </w:p>
    <w:bookmarkStart w:id="8" w:name="page9"/>
    <w:bookmarkEnd w:id="8"/>
    <w:p>
      <w:pPr>
        <w:ind w:left="980"/>
        <w:spacing w:after="0"/>
        <w:rPr>
          <w:sz w:val="20"/>
          <w:szCs w:val="20"/>
          <w:color w:val="auto"/>
        </w:rPr>
      </w:pPr>
      <w:r>
        <w:rPr>
          <w:rFonts w:ascii="Times New Roman" w:cs="Times New Roman" w:eastAsia="Times New Roman" w:hAnsi="Times New Roman"/>
          <w:sz w:val="22"/>
          <w:szCs w:val="22"/>
          <w:color w:val="auto"/>
        </w:rPr>
        <w:t>d.  Audits of smelters' and refiners' due diligence processes</w:t>
      </w:r>
    </w:p>
    <w:p>
      <w:pPr>
        <w:spacing w:after="0" w:line="23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Vishay will rely on third party audit results from the RBA, RMI, London Bullion Market Association, Responsible Jewelry Council, and the Tungsten Industry – Conflict Minerals Council to satisfy the verification of due diligence according to the OECD guidelines and third party audit requirements for high risk smelters and refiners to certify which smelters or refiners are DRC Conflict Free.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Inherent Limitations on Due Diligence Measures</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a downstream purchaser of conflict minerals, Vishay's due diligence measures can provide only reasonable, not absolute, assurance regarding the source and chain of custody of the necessary conflict minerals. Vishay's due diligence processes are based on the necessity of seeking data from our direct suppliers and those suppliers seeking similar information within their supply chains to identify the original sources of the necessary conflict minerals. Vishay also relies, to a large extent, on information collected and provided by independent third party audit programs. Such sources of information may yield inaccurate or incomplete information and may be subject to fraud.</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Another complicating factor is the unavailability of country of origin and chain of custody information from suppliers on a continuous, real-time basis. Under the Dodd-Frank Act and the Rule, a product is DRC Conflict Free if it meets the required standard every day of the reporting year; conversely, a product would "not be found to be DRC Conflict Free" if it does not meet the required standard even one day of the reporting year.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Vishay does not have direct contractual relationships with most smelters and refiners, it relies on its direct suppliers to gather and provide specific information about the date when the ore is smelted into a derivative and later shipped, stored, sold and first entered the stream of commerce. Vishay directly seeks sourcing data on a periodic basis from its direct suppliers as well as certain smelters and refiners. Vishay requests that the data cover the entire reporting year.</w:t>
      </w: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Reporting</w:t>
      </w:r>
    </w:p>
    <w:p>
      <w:pPr>
        <w:spacing w:after="0" w:line="233"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Future Steps to be taken</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Vishay continues to work with industry groups, including the RBA and RMI, and its In-scope Supply chain partners to enable it to assess the origination and chain of custody of materials in its supply chain.</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We expect to take the following steps to improve the due diligence conducted to further mitigate the risk that necessary 3TG in our products could possibly benefit armed groups in the Covered Countries:</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to increase the response rate of suppliers to our due diligence inquiries.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In-scope Suppliers to require at risk smelters or refiners to obtain a Conflict Free designation from an industry program such as the RMI.</w:t>
      </w:r>
    </w:p>
    <w:p>
      <w:pPr>
        <w:spacing w:after="0" w:line="1" w:lineRule="exact"/>
        <w:rPr>
          <w:rFonts w:ascii="Times New Roman" w:cs="Times New Roman" w:eastAsia="Times New Roman" w:hAnsi="Times New Roman"/>
          <w:sz w:val="22"/>
          <w:szCs w:val="22"/>
          <w:color w:val="auto"/>
        </w:rPr>
      </w:pPr>
    </w:p>
    <w:p>
      <w:pPr>
        <w:ind w:left="660" w:hanging="328"/>
        <w:spacing w:after="0" w:line="237"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validate In-scope Supplier responses using information collected from independent conflict free smelter validation programs such as the RMI, to which we provide financial support.</w:t>
      </w:r>
    </w:p>
    <w:p>
      <w:pPr>
        <w:spacing w:after="0" w:line="20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Exclusion of acquired entities</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accordance with the Rule, entities acquired during the reporting period are excluded from the scope of this Conflict Minerals Report. This includes the businesses of Ametherm, Inc. ("Ametherm"), a Nevada-based manufacturer of inrush current limiting solutions and power thermistors, and Birkelbach Kondensatortechnick GmbH ("Birkelbach"), a German-based manufacturer of metalized technical films for capacitor dielectrics, acquired in 2024. A substantial number of Ametherm and Birkelbach products utilize one or more 3TG necessary to the functionality or production of such products. Ametherm and Birkelbach products are first required to be included in Vishay's Conflict Minerals reporting for the year ending December 31, 2026.</w:t>
      </w:r>
    </w:p>
    <w:p>
      <w:pPr>
        <w:spacing w:after="0" w:line="20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Results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initial and subsequent responses from Vishay's In-scope Suppliers in our reasonable country of origin procedures did not contain sufficient information to determine the country of origin of all of the 3TG necessary for functionality of all of the products that Vishay manufactured in 2025. We have increased the number and percentage of validated "conflict free" smelters and refiners from 53, or 49%, in 2013 to 203, or 97%, in 2025. We have validated over 94% of smelters and refiners as "conflict free" each year since 2017.</w:t>
      </w:r>
    </w:p>
    <w:p>
      <w:pPr>
        <w:sectPr>
          <w:pgSz w:w="11900" w:h="16838" w:orient="portrait"/>
          <w:cols w:equalWidth="0" w:num="1">
            <w:col w:w="11240"/>
          </w:cols>
          <w:pgMar w:left="320" w:top="355" w:right="339" w:bottom="443"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443"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As of May 28, 2026 our smelters and refiners identified by our suppliers are listed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Metal</w:t>
            </w:r>
          </w:p>
        </w:tc>
        <w:tc>
          <w:tcPr>
            <w:tcW w:w="6100" w:type="dxa"/>
            <w:vAlign w:val="bottom"/>
            <w:gridSpan w:val="2"/>
          </w:tcPr>
          <w:p>
            <w:pPr>
              <w:ind w:left="300"/>
              <w:spacing w:after="0"/>
              <w:rPr>
                <w:sz w:val="20"/>
                <w:szCs w:val="20"/>
                <w:color w:val="auto"/>
              </w:rPr>
            </w:pPr>
            <w:r>
              <w:rPr>
                <w:rFonts w:ascii="Times New Roman" w:cs="Times New Roman" w:eastAsia="Times New Roman" w:hAnsi="Times New Roman"/>
                <w:sz w:val="22"/>
                <w:szCs w:val="22"/>
                <w:b w:val="1"/>
                <w:bCs w:val="1"/>
                <w:color w:val="auto"/>
              </w:rPr>
              <w:t>Smelter Reference List</w:t>
            </w:r>
          </w:p>
        </w:tc>
        <w:tc>
          <w:tcPr>
            <w:tcW w:w="4300" w:type="dxa"/>
            <w:vAlign w:val="bottom"/>
          </w:tcPr>
          <w:p>
            <w:pPr>
              <w:ind w:left="940"/>
              <w:spacing w:after="0"/>
              <w:rPr>
                <w:sz w:val="20"/>
                <w:szCs w:val="20"/>
                <w:color w:val="auto"/>
              </w:rPr>
            </w:pPr>
            <w:r>
              <w:rPr>
                <w:rFonts w:ascii="Times New Roman" w:cs="Times New Roman" w:eastAsia="Times New Roman" w:hAnsi="Times New Roman"/>
                <w:sz w:val="22"/>
                <w:szCs w:val="22"/>
                <w:b w:val="1"/>
                <w:bCs w:val="1"/>
                <w:color w:val="auto"/>
              </w:rPr>
              <w:t>Smelter ID RMI Status</w:t>
            </w:r>
          </w:p>
        </w:tc>
      </w:tr>
      <w:tr>
        <w:trPr>
          <w:trHeight w:val="234"/>
        </w:trPr>
        <w:tc>
          <w:tcPr>
            <w:tcW w:w="694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Validated as "Conflict Free"</w:t>
            </w:r>
          </w:p>
        </w:tc>
        <w:tc>
          <w:tcPr>
            <w:tcW w:w="4300" w:type="dxa"/>
            <w:vAlign w:val="bottom"/>
          </w:tcPr>
          <w:p>
            <w:pPr>
              <w:spacing w:after="0"/>
              <w:rPr>
                <w:sz w:val="20"/>
                <w:szCs w:val="20"/>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Metalor USA Refining Corporation</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CID001157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Metalor Technologies S.A.</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CID001153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Tanaka Kikinzoku Kogyo K.K.</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CID001875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Heraeus Metals Hong Kong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CID000707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Metalor Technologies (Singapore) Pte.,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CID001152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Umicore S.A. Business Unit Precious Metals Refining</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CID001980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Metalor Technologies (Hong Kong)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CID001149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Argor-Heraeus S.A.</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CID000077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Royal Canadian Mint</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CID001534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Metalor Technologies (Suzhou)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CID001147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Heraeus Germany GmbH Co. KG</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CID000711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Asahi Refining Canada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CID000924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Matsuda Sangyo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CID001119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Mitsubishi Materials Corporation</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CID001188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Mitsui Mining and Smelting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CID001193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Sumitomo Metal Mining Co.,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CID001798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ASAHI METALFINE, Inc.</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CID000082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Ishifuku Metal Industry Co.,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CID000807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JX Advanced Metals Corporation</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CID000937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Nihon Material Co.,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CID001259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Tokuriki Honten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CID001938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Agosi AG</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CID000035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Heimerle + Meule GmbH</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CID000694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C. Hafner GmbH + Co. KG</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CID000176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Aurubis AG, Hamburg</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CID000113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WIELAND Edelmetalle GmbH</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CID002778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Chimet S.p.A.</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CID000233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Metalurgica Met-Mex Penoles S.A. De C.V.</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CID001161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Aida Chemical Industries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CID000019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Glencore Canada Corporation - CCR Refinery</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CID000185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Kojima Chemicals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CID000981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MKS PAMP SA</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CID001352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SEMPSA Joyeria Plateria S.A.</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CID001585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Gold Corporation - The Perth Mint</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CID002030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Solar Applied Materials Technology Corp.</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CID001761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Dowa</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CID000401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United Precious Metal Refining, Inc.</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CID001993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Asahi Refining USA Inc.</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CID000920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LS MnM Inc.</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CID001078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Materion</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CID001113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Ohura Precious Metal Industry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CID001325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Rand Refinery (Pty) Ltd.</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CID001512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Eco-System Recycling Co., Ltd. East Plant</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CID000425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AngloGold Ashanti Corrego do Sitio Mineracao</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CID000058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Asaka Riken Co., Ltd.</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CID000090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Istanbul Gold Refinery</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CID000814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Boliden Mineral AB (Ronnskar)</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CID000157 Compliant</w:t>
            </w:r>
          </w:p>
        </w:tc>
      </w:tr>
      <w:tr>
        <w:trPr>
          <w:trHeight w:val="243"/>
        </w:trPr>
        <w:tc>
          <w:tcPr>
            <w:tcW w:w="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SAFINA A.S.</w:t>
            </w:r>
          </w:p>
        </w:tc>
        <w:tc>
          <w:tcPr>
            <w:tcW w:w="43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CID002290 Compliant</w:t>
            </w:r>
          </w:p>
        </w:tc>
      </w:tr>
      <w:tr>
        <w:trPr>
          <w:trHeight w:val="243"/>
        </w:trPr>
        <w:tc>
          <w:tcPr>
            <w:tcW w:w="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22"/>
                <w:szCs w:val="22"/>
                <w:color w:val="auto"/>
              </w:rPr>
              <w:t>Valcambi S.A.</w:t>
            </w:r>
          </w:p>
        </w:tc>
        <w:tc>
          <w:tcPr>
            <w:tcW w:w="4300" w:type="dxa"/>
            <w:vAlign w:val="bottom"/>
            <w:shd w:val="clear" w:color="auto" w:fill="CCEEFF"/>
          </w:tcPr>
          <w:p>
            <w:pPr>
              <w:ind w:left="940"/>
              <w:spacing w:after="0" w:line="243" w:lineRule="exact"/>
              <w:rPr>
                <w:sz w:val="20"/>
                <w:szCs w:val="20"/>
                <w:color w:val="auto"/>
              </w:rPr>
            </w:pPr>
            <w:r>
              <w:rPr>
                <w:rFonts w:ascii="Times New Roman" w:cs="Times New Roman" w:eastAsia="Times New Roman" w:hAnsi="Times New Roman"/>
                <w:sz w:val="22"/>
                <w:szCs w:val="22"/>
                <w:color w:val="auto"/>
              </w:rPr>
              <w:t>CID002003 Compliant</w:t>
            </w: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Gold</w:t>
            </w:r>
          </w:p>
        </w:tc>
        <w:tc>
          <w:tcPr>
            <w:tcW w:w="61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Zhongyuan Gold Smelter of Zhongjin Gold Corporation</w:t>
            </w:r>
          </w:p>
        </w:tc>
        <w:tc>
          <w:tcPr>
            <w:tcW w:w="43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CID002224 Compliant</w:t>
            </w: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2"/>
                <w:szCs w:val="22"/>
                <w:color w:val="auto"/>
              </w:rPr>
              <w:t>DSC (Do Sung Corporation)</w:t>
            </w:r>
          </w:p>
        </w:tc>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CID000359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Japan Mint</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CID000823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Kennecott Utah Copper LLC</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CID000969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Advanced Chemical Company</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CID000015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REMONDIS PMR B.V.</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CID002582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Chugai Mining</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CID000264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Inner Mongolia Qiankun Gold and Silver Refinery Share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CID000801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PX Precinox S.A.</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CID001498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Yamakin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CID002100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Yokohama Metal Co.,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CID002129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LT Metal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CID000689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Sichuan Tianze Precious Metals Co.,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CID001736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Korea Zinc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CID002605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Italpreziosi</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CID002765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SungEel HiMetal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CID002918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Planta Recuperadora de Metales SpA</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CID002919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T.C.A S.p.A</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CID002580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Almalyk Mining and Metallurgical Complex (AMMC)</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CID000041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Jiangxi Copper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CID000855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Kazzinc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CID000957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Nadir Metal Rafineri San. Ve Tic. A.S.</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CID001220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PT Aneka Tambang (Persero) Tbk</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CID001397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KGHM Polska Miedz Spolka Akcyjna</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CID002511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TOO Tau-Ken-Altyn</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CID002615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Abington Reldan Metals, LLC</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CID002708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Oegussa Oesterreichische Gold- und Silber-Scheideanstalt Gesm.b.H.</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CID002779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NH Recytech Company</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CID003189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Metal Concentrators SA (Pty)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CID003575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Eco-System Recycling Co., Ltd. West Plant</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CID003425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Eco-System Recycling Co., Ltd. North Plant</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CID003424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Bangko Sentral ng Pilipinas (Central Bank of the Philippines)</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CID000128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Navoi Mining and Metallurgical Combinat</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CID001236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MMTC-PAMP India Pvt.,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CID002509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Gold by Gold Colombia</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CID003641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Coimpa Industrial LTDA</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CID004010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GG Refinery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CID004506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Bangalore Refinery</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CID002863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Elite Industech Co.,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CID004755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Shandong Zhaojin Gold &amp; Silver Refinery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CID001622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Shandong Gold Smelting Co.,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CID001916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Impala Platinum - Platinum Metals Refinery (PMR)</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CID004714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Zijin Mining Group Gold Smelting Co.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CID002243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Ningxia Orient Tantalum Industry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CID001277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XIMEI RESOURCES (GUANGDONG) LIMITED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CID000616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JiuJiang JinXin Nonferrous Metals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CID000914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Jiujiang Tanbre Co., Ltd.</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CID000917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Yanling Jincheng Tantalum &amp; Niobium Co.,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CID001522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Ulba Metallurgical Plant JSC</w:t>
            </w:r>
          </w:p>
        </w:tc>
        <w:tc>
          <w:tcPr>
            <w:tcW w:w="37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CID001969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5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FIR Metals &amp; Resource Ltd.</w:t>
            </w:r>
          </w:p>
        </w:tc>
        <w:tc>
          <w:tcPr>
            <w:tcW w:w="3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22"/>
                <w:szCs w:val="22"/>
                <w:color w:val="auto"/>
              </w:rPr>
              <w:t>CID002505 Compliant</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Tantalum</w:t>
            </w:r>
          </w:p>
        </w:tc>
        <w:tc>
          <w:tcPr>
            <w:tcW w:w="6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TANIOBIS Co., Ltd.</w:t>
            </w:r>
          </w:p>
        </w:tc>
        <w:tc>
          <w:tcPr>
            <w:tcW w:w="37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CID002544 Compliant</w:t>
            </w:r>
          </w:p>
        </w:tc>
      </w:tr>
      <w:tr>
        <w:trPr>
          <w:trHeight w:val="352"/>
        </w:trPr>
        <w:tc>
          <w:tcPr>
            <w:tcW w:w="980" w:type="dxa"/>
            <w:vAlign w:val="bottom"/>
          </w:tcPr>
          <w:p>
            <w:pPr>
              <w:spacing w:after="0"/>
              <w:rPr>
                <w:sz w:val="24"/>
                <w:szCs w:val="24"/>
                <w:color w:val="auto"/>
              </w:rPr>
            </w:pPr>
          </w:p>
        </w:tc>
        <w:tc>
          <w:tcPr>
            <w:tcW w:w="65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6</w:t>
            </w:r>
          </w:p>
        </w:tc>
        <w:tc>
          <w:tcPr>
            <w:tcW w:w="3720" w:type="dxa"/>
            <w:vAlign w:val="bottom"/>
          </w:tcPr>
          <w:p>
            <w:pPr>
              <w:spacing w:after="0"/>
              <w:rPr>
                <w:sz w:val="24"/>
                <w:szCs w:val="24"/>
                <w:color w:val="auto"/>
              </w:rPr>
            </w:pPr>
          </w:p>
        </w:tc>
      </w:tr>
      <w:tr>
        <w:trPr>
          <w:trHeight w:val="61"/>
        </w:trPr>
        <w:tc>
          <w:tcPr>
            <w:tcW w:w="98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7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2"/>
                <w:szCs w:val="22"/>
                <w:color w:val="auto"/>
              </w:rPr>
              <w:t>TANIOBIS GmbH</w:t>
            </w:r>
          </w:p>
        </w:tc>
        <w:tc>
          <w:tcPr>
            <w:tcW w:w="4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22"/>
                <w:szCs w:val="22"/>
                <w:color w:val="auto"/>
              </w:rPr>
              <w:t>CID002545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TANIOBIS Japan Co.,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CID002549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TANIOBIS Smelting GmbH &amp; Co. KG</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CID002550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F&amp;X Electro-Materials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CID000460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Hengyang King Xing Lifeng New Materials Co.,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CID002492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Jiujiang Zhongao Tantalum &amp; Niobium Co.,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CID002506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D Block Metals, LLC</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CID002504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Global Advanced Metals Boyertown</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CID002557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Metallurgical Products India Pvt.,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CID001163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Materion Newton Inc.</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CID002548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Guangdong Rising Rare Metals-EO Materials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CID000291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Mineracao Taboca S.A.</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CID001175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NPM Silmet OU</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CID001200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Jiangxi Dinghai Tantalum &amp; Niobium Co.,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CID002512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Global Advanced Metals Aizu</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CID002558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Mitsui Kinzoku Company, Limited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CID001192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Taki Chemical Co.,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CID001869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Telex Metals</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CID001891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Resind Industria e Comercio Ltda.</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CID002707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PowerX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CID004054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AMG Brasil</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CID001076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KEMET de Mexico</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CID002539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XinXing HaoRong Electronic Material Co.,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CID002508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PT Timah Tbk Mentok</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CID001482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Minsur</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CID001182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PT Timah Tbk Kundur</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CID001477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Aurubis Beerse</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CID002773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Mineracao Taboca S.A.</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CID001173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Tin Smelting Branch of Yunnan Tin Co.,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CID002180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Thaisarco</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CID001898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Empresa Metallurgica Vinto</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CID000438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Operaciones Metalurgicas S.A.</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CID001337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Fenix Metals</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CID000468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PT Mitra Stania Prima</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CID001453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White Solder Metalurgia e Mineracao Ltda.</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CID002036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China Tin Group Co.,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CID001070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Tin Technology &amp; Refining</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CID003325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Guangdong Hanhe Non-ferrous Metal Limited Company</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CID003116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Mitsubishi Materials Corporation</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CID001191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PT ATD Makmur Mandiri Jaya</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CID002503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PT Mitra Sukses Globalindo</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CID003449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Dowa</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CID000402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Chenzhou Yunxiang Mining and Metallurgy Co., Ltd.</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CID000228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Malaysia Smelting Corporation Berhad (Port Klang)</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CID004434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Metallic Resources, Inc.</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CID001142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Gejiu Non-Ferrous Metal Processing Co., Ltd.</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CID000538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Alpha Assembly Solutions Inc</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CID000292 Compliant</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PT Putera Sarana Shakti (PT PSS)</w:t>
            </w:r>
          </w:p>
        </w:tc>
        <w:tc>
          <w:tcPr>
            <w:tcW w:w="42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CID003868 Compliant</w:t>
            </w:r>
          </w:p>
        </w:tc>
      </w:tr>
      <w:tr>
        <w:trPr>
          <w:trHeight w:val="243"/>
        </w:trPr>
        <w:tc>
          <w:tcPr>
            <w:tcW w:w="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0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PT Prima Timah Utama</w:t>
            </w:r>
          </w:p>
        </w:tc>
        <w:tc>
          <w:tcPr>
            <w:tcW w:w="4260" w:type="dxa"/>
            <w:vAlign w:val="bottom"/>
            <w:shd w:val="clear" w:color="auto" w:fill="CCEEFF"/>
          </w:tcPr>
          <w:p>
            <w:pPr>
              <w:ind w:left="900"/>
              <w:spacing w:after="0" w:line="243" w:lineRule="exact"/>
              <w:rPr>
                <w:sz w:val="20"/>
                <w:szCs w:val="20"/>
                <w:color w:val="auto"/>
              </w:rPr>
            </w:pPr>
            <w:r>
              <w:rPr>
                <w:rFonts w:ascii="Times New Roman" w:cs="Times New Roman" w:eastAsia="Times New Roman" w:hAnsi="Times New Roman"/>
                <w:sz w:val="22"/>
                <w:szCs w:val="22"/>
                <w:color w:val="auto"/>
              </w:rPr>
              <w:t>CID001458 Compliant</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Tin</w:t>
            </w:r>
          </w:p>
        </w:tc>
        <w:tc>
          <w:tcPr>
            <w:tcW w:w="60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Rui Da Hung</w:t>
            </w:r>
          </w:p>
        </w:tc>
        <w:tc>
          <w:tcPr>
            <w:tcW w:w="42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CID001539 Compliant</w:t>
            </w:r>
          </w:p>
        </w:tc>
      </w:tr>
      <w:tr>
        <w:trPr>
          <w:trHeight w:val="595"/>
        </w:trPr>
        <w:tc>
          <w:tcPr>
            <w:tcW w:w="980" w:type="dxa"/>
            <w:vAlign w:val="bottom"/>
          </w:tcPr>
          <w:p>
            <w:pPr>
              <w:spacing w:after="0"/>
              <w:rPr>
                <w:sz w:val="24"/>
                <w:szCs w:val="24"/>
                <w:color w:val="auto"/>
              </w:rPr>
            </w:pPr>
          </w:p>
        </w:tc>
        <w:tc>
          <w:tcPr>
            <w:tcW w:w="60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7</w:t>
            </w:r>
          </w:p>
        </w:tc>
        <w:tc>
          <w:tcPr>
            <w:tcW w:w="4260" w:type="dxa"/>
            <w:vAlign w:val="bottom"/>
          </w:tcPr>
          <w:p>
            <w:pPr>
              <w:spacing w:after="0"/>
              <w:rPr>
                <w:sz w:val="24"/>
                <w:szCs w:val="24"/>
                <w:color w:val="auto"/>
              </w:rPr>
            </w:pPr>
          </w:p>
        </w:tc>
      </w:tr>
      <w:tr>
        <w:trPr>
          <w:trHeight w:val="61"/>
        </w:trPr>
        <w:tc>
          <w:tcPr>
            <w:tcW w:w="980" w:type="dxa"/>
            <w:vAlign w:val="bottom"/>
            <w:tcBorders>
              <w:bottom w:val="single" w:sz="8" w:color="auto"/>
            </w:tcBorders>
          </w:tcPr>
          <w:p>
            <w:pPr>
              <w:spacing w:after="0"/>
              <w:rPr>
                <w:sz w:val="5"/>
                <w:szCs w:val="5"/>
                <w:color w:val="auto"/>
              </w:rPr>
            </w:pPr>
          </w:p>
        </w:tc>
        <w:tc>
          <w:tcPr>
            <w:tcW w:w="600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73" w:right="339" w:bottom="1440" w:gutter="0" w:footer="0" w:header="0"/>
        </w:sectPr>
      </w:pPr>
    </w:p>
    <w:bookmarkStart w:id="12" w:name="page13"/>
    <w:bookmarkEnd w:id="12"/>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CRM Synergies EMEA, S.L.U.</w:t>
            </w:r>
          </w:p>
        </w:tc>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2"/>
                <w:szCs w:val="22"/>
                <w:color w:val="auto"/>
              </w:rPr>
              <w:t>CID003524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Aurubis Berango</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CID002774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PT Cipta Persada Mulia</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CID002696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PT Bangka Prima Tin</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CID002776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Luna Smelter,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CID003387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Magnu's Minerais Metais e Ligas Ltda.</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CID002468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PT Rajehan Ariq</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CID002593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Super Ligas</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CID002756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O.M. Manufacturing Philippines, Inc.</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CID002517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PT Premium Tin Indonesia</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CID000313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O.M. Manufacturing (Thailand)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CID001314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Mining Minerals Resources SARL</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CID004065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Estanho de Rondonia S.A.</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CID000448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Resind Industria e Comercio Ltda.</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CID002706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Yunnan Yunfan Non-ferrous Metals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CID003397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Fabrica Auricchio Industria e Comercio Ltda.</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CID003582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CV Ayi Jaya</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CID002570 Compliant</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color w:val="auto"/>
              </w:rPr>
              <w:t>Takehara PVD Materials Plant / PVD Materials Division of MITSUI</w:t>
            </w:r>
          </w:p>
        </w:tc>
        <w:tc>
          <w:tcPr>
            <w:tcW w:w="3560" w:type="dxa"/>
            <w:vAlign w:val="bottom"/>
          </w:tcPr>
          <w:p>
            <w:pPr>
              <w:ind w:left="200"/>
              <w:spacing w:after="0" w:line="216" w:lineRule="exact"/>
              <w:rPr>
                <w:sz w:val="20"/>
                <w:szCs w:val="20"/>
                <w:color w:val="auto"/>
              </w:rPr>
            </w:pPr>
            <w:r>
              <w:rPr>
                <w:rFonts w:ascii="Times New Roman" w:cs="Times New Roman" w:eastAsia="Times New Roman" w:hAnsi="Times New Roman"/>
                <w:sz w:val="22"/>
                <w:szCs w:val="22"/>
                <w:color w:val="auto"/>
              </w:rPr>
              <w:t>CID004403 Compliant</w:t>
            </w:r>
          </w:p>
        </w:tc>
      </w:tr>
      <w:tr>
        <w:trPr>
          <w:trHeight w:val="270"/>
        </w:trPr>
        <w:tc>
          <w:tcPr>
            <w:tcW w:w="1020" w:type="dxa"/>
            <w:vAlign w:val="bottom"/>
          </w:tcPr>
          <w:p>
            <w:pPr>
              <w:spacing w:after="0"/>
              <w:rPr>
                <w:sz w:val="23"/>
                <w:szCs w:val="23"/>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MINING SMELTING</w:t>
            </w:r>
          </w:p>
        </w:tc>
        <w:tc>
          <w:tcPr>
            <w:tcW w:w="3560" w:type="dxa"/>
            <w:vAlign w:val="bottom"/>
          </w:tcPr>
          <w:p>
            <w:pPr>
              <w:spacing w:after="0"/>
              <w:rPr>
                <w:sz w:val="23"/>
                <w:szCs w:val="23"/>
                <w:color w:val="auto"/>
              </w:rPr>
            </w:pP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Woodcross Smelting Company Limited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CID004724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Advanced Metals Greenbushes Pty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CID004754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Dongguan Best Alloys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CID000377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Jiangxi New Nanshan Technology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CID001231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P Kay Metal, Inc</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CID005189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Xiamen Tungsten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CID002082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Chongyi Zhangyuan Tungsten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CID000258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Global Tungsten &amp; Powders LLC</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CID000568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Xiamen Tungsten (H.C.)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CID002320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H.C. Starck Tungsten GmbH</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CID002541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Masan High-Tech Materials</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CID002543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Ganzhou Seadragon W &amp; Mo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CID002494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Wolfram Bergbau und Hutten AG</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CID002044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Niagara Refining LLC</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CID002589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Japan New Metals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CID000825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Jiangwu H.C. Starck Tungsten Products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CID002551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A.L.M.T. Corp.</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CID000004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Jiangxi Xinsheng Tungsten Industry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CID002317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Jiangxi Yaosheng Tungsten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CID002316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Kennametal Huntsville</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CID000105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TANIOBIS Smelting GmbH &amp; Co. KG</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CID002542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Jiangxi Gan Bei Tungsten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CID002321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China Molybdenum Tungsten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CID002641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Guangdong Xianglu Tungsten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CID000218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Hubei Green Tungsten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CID003417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Lianyou Metals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CID003407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Cronimet Brasil Ltda</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CID003468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Tungsten Vietnam Joint Stock Company</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CID003993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Lianyou Advanced Materials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CID004397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Shinwon Tungsten (Fujian Shanghang)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CID004430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KENEE MINING VIETNAM COMPANY LIMITED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CID004619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Kennametal Fallon</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CID000966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Malipo Haiyu Tungsten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CID002319 Compliant</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Asia Tungsten Products Vietnam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CID002502 Compliant</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Jing Yuan Tungsten Technology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2"/>
                <w:szCs w:val="22"/>
                <w:color w:val="auto"/>
              </w:rPr>
              <w:t>CID005012 Compliant</w:t>
            </w:r>
          </w:p>
        </w:tc>
      </w:tr>
      <w:tr>
        <w:trPr>
          <w:trHeight w:val="243"/>
        </w:trPr>
        <w:tc>
          <w:tcPr>
            <w:tcW w:w="102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12"/>
        </w:trPr>
        <w:tc>
          <w:tcPr>
            <w:tcW w:w="102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22"/>
                <w:szCs w:val="22"/>
                <w:b w:val="1"/>
                <w:bCs w:val="1"/>
                <w:color w:val="auto"/>
              </w:rPr>
              <w:t>Not</w:t>
            </w:r>
          </w:p>
        </w:tc>
        <w:tc>
          <w:tcPr>
            <w:tcW w:w="66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r>
      <w:tr>
        <w:trPr>
          <w:trHeight w:val="274"/>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Validated</w:t>
            </w:r>
          </w:p>
        </w:tc>
        <w:tc>
          <w:tcPr>
            <w:tcW w:w="6660" w:type="dxa"/>
            <w:vAlign w:val="bottom"/>
            <w:shd w:val="clear" w:color="auto" w:fill="CCEEFF"/>
          </w:tcPr>
          <w:p>
            <w:pPr>
              <w:spacing w:after="0"/>
              <w:rPr>
                <w:sz w:val="23"/>
                <w:szCs w:val="23"/>
                <w:color w:val="auto"/>
              </w:rPr>
            </w:pPr>
          </w:p>
        </w:tc>
        <w:tc>
          <w:tcPr>
            <w:tcW w:w="3560" w:type="dxa"/>
            <w:vAlign w:val="bottom"/>
            <w:shd w:val="clear" w:color="auto" w:fill="CCEEFF"/>
          </w:tcPr>
          <w:p>
            <w:pPr>
              <w:spacing w:after="0"/>
              <w:rPr>
                <w:sz w:val="23"/>
                <w:szCs w:val="23"/>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Tantalum</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Jiangxi Suns Nonferrous Materials Co. Ltd.</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CID004813 On CFSP Active List</w:t>
            </w:r>
            <w:r>
              <w:rPr>
                <w:rFonts w:ascii="Times New Roman" w:cs="Times New Roman" w:eastAsia="Times New Roman" w:hAnsi="Times New Roman"/>
                <w:sz w:val="28"/>
                <w:szCs w:val="28"/>
                <w:color w:val="auto"/>
                <w:vertAlign w:val="superscript"/>
              </w:rPr>
              <w:t>(a)</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PT Aries Kencana Sejahtera</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CID000309 In Communication</w:t>
            </w:r>
            <w:r>
              <w:rPr>
                <w:rFonts w:ascii="Times New Roman" w:cs="Times New Roman" w:eastAsia="Times New Roman" w:hAnsi="Times New Roman"/>
                <w:sz w:val="28"/>
                <w:szCs w:val="28"/>
                <w:color w:val="auto"/>
                <w:vertAlign w:val="superscript"/>
              </w:rPr>
              <w:t>(b)</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color w:val="auto"/>
              </w:rPr>
              <w:t>CRM Fundicao De Metais E Comercio De Equipamentos Eletronicos Do</w:t>
            </w:r>
          </w:p>
        </w:tc>
        <w:tc>
          <w:tcPr>
            <w:tcW w:w="3560" w:type="dxa"/>
            <w:vAlign w:val="bottom"/>
          </w:tcPr>
          <w:p>
            <w:pPr>
              <w:ind w:left="200"/>
              <w:spacing w:after="0" w:line="216" w:lineRule="exact"/>
              <w:rPr>
                <w:sz w:val="20"/>
                <w:szCs w:val="20"/>
                <w:color w:val="auto"/>
              </w:rPr>
            </w:pPr>
            <w:r>
              <w:rPr>
                <w:rFonts w:ascii="Times New Roman" w:cs="Times New Roman" w:eastAsia="Times New Roman" w:hAnsi="Times New Roman"/>
                <w:sz w:val="16"/>
                <w:szCs w:val="16"/>
                <w:color w:val="auto"/>
              </w:rPr>
              <w:t>CID003486 On CFSP Active List</w:t>
            </w:r>
            <w:r>
              <w:rPr>
                <w:rFonts w:ascii="Times New Roman" w:cs="Times New Roman" w:eastAsia="Times New Roman" w:hAnsi="Times New Roman"/>
                <w:sz w:val="24"/>
                <w:szCs w:val="24"/>
                <w:color w:val="auto"/>
                <w:vertAlign w:val="superscript"/>
              </w:rPr>
              <w:t>(a)</w:t>
            </w:r>
          </w:p>
        </w:tc>
      </w:tr>
      <w:tr>
        <w:trPr>
          <w:trHeight w:val="270"/>
        </w:trPr>
        <w:tc>
          <w:tcPr>
            <w:tcW w:w="1020" w:type="dxa"/>
            <w:vAlign w:val="bottom"/>
          </w:tcPr>
          <w:p>
            <w:pPr>
              <w:spacing w:after="0"/>
              <w:rPr>
                <w:sz w:val="23"/>
                <w:szCs w:val="23"/>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Brasil Ltda</w:t>
            </w:r>
          </w:p>
        </w:tc>
        <w:tc>
          <w:tcPr>
            <w:tcW w:w="3560" w:type="dxa"/>
            <w:vAlign w:val="bottom"/>
          </w:tcPr>
          <w:p>
            <w:pPr>
              <w:spacing w:after="0"/>
              <w:rPr>
                <w:sz w:val="23"/>
                <w:szCs w:val="23"/>
                <w:color w:val="auto"/>
              </w:rPr>
            </w:pP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PT Artha Cipta Langgeng</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CID001399 On CFSP Active List</w:t>
            </w:r>
            <w:r>
              <w:rPr>
                <w:rFonts w:ascii="Times New Roman" w:cs="Times New Roman" w:eastAsia="Times New Roman" w:hAnsi="Times New Roman"/>
                <w:sz w:val="28"/>
                <w:szCs w:val="28"/>
                <w:color w:val="auto"/>
                <w:vertAlign w:val="superscript"/>
              </w:rPr>
              <w:t>(a)</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6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PT Masbro Alam Stania</w:t>
            </w:r>
          </w:p>
        </w:tc>
        <w:tc>
          <w:tcPr>
            <w:tcW w:w="3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CID003380 On CFSP Active List</w:t>
            </w:r>
            <w:r>
              <w:rPr>
                <w:rFonts w:ascii="Times New Roman" w:cs="Times New Roman" w:eastAsia="Times New Roman" w:hAnsi="Times New Roman"/>
                <w:sz w:val="28"/>
                <w:szCs w:val="28"/>
                <w:color w:val="auto"/>
                <w:vertAlign w:val="superscript"/>
              </w:rPr>
              <w:t>(a)</w:t>
            </w:r>
          </w:p>
        </w:tc>
      </w:tr>
      <w:tr>
        <w:trPr>
          <w:trHeight w:val="243"/>
        </w:trPr>
        <w:tc>
          <w:tcPr>
            <w:tcW w:w="1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Tungsten</w:t>
            </w:r>
          </w:p>
        </w:tc>
        <w:tc>
          <w:tcPr>
            <w:tcW w:w="66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Ganzhou Jiangwu Ferrotungsten Co., Ltd.</w:t>
            </w:r>
          </w:p>
        </w:tc>
        <w:tc>
          <w:tcPr>
            <w:tcW w:w="356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CID002315 On CFSP Active List</w:t>
            </w:r>
            <w:r>
              <w:rPr>
                <w:rFonts w:ascii="Times New Roman" w:cs="Times New Roman" w:eastAsia="Times New Roman" w:hAnsi="Times New Roman"/>
                <w:sz w:val="28"/>
                <w:szCs w:val="28"/>
                <w:color w:val="auto"/>
                <w:vertAlign w:val="superscript"/>
              </w:rPr>
              <w:t>(a)</w:t>
            </w:r>
          </w:p>
        </w:tc>
      </w:tr>
      <w:tr>
        <w:trPr>
          <w:trHeight w:val="475"/>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Tungsten</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Fujian Xinlu Tungsten Co., Ltd.</w:t>
            </w:r>
          </w:p>
        </w:tc>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CID003609 Non-compliant</w:t>
            </w:r>
            <w:r>
              <w:rPr>
                <w:rFonts w:ascii="Times New Roman" w:cs="Times New Roman" w:eastAsia="Times New Roman" w:hAnsi="Times New Roman"/>
                <w:sz w:val="35"/>
                <w:szCs w:val="35"/>
                <w:color w:val="auto"/>
                <w:vertAlign w:val="superscript"/>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140" w:right="2680" w:hanging="1132"/>
        <w:spacing w:after="0" w:line="243" w:lineRule="auto"/>
        <w:tabs>
          <w:tab w:leader="none" w:pos="11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Smelters and refiners on “CFSP Active” List are currently in the process of becoming compliant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79" w:orient="portrait"/>
          <w:cols w:equalWidth="0" w:num="1">
            <w:col w:w="11240"/>
          </w:cols>
          <w:pgMar w:left="320" w:top="130" w:right="339" w:bottom="0" w:gutter="0" w:footer="0" w:header="0"/>
        </w:sectPr>
      </w:pPr>
    </w:p>
    <w:bookmarkStart w:id="13" w:name="page14"/>
    <w:bookmarkEnd w:id="13"/>
    <w:p>
      <w:pPr>
        <w:ind w:left="1132" w:right="100" w:hanging="1132"/>
        <w:spacing w:after="0" w:line="242" w:lineRule="auto"/>
        <w:tabs>
          <w:tab w:leader="none" w:pos="11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Smelter and refiner on “In Communication” status is being pursued by RMI to participate in RMAP process and become compliant</w:t>
      </w:r>
    </w:p>
    <w:p>
      <w:pPr>
        <w:ind w:left="1132" w:hanging="1132"/>
        <w:spacing w:after="0" w:line="232" w:lineRule="auto"/>
        <w:tabs>
          <w:tab w:leader="none" w:pos="11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Smelter and refiner became non-conformant in January 2026 and engagement with in-scope Suppliers ongoing to remove them from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-616585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ind w:right="-291"/>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32"/>
      </w:cols>
      <w:pgMar w:left="328" w:top="11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upperLetter"/>
      <w:start w:val="9"/>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upperLetter"/>
      <w:start w:val="35"/>
    </w:lvl>
  </w:abstractNum>
  <w:abstractNum w:abstractNumId="5">
    <w:nsid w:val="216231B"/>
    <w:multiLevelType w:val="hybridMultilevel"/>
    <w:lvl w:ilvl="0">
      <w:lvlJc w:val="left"/>
      <w:lvlText w:val="%1."/>
      <w:numFmt w:val="upperLetter"/>
      <w:start w:val="61"/>
    </w:lvl>
  </w:abstractNum>
  <w:abstractNum w:abstractNumId="6">
    <w:nsid w:val="1F16E9E8"/>
    <w:multiLevelType w:val="hybridMultilevel"/>
    <w:lvl w:ilvl="0">
      <w:lvlJc w:val="left"/>
      <w:lvlText w:val="%1."/>
      <w:numFmt w:val="lowerLetter"/>
      <w:start w:val="1"/>
    </w:lvl>
    <w:lvl w:ilvl="1">
      <w:lvlJc w:val="left"/>
      <w:lvlText w:val="%2"/>
      <w:numFmt w:val="lowerLetter"/>
      <w:start w:val="1"/>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1."/>
      <w:numFmt w:val="decimal"/>
      <w:start w:val="1"/>
    </w:lvl>
    <w:lvl w:ilvl="1">
      <w:lvlJc w:val="left"/>
      <w:lvlText w:val="%2."/>
      <w:numFmt w:val="lowerRoman"/>
      <w:start w:val="3"/>
    </w:lvl>
  </w:abstractNum>
  <w:abstractNum w:abstractNumId="9">
    <w:nsid w:val="140E0F76"/>
    <w:multiLevelType w:val="hybridMultilevel"/>
    <w:lvl w:ilvl="0">
      <w:lvlJc w:val="left"/>
      <w:lvlText w:val="%1."/>
      <w:numFmt w:val="lowerRoman"/>
      <w:start w:val="4"/>
    </w:lvl>
  </w:abstractNum>
  <w:abstractNum w:abstractNumId="10">
    <w:nsid w:val="3352255A"/>
    <w:multiLevelType w:val="hybridMultilevel"/>
    <w:lvl w:ilvl="0">
      <w:lvlJc w:val="left"/>
      <w:lvlText w:val="%1."/>
      <w:numFmt w:val="lowerRoman"/>
      <w:start w:val="5"/>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2026-05-28T07:11:13Z</dcterms:created>
  <dcterms:modified xsi:type="dcterms:W3CDTF">2026-05-28T07:11:13Z</dcterms:modified>
</cp:coreProperties>
</file>