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4"/>
        </w:rPr>
      </w:pPr>
      <w:bookmarkStart w:id="0" w:name="form10q.htm"/>
      <w:bookmarkStart w:id="1" w:name="ksform10q"/>
      <w:bookmarkEnd w:id="0"/>
      <w:bookmarkEnd w:id="1"/>
      <w:r>
        <w:rPr>
          <w:rFonts w:ascii="Times New Roman" w:hAnsi="Times New Roman"/>
          <w:b/>
          <w:color w:val="000000"/>
          <w:sz w:val="24"/>
        </w:rPr>
        <w:t>UNITED STATES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SECURITIES AND EXCHANGE COMMISSION</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FORM 10-Q</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pPr>
      <w:r>
        <w:rPr>
          <w:color w:val="000000"/>
        </w:rPr>
        <w:t xml:space="preserve">        </w:t>
      </w:r>
      <w:r>
        <w:rPr>
          <w:rFonts w:ascii="Times New Roman" w:hAnsi="Times New Roman"/>
          <w:color w:val="000000"/>
          <w:sz w:val="24"/>
        </w:rPr>
        <w:t>(Mark One)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540"/>
        <w:jc w:val="both"/>
        <w:rPr>
          <w:color w:val="000000"/>
        </w:rPr>
      </w:pPr>
      <w:r>
        <w:rPr>
          <w:color w:val="000000"/>
        </w:rPr>
        <w:t>☒   </w:t>
      </w:r>
      <w:r>
        <w:rPr>
          <w:rFonts w:ascii="Times New Roman" w:hAnsi="Times New Roman"/>
          <w:b/>
          <w:color w:val="000000"/>
          <w:sz w:val="24"/>
        </w:rPr>
        <w:t xml:space="preserve">QUARTERLY REPORT PURSUANT TO SECTION 13 OR 15(d) OF THE SECURITIES EXCHANGE ACT OF 1934 </w:t>
      </w:r>
    </w:p>
    <w:p>
      <w:pPr>
        <w:pStyle w:val="TextBody"/>
        <w:bidi w:val="0"/>
        <w:spacing w:before="0" w:after="0"/>
        <w:jc w:val="both"/>
        <w:rPr/>
      </w:pPr>
      <w:r>
        <w:rPr/>
        <w:t xml:space="preserve">  </w:t>
      </w:r>
    </w:p>
    <w:p>
      <w:pPr>
        <w:pStyle w:val="TextBody"/>
        <w:bidi w:val="0"/>
        <w:spacing w:before="0" w:after="0"/>
        <w:jc w:val="both"/>
        <w:rPr/>
      </w:pPr>
      <w:r>
        <w:rPr>
          <w:color w:val="000000"/>
        </w:rPr>
        <w:t xml:space="preserve">      </w:t>
      </w:r>
      <w:r>
        <w:rPr>
          <w:rFonts w:ascii="Times New Roman" w:hAnsi="Times New Roman"/>
          <w:b/>
          <w:color w:val="000000"/>
          <w:sz w:val="24"/>
        </w:rPr>
        <w:t>For the quarterly period ended           July 4, 2026</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540"/>
        <w:jc w:val="both"/>
        <w:rPr>
          <w:color w:val="000000"/>
        </w:rPr>
      </w:pPr>
      <w:r>
        <w:rPr>
          <w:color w:val="000000"/>
        </w:rPr>
        <w:t>☐   </w:t>
      </w:r>
      <w:r>
        <w:rPr>
          <w:rFonts w:ascii="Times New Roman" w:hAnsi="Times New Roman"/>
          <w:b/>
          <w:color w:val="000000"/>
          <w:sz w:val="24"/>
        </w:rPr>
        <w:t xml:space="preserve">TRANSITION REPORT PURSUANT TO SECTION 13 OR 15(d) OF THE SECURITIES EXCHANGE ACT OF 1934 </w:t>
      </w:r>
    </w:p>
    <w:p>
      <w:pPr>
        <w:pStyle w:val="TextBody"/>
        <w:bidi w:val="0"/>
        <w:spacing w:before="0" w:after="0"/>
        <w:jc w:val="both"/>
        <w:rPr/>
      </w:pPr>
      <w:r>
        <w:rPr/>
        <w:t xml:space="preserve">  </w:t>
      </w:r>
    </w:p>
    <w:p>
      <w:pPr>
        <w:pStyle w:val="TextBody"/>
        <w:bidi w:val="0"/>
        <w:spacing w:before="0" w:after="0"/>
        <w:jc w:val="both"/>
        <w:rPr/>
      </w:pPr>
      <w:r>
        <w:rPr>
          <w:color w:val="000000"/>
        </w:rPr>
        <w:t>       </w:t>
      </w:r>
      <w:r>
        <w:rPr>
          <w:rFonts w:ascii="Times New Roman" w:hAnsi="Times New Roman"/>
          <w:color w:val="000000"/>
          <w:sz w:val="24"/>
        </w:rPr>
        <w:t xml:space="preserve">For the transition period from </w:t>
      </w:r>
      <w:r>
        <w:rPr>
          <w:rFonts w:ascii="Times New Roman" w:hAnsi="Times New Roman"/>
          <w:color w:val="000000"/>
          <w:sz w:val="24"/>
          <w:u w:val="single"/>
        </w:rPr>
        <w:t>_______</w:t>
      </w:r>
      <w:r>
        <w:rPr>
          <w:rFonts w:ascii="Times New Roman" w:hAnsi="Times New Roman"/>
          <w:color w:val="000000"/>
          <w:sz w:val="24"/>
        </w:rPr>
        <w:t> </w:t>
      </w:r>
      <w:r>
        <w:rPr>
          <w:rFonts w:ascii="Times New Roman" w:hAnsi="Times New Roman"/>
          <w:b/>
          <w:color w:val="000000"/>
          <w:sz w:val="24"/>
        </w:rPr>
        <w:t xml:space="preserve">to </w:t>
      </w:r>
      <w:r>
        <w:rPr>
          <w:rFonts w:ascii="Times New Roman" w:hAnsi="Times New Roman"/>
          <w:color w:val="000000"/>
          <w:sz w:val="24"/>
          <w:u w:val="single"/>
        </w:rPr>
        <w:t>_______</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Commission File Number 011-07416</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48"/>
        </w:rPr>
      </w:pPr>
      <w:r>
        <w:rPr>
          <w:rFonts w:ascii="Times New Roman" w:hAnsi="Times New Roman"/>
          <w:b/>
          <w:color w:val="000000"/>
          <w:sz w:val="48"/>
        </w:rPr>
        <w:t>Vishay Intertechnology, Inc.</w:t>
      </w:r>
      <w:r>
        <w:rPr>
          <w:rFonts w:ascii="Times New Roman" w:hAnsi="Times New Roman"/>
          <w:sz w:val="48"/>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4"/>
        </w:rPr>
        <w:t>(Exact name of registrant as specified in its charter)</w:t>
      </w:r>
      <w:r>
        <w:rPr>
          <w:rFonts w:ascii="Times New Roman" w:hAnsi="Times New Roman"/>
          <w:sz w:val="24"/>
        </w:rPr>
        <w:t xml:space="preserve"> </w:t>
      </w:r>
    </w:p>
    <w:p>
      <w:pPr>
        <w:pStyle w:val="TextBody"/>
        <w:bidi w:val="0"/>
        <w:spacing w:before="0" w:after="0"/>
        <w:jc w:val="both"/>
        <w:rPr/>
      </w:pPr>
      <w:r>
        <w:rPr/>
        <w:t xml:space="preserve">  </w:t>
      </w:r>
    </w:p>
    <w:tbl>
      <w:tblPr>
        <w:tblW w:w="9418" w:type="dxa"/>
        <w:jc w:val="left"/>
        <w:tblInd w:w="0" w:type="dxa"/>
        <w:tblLayout w:type="fixed"/>
        <w:tblCellMar>
          <w:top w:w="0" w:type="dxa"/>
          <w:left w:w="0" w:type="dxa"/>
          <w:bottom w:w="28" w:type="dxa"/>
          <w:right w:w="0" w:type="dxa"/>
        </w:tblCellMar>
      </w:tblPr>
      <w:tblGrid>
        <w:gridCol w:w="4381"/>
        <w:gridCol w:w="146"/>
        <w:gridCol w:w="4891"/>
      </w:tblGrid>
      <w:tr>
        <w:trPr/>
        <w:tc>
          <w:tcPr>
            <w:tcW w:w="4381" w:type="dxa"/>
            <w:tcBorders>
              <w:bottom w:val="single" w:sz="8" w:space="0" w:color="000000"/>
            </w:tcBorders>
            <w:vAlign w:val="center"/>
          </w:tcPr>
          <w:p>
            <w:pPr>
              <w:pStyle w:val="TableContents"/>
              <w:bidi w:val="0"/>
              <w:spacing w:before="0" w:after="283"/>
              <w:jc w:val="center"/>
              <w:rPr/>
            </w:pPr>
            <w:r>
              <w:rPr>
                <w:b/>
                <w:color w:val="000000"/>
              </w:rPr>
              <w:t>Delaware</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891" w:type="dxa"/>
            <w:tcBorders>
              <w:bottom w:val="single" w:sz="8" w:space="0" w:color="000000"/>
            </w:tcBorders>
            <w:vAlign w:val="center"/>
          </w:tcPr>
          <w:p>
            <w:pPr>
              <w:pStyle w:val="TableContents"/>
              <w:bidi w:val="0"/>
              <w:spacing w:before="0" w:after="283"/>
              <w:jc w:val="center"/>
              <w:rPr/>
            </w:pPr>
            <w:r>
              <w:rPr>
                <w:b/>
                <w:color w:val="000000"/>
              </w:rPr>
              <w:t>38-1686453</w:t>
            </w:r>
            <w:r>
              <w:rPr/>
              <w:t xml:space="preserve"> </w:t>
            </w:r>
          </w:p>
        </w:tc>
      </w:tr>
      <w:tr>
        <w:trPr/>
        <w:tc>
          <w:tcPr>
            <w:tcW w:w="4381" w:type="dxa"/>
            <w:tcBorders/>
            <w:tcMar>
              <w:bottom w:w="0" w:type="dxa"/>
            </w:tcMar>
            <w:vAlign w:val="center"/>
          </w:tcPr>
          <w:p>
            <w:pPr>
              <w:pStyle w:val="TableContents"/>
              <w:bidi w:val="0"/>
              <w:spacing w:before="0" w:after="283"/>
              <w:jc w:val="center"/>
              <w:rPr/>
            </w:pPr>
            <w:r>
              <w:rPr>
                <w:color w:val="000000"/>
              </w:rPr>
              <w:t>(State or Other Jurisdiction of Incorporation)</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891" w:type="dxa"/>
            <w:tcBorders/>
            <w:tcMar>
              <w:bottom w:w="0" w:type="dxa"/>
            </w:tcMar>
            <w:vAlign w:val="center"/>
          </w:tcPr>
          <w:p>
            <w:pPr>
              <w:pStyle w:val="TableContents"/>
              <w:bidi w:val="0"/>
              <w:spacing w:before="0" w:after="283"/>
              <w:jc w:val="center"/>
              <w:rPr/>
            </w:pPr>
            <w:r>
              <w:rPr>
                <w:color w:val="000000"/>
              </w:rPr>
              <w:t>(I.R.S. Employer Identification Number)</w:t>
            </w:r>
            <w:r>
              <w:rPr/>
              <w:t xml:space="preserve"> </w:t>
            </w:r>
          </w:p>
        </w:tc>
      </w:tr>
      <w:tr>
        <w:trPr/>
        <w:tc>
          <w:tcPr>
            <w:tcW w:w="4381"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891" w:type="dxa"/>
            <w:tcBorders/>
            <w:tcMar>
              <w:top w:w="28" w:type="dxa"/>
              <w:left w:w="28" w:type="dxa"/>
              <w:right w:w="28" w:type="dxa"/>
            </w:tcMar>
            <w:vAlign w:val="center"/>
          </w:tcPr>
          <w:p>
            <w:pPr>
              <w:pStyle w:val="TableContents"/>
              <w:bidi w:val="0"/>
              <w:spacing w:before="0" w:after="283"/>
              <w:jc w:val="left"/>
              <w:rPr/>
            </w:pPr>
            <w:r>
              <w:rPr/>
              <w:t> </w:t>
            </w:r>
          </w:p>
        </w:tc>
      </w:tr>
      <w:tr>
        <w:trPr/>
        <w:tc>
          <w:tcPr>
            <w:tcW w:w="4381" w:type="dxa"/>
            <w:tcBorders>
              <w:bottom w:val="single" w:sz="8" w:space="0" w:color="000000"/>
            </w:tcBorders>
            <w:vAlign w:val="center"/>
          </w:tcPr>
          <w:p>
            <w:pPr>
              <w:pStyle w:val="TableContents"/>
              <w:bidi w:val="0"/>
              <w:spacing w:before="0" w:after="283"/>
              <w:jc w:val="center"/>
              <w:rPr/>
            </w:pPr>
            <w:r>
              <w:rPr>
                <w:b/>
                <w:color w:val="000000"/>
              </w:rPr>
              <w:t xml:space="preserve">63 Lancaster Avenue </w:t>
              <w:br/>
              <w:t>Malvern, Pennsylvania 19355-2143</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891" w:type="dxa"/>
            <w:tcBorders>
              <w:bottom w:val="single" w:sz="8" w:space="0" w:color="000000"/>
            </w:tcBorders>
            <w:vAlign w:val="center"/>
          </w:tcPr>
          <w:p>
            <w:pPr>
              <w:pStyle w:val="TableContents"/>
              <w:bidi w:val="0"/>
              <w:spacing w:before="0" w:after="283"/>
              <w:jc w:val="center"/>
              <w:rPr/>
            </w:pPr>
            <w:r>
              <w:rPr>
                <w:b/>
                <w:color w:val="000000"/>
              </w:rPr>
              <w:t>610-644-1300</w:t>
            </w:r>
            <w:r>
              <w:rPr/>
              <w:t xml:space="preserve"> </w:t>
            </w:r>
          </w:p>
        </w:tc>
      </w:tr>
      <w:tr>
        <w:trPr/>
        <w:tc>
          <w:tcPr>
            <w:tcW w:w="4381" w:type="dxa"/>
            <w:tcBorders/>
            <w:tcMar>
              <w:bottom w:w="0" w:type="dxa"/>
            </w:tcMar>
            <w:vAlign w:val="center"/>
          </w:tcPr>
          <w:p>
            <w:pPr>
              <w:pStyle w:val="TableContents"/>
              <w:bidi w:val="0"/>
              <w:spacing w:before="0" w:after="283"/>
              <w:jc w:val="center"/>
              <w:rPr/>
            </w:pPr>
            <w:r>
              <w:rPr>
                <w:color w:val="000000"/>
              </w:rPr>
              <w:t>(Address of Principal Executive Offices)</w:t>
            </w:r>
            <w:r>
              <w:rPr/>
              <w:t xml:space="preserve">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4891" w:type="dxa"/>
            <w:tcBorders/>
            <w:tcMar>
              <w:bottom w:w="0" w:type="dxa"/>
            </w:tcMar>
            <w:vAlign w:val="center"/>
          </w:tcPr>
          <w:p>
            <w:pPr>
              <w:pStyle w:val="TableContents"/>
              <w:bidi w:val="0"/>
              <w:spacing w:before="0" w:after="283"/>
              <w:jc w:val="center"/>
              <w:rPr/>
            </w:pPr>
            <w:r>
              <w:rPr>
                <w:color w:val="000000"/>
              </w:rPr>
              <w:t>(Registrant’s Area Code and Telephone Number)</w:t>
            </w:r>
            <w:r>
              <w:rPr/>
              <w:t xml:space="preserve">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Securities registered pursuant to Section 12(b) of the Act:</w:t>
      </w:r>
      <w:r>
        <w:rPr>
          <w:rFonts w:ascii="Times New Roman" w:hAnsi="Times New Roman"/>
          <w:sz w:val="24"/>
        </w:rPr>
        <w:t xml:space="preserve"> </w:t>
      </w:r>
    </w:p>
    <w:tbl>
      <w:tblPr>
        <w:tblW w:w="10000" w:type="dxa"/>
        <w:jc w:val="left"/>
        <w:tblInd w:w="0" w:type="dxa"/>
        <w:tblLayout w:type="fixed"/>
        <w:tblCellMar>
          <w:top w:w="28" w:type="dxa"/>
          <w:left w:w="28" w:type="dxa"/>
          <w:bottom w:w="28" w:type="dxa"/>
          <w:right w:w="28" w:type="dxa"/>
        </w:tblCellMar>
      </w:tblPr>
      <w:tblGrid>
        <w:gridCol w:w="161"/>
        <w:gridCol w:w="4111"/>
        <w:gridCol w:w="1666"/>
        <w:gridCol w:w="3871"/>
        <w:gridCol w:w="191"/>
      </w:tblGrid>
      <w:tr>
        <w:trPr/>
        <w:tc>
          <w:tcPr>
            <w:tcW w:w="161" w:type="dxa"/>
            <w:tcBorders/>
            <w:vAlign w:val="center"/>
          </w:tcPr>
          <w:p>
            <w:pPr>
              <w:pStyle w:val="TableContents"/>
              <w:bidi w:val="0"/>
              <w:spacing w:before="0" w:after="283"/>
              <w:jc w:val="left"/>
              <w:rPr/>
            </w:pPr>
            <w:r>
              <w:rPr/>
              <w:t> </w:t>
            </w:r>
          </w:p>
        </w:tc>
        <w:tc>
          <w:tcPr>
            <w:tcW w:w="41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61"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4111" w:type="dxa"/>
            <w:tcBorders>
              <w:left w:val="single" w:sz="12" w:space="0" w:color="000000"/>
              <w:bottom w:val="single" w:sz="8" w:space="0" w:color="000000"/>
              <w:right w:val="single" w:sz="12" w:space="0" w:color="000000"/>
            </w:tcBorders>
            <w:tcMar>
              <w:top w:w="0" w:type="dxa"/>
            </w:tcMar>
            <w:vAlign w:val="center"/>
          </w:tcPr>
          <w:p>
            <w:pPr>
              <w:pStyle w:val="TableContents"/>
              <w:bidi w:val="0"/>
              <w:spacing w:before="0" w:after="283"/>
              <w:jc w:val="center"/>
              <w:rPr/>
            </w:pPr>
            <w:r>
              <w:rPr>
                <w:color w:val="000000"/>
              </w:rPr>
              <w:t>Title of each class</w:t>
            </w:r>
            <w:r>
              <w:rPr/>
              <w:t xml:space="preserve"> </w:t>
            </w:r>
          </w:p>
        </w:tc>
        <w:tc>
          <w:tcPr>
            <w:tcW w:w="1666" w:type="dxa"/>
            <w:tcBorders>
              <w:left w:val="single" w:sz="12" w:space="0" w:color="000000"/>
              <w:bottom w:val="single" w:sz="8" w:space="0" w:color="000000"/>
              <w:right w:val="single" w:sz="12" w:space="0" w:color="000000"/>
            </w:tcBorders>
            <w:tcMar>
              <w:top w:w="0" w:type="dxa"/>
            </w:tcMar>
            <w:vAlign w:val="center"/>
          </w:tcPr>
          <w:p>
            <w:pPr>
              <w:pStyle w:val="TableContents"/>
              <w:bidi w:val="0"/>
              <w:spacing w:before="0" w:after="283"/>
              <w:jc w:val="center"/>
              <w:rPr/>
            </w:pPr>
            <w:r>
              <w:rPr>
                <w:color w:val="000000"/>
              </w:rPr>
              <w:t>Trading symbol</w:t>
            </w:r>
            <w:r>
              <w:rPr/>
              <w:t xml:space="preserve"> </w:t>
            </w:r>
          </w:p>
        </w:tc>
        <w:tc>
          <w:tcPr>
            <w:tcW w:w="3871" w:type="dxa"/>
            <w:tcBorders>
              <w:left w:val="single" w:sz="12" w:space="0" w:color="000000"/>
              <w:bottom w:val="single" w:sz="8" w:space="0" w:color="000000"/>
              <w:right w:val="single" w:sz="12" w:space="0" w:color="000000"/>
            </w:tcBorders>
            <w:tcMar>
              <w:top w:w="0" w:type="dxa"/>
            </w:tcMar>
            <w:vAlign w:val="center"/>
          </w:tcPr>
          <w:p>
            <w:pPr>
              <w:pStyle w:val="TableContents"/>
              <w:bidi w:val="0"/>
              <w:spacing w:before="0" w:after="283"/>
              <w:jc w:val="center"/>
              <w:rPr/>
            </w:pPr>
            <w:r>
              <w:rPr>
                <w:color w:val="000000"/>
              </w:rPr>
              <w:t>Name of exchange on which registered</w:t>
            </w:r>
            <w:r>
              <w:rPr/>
              <w:t xml:space="preserve"> </w:t>
            </w:r>
          </w:p>
        </w:tc>
        <w:tc>
          <w:tcPr>
            <w:tcW w:w="19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r>
      <w:tr>
        <w:trPr/>
        <w:tc>
          <w:tcPr>
            <w:tcW w:w="161" w:type="dxa"/>
            <w:tcBorders>
              <w:right w:val="single" w:sz="12" w:space="0" w:color="000000"/>
            </w:tcBorders>
            <w:tcMar>
              <w:top w:w="0" w:type="dxa"/>
              <w:left w:w="0" w:type="dxa"/>
              <w:bottom w:w="0" w:type="dxa"/>
            </w:tcMar>
            <w:vAlign w:val="center"/>
          </w:tcPr>
          <w:p>
            <w:pPr>
              <w:pStyle w:val="TableContents"/>
              <w:bidi w:val="0"/>
              <w:spacing w:before="0" w:after="283"/>
              <w:jc w:val="left"/>
              <w:rPr/>
            </w:pPr>
            <w:r>
              <w:rPr/>
              <w:t> </w:t>
            </w:r>
          </w:p>
        </w:tc>
        <w:tc>
          <w:tcPr>
            <w:tcW w:w="4111" w:type="dxa"/>
            <w:tcBorders>
              <w:left w:val="single" w:sz="12" w:space="0" w:color="000000"/>
              <w:bottom w:val="single" w:sz="8" w:space="0" w:color="000000"/>
              <w:right w:val="single" w:sz="12" w:space="0" w:color="000000"/>
            </w:tcBorders>
            <w:tcMar>
              <w:top w:w="0" w:type="dxa"/>
            </w:tcMar>
            <w:vAlign w:val="center"/>
          </w:tcPr>
          <w:p>
            <w:pPr>
              <w:pStyle w:val="TableContents"/>
              <w:bidi w:val="0"/>
              <w:spacing w:before="0" w:after="283"/>
              <w:jc w:val="center"/>
              <w:rPr/>
            </w:pPr>
            <w:r>
              <w:rPr>
                <w:color w:val="000000"/>
              </w:rPr>
              <w:t>Common stock, par value $0.10 per share</w:t>
            </w:r>
            <w:r>
              <w:rPr/>
              <w:t xml:space="preserve"> </w:t>
            </w:r>
          </w:p>
        </w:tc>
        <w:tc>
          <w:tcPr>
            <w:tcW w:w="1666" w:type="dxa"/>
            <w:tcBorders>
              <w:left w:val="single" w:sz="12" w:space="0" w:color="000000"/>
              <w:bottom w:val="single" w:sz="8" w:space="0" w:color="000000"/>
              <w:right w:val="single" w:sz="12" w:space="0" w:color="000000"/>
            </w:tcBorders>
            <w:tcMar>
              <w:top w:w="0" w:type="dxa"/>
            </w:tcMar>
            <w:vAlign w:val="center"/>
          </w:tcPr>
          <w:p>
            <w:pPr>
              <w:pStyle w:val="TableContents"/>
              <w:bidi w:val="0"/>
              <w:spacing w:before="0" w:after="283"/>
              <w:jc w:val="center"/>
              <w:rPr/>
            </w:pPr>
            <w:r>
              <w:rPr>
                <w:color w:val="000000"/>
              </w:rPr>
              <w:t>VSH</w:t>
            </w:r>
            <w:r>
              <w:rPr/>
              <w:t xml:space="preserve"> </w:t>
            </w:r>
          </w:p>
        </w:tc>
        <w:tc>
          <w:tcPr>
            <w:tcW w:w="3871" w:type="dxa"/>
            <w:tcBorders>
              <w:left w:val="single" w:sz="12" w:space="0" w:color="000000"/>
              <w:bottom w:val="single" w:sz="8" w:space="0" w:color="000000"/>
              <w:right w:val="single" w:sz="12" w:space="0" w:color="000000"/>
            </w:tcBorders>
            <w:tcMar>
              <w:top w:w="0" w:type="dxa"/>
            </w:tcMar>
            <w:vAlign w:val="center"/>
          </w:tcPr>
          <w:p>
            <w:pPr>
              <w:pStyle w:val="TableContents"/>
              <w:bidi w:val="0"/>
              <w:spacing w:before="0" w:after="283"/>
              <w:jc w:val="center"/>
              <w:rPr/>
            </w:pPr>
            <w:r>
              <w:rPr>
                <w:color w:val="000000"/>
              </w:rPr>
              <w:t>New York Stock Exchange LLC</w:t>
            </w:r>
            <w:r>
              <w:rPr/>
              <w:t xml:space="preserve"> </w:t>
            </w:r>
          </w:p>
        </w:tc>
        <w:tc>
          <w:tcPr>
            <w:tcW w:w="191" w:type="dxa"/>
            <w:tcBorders>
              <w:left w:val="single" w:sz="12" w:space="0" w:color="000000"/>
            </w:tcBorders>
            <w:tcMar>
              <w:top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r>
        <w:rPr>
          <w:rFonts w:ascii="Times New Roman" w:hAnsi="Times New Roman"/>
          <w:sz w:val="24"/>
        </w:rPr>
        <w:t xml:space="preserve"> </w:t>
      </w:r>
    </w:p>
    <w:p>
      <w:pPr>
        <w:pStyle w:val="TextBody"/>
        <w:bidi w:val="0"/>
        <w:spacing w:before="0" w:after="0"/>
        <w:jc w:val="both"/>
        <w:rPr/>
      </w:pPr>
      <w:r>
        <w:rPr>
          <w:color w:val="000000"/>
        </w:rPr>
        <w:t>☒</w:t>
      </w:r>
      <w:r>
        <w:rPr>
          <w:rFonts w:ascii="Times New Roman" w:hAnsi="Times New Roman"/>
          <w:color w:val="000000"/>
          <w:sz w:val="24"/>
        </w:rPr>
        <w:t>Yes  ☐ No</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sz w:val="24"/>
        </w:rPr>
        <w:t xml:space="preserve"> </w:t>
      </w:r>
    </w:p>
    <w:p>
      <w:pPr>
        <w:pStyle w:val="TextBody"/>
        <w:bidi w:val="0"/>
        <w:spacing w:before="0" w:after="0"/>
        <w:jc w:val="both"/>
        <w:rPr/>
      </w:pPr>
      <w:r>
        <w:rPr/>
        <w:t xml:space="preserve">  </w:t>
      </w:r>
    </w:p>
    <w:tbl>
      <w:tblPr>
        <w:tblW w:w="6238" w:type="dxa"/>
        <w:jc w:val="left"/>
        <w:tblInd w:w="0" w:type="dxa"/>
        <w:tblLayout w:type="fixed"/>
        <w:tblCellMar>
          <w:top w:w="28" w:type="dxa"/>
          <w:left w:w="28" w:type="dxa"/>
          <w:bottom w:w="28" w:type="dxa"/>
          <w:right w:w="28" w:type="dxa"/>
        </w:tblCellMar>
      </w:tblPr>
      <w:tblGrid>
        <w:gridCol w:w="161"/>
        <w:gridCol w:w="3031"/>
        <w:gridCol w:w="3046"/>
      </w:tblGrid>
      <w:tr>
        <w:trPr/>
        <w:tc>
          <w:tcPr>
            <w:tcW w:w="161" w:type="dxa"/>
            <w:tcBorders/>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pPr>
            <w:r>
              <w:rPr>
                <w:color w:val="000000"/>
              </w:rPr>
              <w:t>Large Accelerated Filer ☒</w:t>
            </w:r>
            <w:r>
              <w:rPr/>
              <w:t xml:space="preserve"> </w:t>
            </w:r>
          </w:p>
        </w:tc>
        <w:tc>
          <w:tcPr>
            <w:tcW w:w="3046" w:type="dxa"/>
            <w:tcBorders/>
            <w:tcMar>
              <w:top w:w="0" w:type="dxa"/>
              <w:left w:w="0" w:type="dxa"/>
              <w:bottom w:w="0" w:type="dxa"/>
              <w:right w:w="0" w:type="dxa"/>
            </w:tcMar>
            <w:vAlign w:val="center"/>
          </w:tcPr>
          <w:p>
            <w:pPr>
              <w:pStyle w:val="TableContents"/>
              <w:bidi w:val="0"/>
              <w:spacing w:before="0" w:after="283"/>
              <w:jc w:val="both"/>
              <w:rPr/>
            </w:pPr>
            <w:r>
              <w:rPr>
                <w:color w:val="000000"/>
              </w:rPr>
              <w:t>Accelerated filer ☐</w:t>
            </w:r>
            <w:r>
              <w:rPr/>
              <w:t xml:space="preserve"> </w:t>
            </w:r>
          </w:p>
        </w:tc>
      </w:tr>
      <w:tr>
        <w:trPr/>
        <w:tc>
          <w:tcPr>
            <w:tcW w:w="161" w:type="dxa"/>
            <w:tcBorders/>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pPr>
            <w:r>
              <w:rPr>
                <w:color w:val="000000"/>
              </w:rPr>
              <w:t>Non-accelerated filer ☐</w:t>
            </w:r>
            <w:r>
              <w:rPr/>
              <w:t xml:space="preserve"> </w:t>
            </w:r>
          </w:p>
        </w:tc>
        <w:tc>
          <w:tcPr>
            <w:tcW w:w="3046" w:type="dxa"/>
            <w:tcBorders/>
            <w:tcMar>
              <w:top w:w="0" w:type="dxa"/>
              <w:left w:w="0" w:type="dxa"/>
              <w:bottom w:w="0" w:type="dxa"/>
              <w:right w:w="0" w:type="dxa"/>
            </w:tcMar>
            <w:vAlign w:val="center"/>
          </w:tcPr>
          <w:p>
            <w:pPr>
              <w:pStyle w:val="TableContents"/>
              <w:bidi w:val="0"/>
              <w:spacing w:before="0" w:after="283"/>
              <w:jc w:val="both"/>
              <w:rPr/>
            </w:pPr>
            <w:r>
              <w:rPr>
                <w:color w:val="000000"/>
              </w:rPr>
              <w:t>Smaller reporting company ☐</w:t>
            </w:r>
            <w:r>
              <w:rPr/>
              <w:t xml:space="preserve"> </w:t>
            </w:r>
          </w:p>
        </w:tc>
      </w:tr>
      <w:tr>
        <w:trPr/>
        <w:tc>
          <w:tcPr>
            <w:tcW w:w="161" w:type="dxa"/>
            <w:tcBorders/>
            <w:vAlign w:val="center"/>
          </w:tcPr>
          <w:p>
            <w:pPr>
              <w:pStyle w:val="TableContents"/>
              <w:bidi w:val="0"/>
              <w:spacing w:before="0" w:after="283"/>
              <w:jc w:val="left"/>
              <w:rPr/>
            </w:pPr>
            <w:r>
              <w:rPr/>
              <w:t> </w:t>
            </w:r>
          </w:p>
        </w:tc>
        <w:tc>
          <w:tcPr>
            <w:tcW w:w="3031" w:type="dxa"/>
            <w:tcBorders/>
            <w:tcMar>
              <w:top w:w="0" w:type="dxa"/>
              <w:left w:w="0" w:type="dxa"/>
              <w:bottom w:w="0" w:type="dxa"/>
              <w:right w:w="0" w:type="dxa"/>
            </w:tcMar>
            <w:vAlign w:val="center"/>
          </w:tcPr>
          <w:p>
            <w:pPr>
              <w:pStyle w:val="TableContents"/>
              <w:bidi w:val="0"/>
              <w:spacing w:before="0" w:after="283"/>
              <w:jc w:val="both"/>
              <w:rPr/>
            </w:pPr>
            <w:r>
              <w:rPr>
                <w:color w:val="000000"/>
              </w:rPr>
              <w:t>Emerging growth company ☐</w:t>
            </w:r>
            <w:r>
              <w:rPr/>
              <w:t xml:space="preserve"> </w:t>
            </w:r>
          </w:p>
        </w:tc>
        <w:tc>
          <w:tcPr>
            <w:tcW w:w="3046" w:type="dxa"/>
            <w:tcBorders/>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Indicate by check mark whether the registrant is a shell company (as defined in Rule 12b-2 of the Exchange Act).</w:t>
      </w:r>
      <w:r>
        <w:rPr>
          <w:rFonts w:ascii="Times New Roman" w:hAnsi="Times New Roman"/>
          <w:sz w:val="24"/>
        </w:rPr>
        <w:t xml:space="preserve"> </w:t>
      </w:r>
    </w:p>
    <w:p>
      <w:pPr>
        <w:pStyle w:val="TextBody"/>
        <w:bidi w:val="0"/>
        <w:spacing w:before="0" w:after="0"/>
        <w:jc w:val="both"/>
        <w:rPr/>
      </w:pPr>
      <w:r>
        <w:rPr>
          <w:color w:val="000000"/>
        </w:rPr>
        <w:t>☐ </w:t>
      </w:r>
      <w:r>
        <w:rPr>
          <w:rFonts w:ascii="Times New Roman" w:hAnsi="Times New Roman"/>
          <w:color w:val="000000"/>
          <w:sz w:val="24"/>
        </w:rPr>
        <w:t>Yes  ☒ No</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As of August 3, 2026 the registrant had 141,282,019 shares of its common stock and 12,097,148 shares of its Class B common stock outstanding.</w:t>
      </w:r>
      <w:r>
        <w:rPr>
          <w:rFonts w:ascii="Times New Roman" w:hAnsi="Times New Roman"/>
          <w:sz w:val="24"/>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center"/>
        <w:rPr>
          <w:rFonts w:ascii="Times New Roman" w:hAnsi="Times New Roman"/>
          <w:sz w:val="24"/>
        </w:rPr>
      </w:pPr>
      <w:r>
        <w:rPr>
          <w:rFonts w:ascii="Times New Roman" w:hAnsi="Times New Roman"/>
          <w:b/>
          <w:color w:val="000000"/>
          <w:sz w:val="24"/>
          <w:u w:val="single"/>
        </w:rPr>
        <w:t>This page intentionally left blank.</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VISHAY INTERTECHNOLOGY,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FORM 10-Q</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July 4, 2026</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4"/>
        </w:rPr>
        <w:t>CONTENTS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28" w:type="dxa"/>
          <w:left w:w="28" w:type="dxa"/>
          <w:bottom w:w="28" w:type="dxa"/>
          <w:right w:w="28" w:type="dxa"/>
        </w:tblCellMar>
      </w:tblPr>
      <w:tblGrid>
        <w:gridCol w:w="161"/>
        <w:gridCol w:w="855"/>
        <w:gridCol w:w="7764"/>
        <w:gridCol w:w="146"/>
        <w:gridCol w:w="1279"/>
      </w:tblGrid>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xml:space="preserve">Page Number </w:t>
            </w:r>
          </w:p>
        </w:tc>
      </w:tr>
      <w:tr>
        <w:trPr/>
        <w:tc>
          <w:tcPr>
            <w:tcW w:w="1016" w:type="dxa"/>
            <w:gridSpan w:val="2"/>
            <w:tcBorders/>
            <w:shd w:fill="CCEEFF" w:val="clear"/>
            <w:tcMar>
              <w:top w:w="0" w:type="dxa"/>
              <w:left w:w="0" w:type="dxa"/>
              <w:bottom w:w="0" w:type="dxa"/>
              <w:right w:w="0" w:type="dxa"/>
            </w:tcMar>
            <w:vAlign w:val="center"/>
          </w:tcPr>
          <w:p>
            <w:pPr>
              <w:pStyle w:val="TableContents"/>
              <w:bidi w:val="0"/>
              <w:spacing w:before="0" w:after="0"/>
              <w:jc w:val="left"/>
              <w:rPr/>
            </w:pPr>
            <w:hyperlink w:anchor="PARTI">
              <w:r>
                <w:rPr>
                  <w:rStyle w:val="InternetLink"/>
                  <w:b/>
                </w:rPr>
                <w:t>PART I.</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I">
              <w:r>
                <w:rPr>
                  <w:rStyle w:val="InternetLink"/>
                  <w:b/>
                </w:rPr>
                <w:t>FINANCIAL INFORMATION</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_FS">
              <w:r>
                <w:rPr>
                  <w:rStyle w:val="InternetLink"/>
                </w:rPr>
                <w:t>Item 1.</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1_FS">
              <w:r>
                <w:rPr>
                  <w:rStyle w:val="InternetLink"/>
                </w:rPr>
                <w:t>Financial Statements (Unaudited)</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BS">
              <w:r>
                <w:rPr>
                  <w:rStyle w:val="InternetLink"/>
                </w:rPr>
                <w:t xml:space="preserve">Consolidated Condensed Balance Sheets – July 4, </w:t>
              </w:r>
            </w:hyperlink>
            <w:hyperlink w:anchor="BS">
              <w:r>
                <w:rPr>
                  <w:rStyle w:val="InternetLink"/>
                </w:rPr>
                <w:t>2026</w:t>
              </w:r>
            </w:hyperlink>
            <w:hyperlink w:anchor="BS">
              <w:r>
                <w:rPr>
                  <w:rStyle w:val="InternetLink"/>
                </w:rPr>
                <w:t xml:space="preserve"> and December 31, 2025</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BS">
              <w:r>
                <w:rPr>
                  <w:rStyle w:val="InternetLink"/>
                </w:rPr>
                <w:t>4</w:t>
              </w:r>
            </w:hyperlink>
            <w:r>
              <w:rPr/>
              <w:t xml:space="preserve"> </w:t>
            </w:r>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QTDIS">
              <w:r>
                <w:rPr>
                  <w:rStyle w:val="InternetLink"/>
                </w:rPr>
                <w:t xml:space="preserve">Consolidated Condensed Statements of Operations – Fiscal Quarters Ended July 4, </w:t>
              </w:r>
            </w:hyperlink>
            <w:hyperlink w:anchor="QTDIS">
              <w:r>
                <w:rPr>
                  <w:rStyle w:val="InternetLink"/>
                </w:rPr>
                <w:t>2026</w:t>
              </w:r>
            </w:hyperlink>
            <w:hyperlink w:anchor="QTDIS">
              <w:r>
                <w:rPr>
                  <w:rStyle w:val="InternetLink"/>
                </w:rPr>
                <w:t xml:space="preserve"> and June 28,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QTDIS">
              <w:r>
                <w:rPr>
                  <w:rStyle w:val="InternetLink"/>
                </w:rPr>
                <w:t>6</w:t>
              </w:r>
            </w:hyperlink>
            <w:r>
              <w:rPr/>
              <w:t xml:space="preserve"> </w:t>
            </w:r>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QTDSCI">
              <w:r>
                <w:rPr>
                  <w:rStyle w:val="InternetLink"/>
                </w:rPr>
                <w:t xml:space="preserve">Consolidated Condensed Statements of Comprehensive Income – Fiscal Quarters Ended July 4, </w:t>
              </w:r>
            </w:hyperlink>
            <w:hyperlink w:anchor="QTDSCI">
              <w:r>
                <w:rPr>
                  <w:rStyle w:val="InternetLink"/>
                </w:rPr>
                <w:t>2026</w:t>
              </w:r>
            </w:hyperlink>
            <w:hyperlink w:anchor="QTDSCI">
              <w:r>
                <w:rPr>
                  <w:rStyle w:val="InternetLink"/>
                </w:rPr>
                <w:t xml:space="preserve"> and June 28,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QTDSCI">
              <w:r>
                <w:rPr>
                  <w:rStyle w:val="InternetLink"/>
                </w:rPr>
                <w:t>7</w:t>
              </w:r>
            </w:hyperlink>
            <w:r>
              <w:rPr/>
              <w:t xml:space="preserve"> </w:t>
            </w:r>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7764" w:type="dxa"/>
            <w:tcBorders/>
            <w:shd w:fill="CCEEFF" w:val="clear"/>
            <w:vAlign w:val="center"/>
          </w:tcPr>
          <w:p>
            <w:pPr>
              <w:pStyle w:val="TableContents"/>
              <w:bidi w:val="0"/>
              <w:spacing w:before="0" w:after="283"/>
              <w:jc w:val="left"/>
              <w:rPr/>
            </w:pPr>
            <w:hyperlink w:anchor="PNL-YTD">
              <w:r>
                <w:rPr>
                  <w:rStyle w:val="InternetLink"/>
                </w:rPr>
                <w:t>Consolidated Condensed Statements of Operations – Six Fiscal Months Ended July 4, 2026 and June 28, 2025</w:t>
              </w:r>
            </w:hyperlink>
          </w:p>
        </w:tc>
        <w:tc>
          <w:tcPr>
            <w:tcW w:w="14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center"/>
              <w:rPr/>
            </w:pPr>
            <w:hyperlink w:anchor="PNL-YTD">
              <w:r>
                <w:rPr>
                  <w:rStyle w:val="InternetLink"/>
                </w:rPr>
                <w:t>8</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left"/>
              <w:rPr/>
            </w:pPr>
            <w:r>
              <w:rPr/>
              <w:t> </w:t>
            </w:r>
          </w:p>
        </w:tc>
        <w:tc>
          <w:tcPr>
            <w:tcW w:w="7764" w:type="dxa"/>
            <w:tcBorders/>
            <w:shd w:fill="CCEEFF" w:val="clear"/>
            <w:vAlign w:val="center"/>
          </w:tcPr>
          <w:p>
            <w:pPr>
              <w:pStyle w:val="TableContents"/>
              <w:bidi w:val="0"/>
              <w:spacing w:before="0" w:after="283"/>
              <w:jc w:val="left"/>
              <w:rPr/>
            </w:pPr>
            <w:hyperlink w:anchor="CI-YTD">
              <w:r>
                <w:rPr>
                  <w:rStyle w:val="InternetLink"/>
                </w:rPr>
                <w:t>Consolidated Condensed Statements of Comprehensive Income – Six Fiscal Months Ended July 4, 2026 and June 28, 2025</w:t>
              </w:r>
            </w:hyperlink>
          </w:p>
        </w:tc>
        <w:tc>
          <w:tcPr>
            <w:tcW w:w="146" w:type="dxa"/>
            <w:tcBorders/>
            <w:shd w:fill="CCEEFF" w:val="clear"/>
            <w:vAlign w:val="center"/>
          </w:tcPr>
          <w:p>
            <w:pPr>
              <w:pStyle w:val="TableContents"/>
              <w:bidi w:val="0"/>
              <w:spacing w:before="0" w:after="283"/>
              <w:jc w:val="left"/>
              <w:rPr/>
            </w:pPr>
            <w:r>
              <w:rPr/>
              <w:t> </w:t>
            </w:r>
          </w:p>
        </w:tc>
        <w:tc>
          <w:tcPr>
            <w:tcW w:w="1279" w:type="dxa"/>
            <w:tcBorders/>
            <w:shd w:fill="CCEEFF" w:val="clear"/>
            <w:vAlign w:val="center"/>
          </w:tcPr>
          <w:p>
            <w:pPr>
              <w:pStyle w:val="TableContents"/>
              <w:bidi w:val="0"/>
              <w:spacing w:before="0" w:after="283"/>
              <w:jc w:val="center"/>
              <w:rPr/>
            </w:pPr>
            <w:hyperlink w:anchor="CI-YTD">
              <w:r>
                <w:rPr>
                  <w:rStyle w:val="InternetLink"/>
                </w:rPr>
                <w:t>9</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SCF">
              <w:r>
                <w:rPr>
                  <w:rStyle w:val="InternetLink"/>
                </w:rPr>
                <w:t>Consolidated Condensed Statements of Cash Flows – Six Fiscal Months Ended July 4, 2026 and June 28, 2025</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SCF">
              <w:r>
                <w:rPr>
                  <w:rStyle w:val="InternetLink"/>
                </w:rPr>
                <w:t>10</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shd w:fill="CCEEFF" w:val="clear"/>
            <w:tcMar>
              <w:top w:w="0" w:type="dxa"/>
              <w:left w:w="0" w:type="dxa"/>
              <w:bottom w:w="0" w:type="dxa"/>
              <w:right w:w="0" w:type="dxa"/>
            </w:tcMar>
            <w:vAlign w:val="center"/>
          </w:tcPr>
          <w:p>
            <w:pPr>
              <w:pStyle w:val="TableContents"/>
              <w:bidi w:val="0"/>
              <w:spacing w:before="0" w:after="0"/>
              <w:ind w:left="0" w:right="0" w:hanging="0"/>
              <w:jc w:val="left"/>
              <w:rPr/>
            </w:pPr>
            <w:hyperlink w:anchor="Q1SSE">
              <w:r>
                <w:rPr>
                  <w:rStyle w:val="InternetLink"/>
                </w:rPr>
                <w:t xml:space="preserve">Consolidated Condensed Statements of Equity </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Q1SSE">
              <w:r>
                <w:rPr>
                  <w:rStyle w:val="InternetLink"/>
                </w:rPr>
                <w:t>11</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Note1BasisofPresentation">
              <w:r>
                <w:rPr>
                  <w:rStyle w:val="InternetLink"/>
                </w:rPr>
                <w:t>Notes to Consolidated Condensed Financial Statements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Note1BasisofPresentation">
              <w:r>
                <w:rPr>
                  <w:rStyle w:val="InternetLink"/>
                </w:rPr>
                <w:t>12</w:t>
              </w:r>
            </w:hyperlink>
            <w:r>
              <w:rPr/>
              <w:t xml:space="preserve"> </w:t>
            </w:r>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MDA">
              <w:r>
                <w:rPr>
                  <w:rStyle w:val="InternetLink"/>
                </w:rPr>
                <w:t>Item 2.</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MDA">
              <w:r>
                <w:rPr>
                  <w:rStyle w:val="InternetLink"/>
                </w:rPr>
                <w:t>Management’s Discussion and Analysis of Financial Condition and Results of Operations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MDA">
              <w:r>
                <w:rPr>
                  <w:rStyle w:val="InternetLink"/>
                </w:rPr>
                <w:t>25</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
              <w:r>
                <w:rPr>
                  <w:rStyle w:val="InternetLink"/>
                </w:rPr>
                <w:t>Item 3.</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3">
              <w:r>
                <w:rPr>
                  <w:rStyle w:val="InternetLink"/>
                </w:rPr>
                <w:t>Quantitative and Qualitative Disclosures About Market Risk</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Item_3">
              <w:r>
                <w:rPr>
                  <w:rStyle w:val="InternetLink"/>
                </w:rPr>
                <w:t>43</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
              <w:r>
                <w:rPr>
                  <w:rStyle w:val="InternetLink"/>
                </w:rPr>
                <w:t>Item 4.</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Item_4">
              <w:r>
                <w:rPr>
                  <w:rStyle w:val="InternetLink"/>
                </w:rPr>
                <w:t>Controls and Procedures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Item_4">
              <w:r>
                <w:rPr>
                  <w:rStyle w:val="InternetLink"/>
                </w:rPr>
                <w:t>43</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016" w:type="dxa"/>
            <w:gridSpan w:val="2"/>
            <w:tcBorders/>
            <w:shd w:fill="CCEEFF" w:val="clear"/>
            <w:tcMar>
              <w:top w:w="0" w:type="dxa"/>
              <w:left w:w="0" w:type="dxa"/>
              <w:bottom w:w="0" w:type="dxa"/>
              <w:right w:w="0" w:type="dxa"/>
            </w:tcMar>
            <w:vAlign w:val="center"/>
          </w:tcPr>
          <w:p>
            <w:pPr>
              <w:pStyle w:val="TableContents"/>
              <w:bidi w:val="0"/>
              <w:spacing w:before="0" w:after="0"/>
              <w:jc w:val="left"/>
              <w:rPr/>
            </w:pPr>
            <w:hyperlink w:anchor="PARTIIOTHERINFORMATION">
              <w:r>
                <w:rPr>
                  <w:rStyle w:val="InternetLink"/>
                  <w:b/>
                </w:rPr>
                <w:t>PART II.</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IIOTHERINFORMATION">
              <w:r>
                <w:rPr>
                  <w:rStyle w:val="InternetLink"/>
                  <w:b/>
                </w:rPr>
                <w:t>OTHER INFORMATION</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1">
              <w:r>
                <w:rPr>
                  <w:rStyle w:val="InternetLink"/>
                </w:rPr>
                <w:t>Item 1.</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1">
              <w:r>
                <w:rPr>
                  <w:rStyle w:val="InternetLink"/>
                </w:rPr>
                <w:t>Legal Proceedings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IIOTHERINFORMATION">
              <w:r>
                <w:rPr>
                  <w:rStyle w:val="InternetLink"/>
                </w:rPr>
                <w:t>44</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1A">
              <w:r>
                <w:rPr>
                  <w:rStyle w:val="InternetLink"/>
                </w:rPr>
                <w:t>Item 1A.</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1A">
              <w:r>
                <w:rPr>
                  <w:rStyle w:val="InternetLink"/>
                </w:rPr>
                <w:t>Risk Factors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_-_Item_1">
              <w:r>
                <w:rPr>
                  <w:rStyle w:val="InternetLink"/>
                </w:rPr>
                <w:t>44</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2">
              <w:r>
                <w:rPr>
                  <w:rStyle w:val="InternetLink"/>
                </w:rPr>
                <w:t>Item 2.</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2">
              <w:r>
                <w:rPr>
                  <w:rStyle w:val="InternetLink"/>
                </w:rPr>
                <w:t>Unregistered Sales of Equity Securities and Use of Proceeds</w:t>
              </w:r>
            </w:hyperlink>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_-_Item_1A">
              <w:r>
                <w:rPr>
                  <w:rStyle w:val="InternetLink"/>
                </w:rPr>
                <w:t>44</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3">
              <w:r>
                <w:rPr>
                  <w:rStyle w:val="InternetLink"/>
                </w:rPr>
                <w:t>Item 3.</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3">
              <w:r>
                <w:rPr>
                  <w:rStyle w:val="InternetLink"/>
                </w:rPr>
                <w:t>Defaults Upon Senior Securities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_-_Item_3">
              <w:r>
                <w:rPr>
                  <w:rStyle w:val="InternetLink"/>
                </w:rPr>
                <w:t>44</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4">
              <w:r>
                <w:rPr>
                  <w:rStyle w:val="InternetLink"/>
                </w:rPr>
                <w:t>Item 4.</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4">
              <w:r>
                <w:rPr>
                  <w:rStyle w:val="InternetLink"/>
                </w:rPr>
                <w:t>Mine Safety Disclosures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_-_Item_4">
              <w:r>
                <w:rPr>
                  <w:rStyle w:val="InternetLink"/>
                </w:rPr>
                <w:t>44</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5">
              <w:r>
                <w:rPr>
                  <w:rStyle w:val="InternetLink"/>
                </w:rPr>
                <w:t>Item 5.</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5">
              <w:r>
                <w:rPr>
                  <w:rStyle w:val="InternetLink"/>
                </w:rPr>
                <w:t>Other Information</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_-_Item_5">
              <w:r>
                <w:rPr>
                  <w:rStyle w:val="InternetLink"/>
                </w:rPr>
                <w:t>44</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6">
              <w:r>
                <w:rPr>
                  <w:rStyle w:val="InternetLink"/>
                </w:rPr>
                <w:t>Item 6.</w:t>
              </w:r>
            </w:hyperlink>
            <w:r>
              <w:rPr/>
              <w:t xml:space="preserve">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Part_II_-_Item_6">
              <w:r>
                <w:rPr>
                  <w:rStyle w:val="InternetLink"/>
                </w:rPr>
                <w:t>Exhibits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Part_II_-_Item_6">
              <w:r>
                <w:rPr>
                  <w:rStyle w:val="InternetLink"/>
                </w:rPr>
                <w:t>44</w:t>
              </w:r>
            </w:hyperlink>
          </w:p>
        </w:tc>
      </w:tr>
      <w:tr>
        <w:trPr/>
        <w:tc>
          <w:tcPr>
            <w:tcW w:w="161" w:type="dxa"/>
            <w:tcBorders/>
            <w:vAlign w:val="center"/>
          </w:tcPr>
          <w:p>
            <w:pPr>
              <w:pStyle w:val="TableContents"/>
              <w:bidi w:val="0"/>
              <w:spacing w:before="0" w:after="283"/>
              <w:jc w:val="left"/>
              <w:rPr/>
            </w:pPr>
            <w:r>
              <w:rPr/>
              <w:t> </w:t>
            </w:r>
          </w:p>
        </w:tc>
        <w:tc>
          <w:tcPr>
            <w:tcW w:w="855" w:type="dxa"/>
            <w:tcBorders/>
            <w:vAlign w:val="center"/>
          </w:tcPr>
          <w:p>
            <w:pPr>
              <w:pStyle w:val="TableContents"/>
              <w:bidi w:val="0"/>
              <w:spacing w:before="0" w:after="283"/>
              <w:jc w:val="left"/>
              <w:rPr/>
            </w:pPr>
            <w:r>
              <w:rPr/>
              <w:t> </w:t>
            </w:r>
          </w:p>
        </w:tc>
        <w:tc>
          <w:tcPr>
            <w:tcW w:w="7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79" w:type="dxa"/>
            <w:tcBorders/>
            <w:vAlign w:val="center"/>
          </w:tcPr>
          <w:p>
            <w:pPr>
              <w:pStyle w:val="TableContents"/>
              <w:bidi w:val="0"/>
              <w:spacing w:before="0" w:after="283"/>
              <w:jc w:val="left"/>
              <w:rPr/>
            </w:pPr>
            <w:r>
              <w:rPr/>
              <w:t> </w:t>
            </w:r>
          </w:p>
        </w:tc>
      </w:tr>
      <w:tr>
        <w:trPr/>
        <w:tc>
          <w:tcPr>
            <w:tcW w:w="16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764" w:type="dxa"/>
            <w:tcBorders/>
            <w:shd w:fill="CCEEFF" w:val="clear"/>
            <w:tcMar>
              <w:top w:w="0" w:type="dxa"/>
              <w:left w:w="0" w:type="dxa"/>
              <w:bottom w:w="0" w:type="dxa"/>
              <w:right w:w="0" w:type="dxa"/>
            </w:tcMar>
            <w:vAlign w:val="center"/>
          </w:tcPr>
          <w:p>
            <w:pPr>
              <w:pStyle w:val="TableContents"/>
              <w:bidi w:val="0"/>
              <w:spacing w:before="0" w:after="0"/>
              <w:jc w:val="left"/>
              <w:rPr/>
            </w:pPr>
            <w:hyperlink w:anchor="SIGNATURES">
              <w:r>
                <w:rPr>
                  <w:rStyle w:val="InternetLink"/>
                  <w:b/>
                </w:rPr>
                <w:t>SIGNATURES</w:t>
              </w:r>
            </w:hyperlink>
            <w:r>
              <w:rPr/>
              <w:t xml:space="preserve">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79"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SIGNATURES">
              <w:r>
                <w:rPr>
                  <w:rStyle w:val="InternetLink"/>
                </w:rPr>
                <w:t>45</w:t>
              </w:r>
            </w:hyperlink>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  </w:t>
      </w:r>
    </w:p>
    <w:p>
      <w:pPr>
        <w:pStyle w:val="TextBody"/>
        <w:bidi w:val="0"/>
        <w:spacing w:before="0" w:after="0"/>
        <w:jc w:val="center"/>
        <w:rPr>
          <w:rFonts w:ascii="Times New Roman" w:hAnsi="Times New Roman"/>
          <w:b/>
          <w:color w:val="000000"/>
          <w:sz w:val="24"/>
        </w:rPr>
      </w:pPr>
      <w:bookmarkStart w:id="2" w:name="PARTI"/>
      <w:bookmarkEnd w:id="2"/>
      <w:r>
        <w:rPr>
          <w:rFonts w:ascii="Times New Roman" w:hAnsi="Times New Roman"/>
          <w:b/>
          <w:color w:val="000000"/>
          <w:sz w:val="24"/>
        </w:rPr>
        <w:t>PART I - FINANCIAL INFORMATION</w:t>
      </w:r>
    </w:p>
    <w:p>
      <w:pPr>
        <w:pStyle w:val="TextBody"/>
        <w:bidi w:val="0"/>
        <w:spacing w:before="0" w:after="0"/>
        <w:jc w:val="center"/>
        <w:rPr/>
      </w:pPr>
      <w:r>
        <w:rPr/>
        <w:t> </w:t>
      </w:r>
    </w:p>
    <w:p>
      <w:pPr>
        <w:pStyle w:val="TextBody"/>
        <w:bidi w:val="0"/>
        <w:spacing w:before="0" w:after="0"/>
        <w:jc w:val="left"/>
        <w:rPr>
          <w:rFonts w:ascii="Times New Roman" w:hAnsi="Times New Roman"/>
          <w:sz w:val="24"/>
        </w:rPr>
      </w:pPr>
      <w:bookmarkStart w:id="3" w:name="Item_1_FS"/>
      <w:bookmarkEnd w:id="3"/>
      <w:r>
        <w:rPr>
          <w:rFonts w:ascii="Times New Roman" w:hAnsi="Times New Roman"/>
          <w:b/>
          <w:color w:val="000000"/>
          <w:sz w:val="24"/>
          <w:u w:val="single"/>
        </w:rPr>
        <w:t>Item 1.</w:t>
      </w:r>
      <w:r>
        <w:rPr>
          <w:rFonts w:ascii="Times New Roman" w:hAnsi="Times New Roman"/>
          <w:color w:val="000000"/>
          <w:sz w:val="24"/>
        </w:rPr>
        <w:t> </w:t>
      </w:r>
      <w:r>
        <w:rPr>
          <w:rFonts w:ascii="Times New Roman" w:hAnsi="Times New Roman"/>
          <w:b/>
          <w:color w:val="000000"/>
          <w:sz w:val="24"/>
          <w:u w:val="single"/>
        </w:rPr>
        <w:t>Financial Statements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4" w:name="BS"/>
      <w:bookmarkEnd w:id="4"/>
      <w:r>
        <w:rPr>
          <w:rFonts w:ascii="Times New Roman" w:hAnsi="Times New Roman"/>
          <w:b/>
          <w:color w:val="000000"/>
          <w:sz w:val="24"/>
        </w:rPr>
        <w:t>VISHAY INTERTECHNOLOGY, INC.</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Consolidated Condensed Balance Sheets</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i/>
          <w:color w:val="000000"/>
          <w:sz w:val="24"/>
        </w:rPr>
        <w:t>(Unaudited - In thousands)</w:t>
      </w:r>
      <w:r>
        <w:rPr>
          <w:rFonts w:ascii="Times New Roman" w:hAnsi="Times New Roman"/>
          <w:sz w:val="24"/>
        </w:rPr>
        <w:t xml:space="preserve"> </w:t>
      </w:r>
    </w:p>
    <w:p>
      <w:pPr>
        <w:pStyle w:val="TextBody"/>
        <w:bidi w:val="0"/>
        <w:spacing w:before="0" w:after="0"/>
        <w:jc w:val="both"/>
        <w:rPr/>
      </w:pPr>
      <w:r>
        <w:rPr/>
        <w:t xml:space="preserve">  </w:t>
      </w:r>
    </w:p>
    <w:tbl>
      <w:tblPr>
        <w:tblW w:w="8060" w:type="dxa"/>
        <w:jc w:val="left"/>
        <w:tblInd w:w="0" w:type="dxa"/>
        <w:tblLayout w:type="fixed"/>
        <w:tblCellMar>
          <w:top w:w="0" w:type="dxa"/>
          <w:left w:w="0" w:type="dxa"/>
          <w:bottom w:w="0" w:type="dxa"/>
          <w:right w:w="0" w:type="dxa"/>
        </w:tblCellMar>
      </w:tblPr>
      <w:tblGrid>
        <w:gridCol w:w="3965"/>
        <w:gridCol w:w="170"/>
        <w:gridCol w:w="1265"/>
        <w:gridCol w:w="185"/>
        <w:gridCol w:w="90"/>
        <w:gridCol w:w="170"/>
        <w:gridCol w:w="1985"/>
        <w:gridCol w:w="230"/>
      </w:tblGrid>
      <w:tr>
        <w:trPr/>
        <w:tc>
          <w:tcPr>
            <w:tcW w:w="39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96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b/>
              </w:rPr>
            </w:pPr>
            <w:r>
              <w:rPr>
                <w:b/>
              </w:rPr>
              <w:t>Assets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Current assets: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Cash and cash equivalents</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1,297,309</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514,966</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Short-term investments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5,263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265</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Accounts receivable, net</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393,373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381,802</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Inventories: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Finished goods</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184,960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182,444</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Work in process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360,965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331,347</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Raw materials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261,186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245,412</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Total inventories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807,111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759,203</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Prepaid expenses and other current assets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221,811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231,004</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Total current assets</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2,724,867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1,887,240</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Property and equipment, at cost:</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Land</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85,711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86,399</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Buildings and improvements</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841,294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839,856</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Machinery and equipment</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3,505,644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3,477,884</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Construction in progress</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558,131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464,475</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Allowance for depreciation</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(3,241,135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(3,195,455</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Property and equipment, net</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1,749,645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1,673,159</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Right of use assets</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122,630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119,746</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Deferred income taxes</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190,381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183,016</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Goodwill</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180,027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180,390</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Other intangible assets, net</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71,266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78,487</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283"/>
              <w:jc w:val="left"/>
              <w:rPr/>
            </w:pPr>
            <w:r>
              <w:rPr/>
              <w:t>Other assets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117,550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112,122</w:t>
            </w:r>
          </w:p>
        </w:tc>
        <w:tc>
          <w:tcPr>
            <w:tcW w:w="230" w:type="dxa"/>
            <w:tcBorders/>
            <w:shd w:fill="CCEEFF" w:val="clear"/>
            <w:vAlign w:val="center"/>
          </w:tcPr>
          <w:p>
            <w:pPr>
              <w:pStyle w:val="TableContents"/>
              <w:bidi w:val="0"/>
              <w:spacing w:before="0" w:after="283"/>
              <w:jc w:val="left"/>
              <w:rPr/>
            </w:pPr>
            <w:r>
              <w:rPr/>
              <w:t> </w:t>
            </w:r>
          </w:p>
        </w:tc>
      </w:tr>
      <w:tr>
        <w:trPr/>
        <w:tc>
          <w:tcPr>
            <w:tcW w:w="3965" w:type="dxa"/>
            <w:tcBorders/>
            <w:vAlign w:val="center"/>
          </w:tcPr>
          <w:p>
            <w:pPr>
              <w:pStyle w:val="TableContents"/>
              <w:bidi w:val="0"/>
              <w:spacing w:before="0" w:after="283"/>
              <w:jc w:val="left"/>
              <w:rPr/>
            </w:pPr>
            <w:r>
              <w:rPr/>
              <w:t>Total assets</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tcMar>
              <w:bottom w:w="28" w:type="dxa"/>
            </w:tcMar>
            <w:vAlign w:val="center"/>
          </w:tcPr>
          <w:p>
            <w:pPr>
              <w:pStyle w:val="TableContents"/>
              <w:bidi w:val="0"/>
              <w:spacing w:before="0" w:after="283"/>
              <w:jc w:val="right"/>
              <w:rPr>
                <w:b/>
              </w:rPr>
            </w:pPr>
            <w:r>
              <w:rPr>
                <w:b/>
              </w:rPr>
              <w:t>5,156,366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4,234,160</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b/>
          <w:i/>
          <w:color w:val="000000"/>
          <w:sz w:val="24"/>
        </w:rPr>
      </w:pPr>
      <w:r>
        <w:rPr>
          <w:rFonts w:ascii="Times New Roman" w:hAnsi="Times New Roman"/>
          <w:b/>
          <w:i/>
          <w:color w:val="000000"/>
          <w:sz w:val="24"/>
        </w:rPr>
        <w:t>Continues on following page.</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4</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color w:val="000000"/>
          <w:sz w:val="24"/>
        </w:rPr>
        <w:t>VISHAY INTERTECHNOLOGY, INC.</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Consolidated Condensed Balance Sheets (continued)</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i/>
          <w:color w:val="000000"/>
          <w:sz w:val="24"/>
        </w:rPr>
        <w:t>(Unaudited - In thousands)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834"/>
        <w:gridCol w:w="170"/>
        <w:gridCol w:w="1147"/>
        <w:gridCol w:w="90"/>
        <w:gridCol w:w="90"/>
        <w:gridCol w:w="170"/>
        <w:gridCol w:w="1568"/>
        <w:gridCol w:w="136"/>
      </w:tblGrid>
      <w:tr>
        <w:trPr/>
        <w:tc>
          <w:tcPr>
            <w:tcW w:w="68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r>
      <w:tr>
        <w:trPr/>
        <w:tc>
          <w:tcPr>
            <w:tcW w:w="6834"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7"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68"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136" w:type="dxa"/>
            <w:tcBorders/>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b/>
              </w:rPr>
            </w:pPr>
            <w:r>
              <w:rPr>
                <w:b/>
              </w:rPr>
              <w:t>Liabilities and equity</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Current liabilities:</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Trade accounts payable</w:t>
            </w:r>
          </w:p>
        </w:tc>
        <w:tc>
          <w:tcPr>
            <w:tcW w:w="170" w:type="dxa"/>
            <w:tcBorders/>
            <w:shd w:fill="CCEEFF" w:val="clear"/>
            <w:vAlign w:val="center"/>
          </w:tcPr>
          <w:p>
            <w:pPr>
              <w:pStyle w:val="TableContents"/>
              <w:bidi w:val="0"/>
              <w:spacing w:before="0" w:after="283"/>
              <w:jc w:val="left"/>
              <w:rPr/>
            </w:pPr>
            <w:r>
              <w:rPr/>
              <w:t>$</w:t>
            </w:r>
          </w:p>
        </w:tc>
        <w:tc>
          <w:tcPr>
            <w:tcW w:w="1147" w:type="dxa"/>
            <w:tcBorders/>
            <w:shd w:fill="CCEEFF" w:val="clear"/>
            <w:vAlign w:val="center"/>
          </w:tcPr>
          <w:p>
            <w:pPr>
              <w:pStyle w:val="TableContents"/>
              <w:bidi w:val="0"/>
              <w:spacing w:before="0" w:after="283"/>
              <w:jc w:val="right"/>
              <w:rPr>
                <w:b/>
              </w:rPr>
            </w:pPr>
            <w:r>
              <w:rPr>
                <w:b/>
              </w:rPr>
              <w:t>237,482</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68" w:type="dxa"/>
            <w:tcBorders/>
            <w:shd w:fill="CCEEFF" w:val="clear"/>
            <w:vAlign w:val="center"/>
          </w:tcPr>
          <w:p>
            <w:pPr>
              <w:pStyle w:val="TableContents"/>
              <w:bidi w:val="0"/>
              <w:spacing w:before="0" w:after="283"/>
              <w:jc w:val="right"/>
              <w:rPr/>
            </w:pPr>
            <w:r>
              <w:rPr/>
              <w:t>214,984</w:t>
            </w:r>
          </w:p>
        </w:tc>
        <w:tc>
          <w:tcPr>
            <w:tcW w:w="136" w:type="dxa"/>
            <w:tcBorders/>
            <w:shd w:fill="CCEEFF" w:val="clear"/>
            <w:vAlign w:val="center"/>
          </w:tcPr>
          <w:p>
            <w:pPr>
              <w:pStyle w:val="TableContents"/>
              <w:bidi w:val="0"/>
              <w:spacing w:before="0" w:after="283"/>
              <w:jc w:val="left"/>
              <w:rPr>
                <w:sz w:val="4"/>
                <w:szCs w:val="4"/>
              </w:rPr>
            </w:pPr>
            <w:r>
              <w:rPr>
                <w:sz w:val="4"/>
                <w:szCs w:val="4"/>
              </w:rPr>
            </w:r>
          </w:p>
        </w:tc>
      </w:tr>
      <w:tr>
        <w:trPr/>
        <w:tc>
          <w:tcPr>
            <w:tcW w:w="6834" w:type="dxa"/>
            <w:tcBorders/>
            <w:vAlign w:val="center"/>
          </w:tcPr>
          <w:p>
            <w:pPr>
              <w:pStyle w:val="TableContents"/>
              <w:bidi w:val="0"/>
              <w:spacing w:before="0" w:after="283"/>
              <w:jc w:val="left"/>
              <w:rPr/>
            </w:pPr>
            <w:r>
              <w:rPr/>
              <w:t>Payroll and related expenses</w:t>
            </w:r>
          </w:p>
        </w:tc>
        <w:tc>
          <w:tcPr>
            <w:tcW w:w="17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right"/>
              <w:rPr>
                <w:b/>
              </w:rPr>
            </w:pPr>
            <w:r>
              <w:rPr>
                <w:b/>
              </w:rPr>
              <w:t>179,479</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right"/>
              <w:rPr/>
            </w:pPr>
            <w:r>
              <w:rPr/>
              <w:t>164,114</w:t>
            </w:r>
          </w:p>
        </w:tc>
        <w:tc>
          <w:tcPr>
            <w:tcW w:w="136" w:type="dxa"/>
            <w:tcBorders/>
            <w:vAlign w:val="center"/>
          </w:tcPr>
          <w:p>
            <w:pPr>
              <w:pStyle w:val="TableContents"/>
              <w:bidi w:val="0"/>
              <w:spacing w:before="0" w:after="283"/>
              <w:jc w:val="left"/>
              <w:rPr>
                <w:sz w:val="4"/>
                <w:szCs w:val="4"/>
              </w:rPr>
            </w:pPr>
            <w:r>
              <w:rPr>
                <w:sz w:val="4"/>
                <w:szCs w:val="4"/>
              </w:rPr>
            </w:r>
          </w:p>
        </w:tc>
      </w:tr>
      <w:tr>
        <w:trPr/>
        <w:tc>
          <w:tcPr>
            <w:tcW w:w="6834" w:type="dxa"/>
            <w:tcBorders/>
            <w:shd w:fill="CCEEFF" w:val="clear"/>
            <w:vAlign w:val="center"/>
          </w:tcPr>
          <w:p>
            <w:pPr>
              <w:pStyle w:val="TableContents"/>
              <w:bidi w:val="0"/>
              <w:spacing w:before="0" w:after="283"/>
              <w:jc w:val="left"/>
              <w:rPr/>
            </w:pPr>
            <w:r>
              <w:rPr/>
              <w:t>Lease liabilities</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28,241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26,546</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Other accrued expenses</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b/>
              </w:rPr>
            </w:pPr>
            <w:r>
              <w:rPr>
                <w:b/>
              </w:rPr>
              <w:t>310,238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300,031</w:t>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Income taxes</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18,757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14,751</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Current portion of long-term debt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47" w:type="dxa"/>
            <w:tcBorders>
              <w:bottom w:val="single" w:sz="2" w:space="0" w:color="000000"/>
            </w:tcBorders>
            <w:tcMar>
              <w:bottom w:w="28" w:type="dxa"/>
            </w:tcMar>
            <w:vAlign w:val="center"/>
          </w:tcPr>
          <w:p>
            <w:pPr>
              <w:pStyle w:val="TableContents"/>
              <w:bidi w:val="0"/>
              <w:spacing w:before="0" w:after="283"/>
              <w:jc w:val="right"/>
              <w:rPr>
                <w:b/>
              </w:rPr>
            </w:pPr>
            <w:r>
              <w:rPr>
                <w:b/>
              </w:rPr>
              <w:t>737,744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68" w:type="dxa"/>
            <w:tcBorders>
              <w:bottom w:val="single" w:sz="2" w:space="0" w:color="000000"/>
            </w:tcBorders>
            <w:tcMar>
              <w:bottom w:w="28" w:type="dxa"/>
            </w:tcMar>
            <w:vAlign w:val="center"/>
          </w:tcPr>
          <w:p>
            <w:pPr>
              <w:pStyle w:val="TableContents"/>
              <w:bidi w:val="0"/>
              <w:spacing w:before="0" w:after="283"/>
              <w:jc w:val="right"/>
              <w:rPr/>
            </w:pPr>
            <w:r>
              <w:rPr/>
              <w:t>-</w:t>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Total current liabilities</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1,511,941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720,426</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Long-term debt less current portion</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234,543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950,893</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Deferred income taxes</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b/>
              </w:rPr>
            </w:pPr>
            <w:r>
              <w:rPr>
                <w:b/>
              </w:rPr>
              <w:t>97,488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96,818</w:t>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Long-term lease liabilities</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96,583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95,799</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Other liabilities</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b/>
              </w:rPr>
            </w:pPr>
            <w:r>
              <w:rPr>
                <w:b/>
              </w:rPr>
              <w:t>136,668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109,228</w:t>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Accrued pension and other postretirement costs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166,246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68" w:type="dxa"/>
            <w:tcBorders>
              <w:bottom w:val="single" w:sz="2" w:space="0" w:color="000000"/>
            </w:tcBorders>
            <w:shd w:fill="CCEEFF" w:val="clear"/>
            <w:tcMar>
              <w:bottom w:w="28" w:type="dxa"/>
            </w:tcMar>
            <w:vAlign w:val="center"/>
          </w:tcPr>
          <w:p>
            <w:pPr>
              <w:pStyle w:val="TableContents"/>
              <w:bidi w:val="0"/>
              <w:spacing w:before="0" w:after="283"/>
              <w:jc w:val="right"/>
              <w:rPr/>
            </w:pPr>
            <w:r>
              <w:rPr/>
              <w:t>172,723</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Total liabilities</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b/>
              </w:rPr>
            </w:pPr>
            <w:r>
              <w:rPr>
                <w:b/>
              </w:rPr>
              <w:t>2,243,469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2,145,887</w:t>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Stockholders' equity:</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Common stock, par value $0.10 per share: authorized - 300,000,000 shares; 141,281,885 and 123,498,190 shares issued</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14,129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12,351</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Class B convertible common stock, par value $0.10 per share: authorized - 40,000,000 shares; 12,097,148 shares issued</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b/>
              </w:rPr>
            </w:pPr>
            <w:r>
              <w:rPr>
                <w:b/>
              </w:rPr>
              <w:t>1,210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1,210</w:t>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Capital in excess of par value</w:t>
            </w:r>
          </w:p>
        </w:tc>
        <w:tc>
          <w:tcPr>
            <w:tcW w:w="170"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b/>
              </w:rPr>
            </w:pPr>
            <w:r>
              <w:rPr>
                <w:b/>
              </w:rPr>
              <w:t>1,945,629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68" w:type="dxa"/>
            <w:tcBorders/>
            <w:shd w:fill="CCEEFF" w:val="clear"/>
            <w:vAlign w:val="center"/>
          </w:tcPr>
          <w:p>
            <w:pPr>
              <w:pStyle w:val="TableContents"/>
              <w:bidi w:val="0"/>
              <w:spacing w:before="0" w:after="283"/>
              <w:jc w:val="right"/>
              <w:rPr/>
            </w:pPr>
            <w:r>
              <w:rPr/>
              <w:t>1,101,086</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Retained earnings</w:t>
            </w:r>
          </w:p>
        </w:tc>
        <w:tc>
          <w:tcPr>
            <w:tcW w:w="170"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b/>
              </w:rPr>
            </w:pPr>
            <w:r>
              <w:rPr>
                <w:b/>
              </w:rPr>
              <w:t>900,268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68" w:type="dxa"/>
            <w:tcBorders/>
            <w:vAlign w:val="center"/>
          </w:tcPr>
          <w:p>
            <w:pPr>
              <w:pStyle w:val="TableContents"/>
              <w:bidi w:val="0"/>
              <w:spacing w:before="0" w:after="283"/>
              <w:jc w:val="right"/>
              <w:rPr/>
            </w:pPr>
            <w:r>
              <w:rPr/>
              <w:t>892,232</w:t>
            </w:r>
          </w:p>
        </w:tc>
        <w:tc>
          <w:tcPr>
            <w:tcW w:w="136" w:type="dxa"/>
            <w:tcBorders/>
            <w:vAlign w:val="center"/>
          </w:tcPr>
          <w:p>
            <w:pPr>
              <w:pStyle w:val="TableContents"/>
              <w:bidi w:val="0"/>
              <w:spacing w:before="0" w:after="283"/>
              <w:jc w:val="left"/>
              <w:rPr/>
            </w:pPr>
            <w:r>
              <w:rPr/>
              <w:t> </w:t>
            </w:r>
          </w:p>
        </w:tc>
      </w:tr>
      <w:tr>
        <w:trPr/>
        <w:tc>
          <w:tcPr>
            <w:tcW w:w="6834" w:type="dxa"/>
            <w:tcBorders/>
            <w:shd w:fill="CCEEFF" w:val="clear"/>
            <w:vAlign w:val="center"/>
          </w:tcPr>
          <w:p>
            <w:pPr>
              <w:pStyle w:val="TableContents"/>
              <w:bidi w:val="0"/>
              <w:spacing w:before="0" w:after="283"/>
              <w:jc w:val="left"/>
              <w:rPr/>
            </w:pPr>
            <w:r>
              <w:rPr/>
              <w:t>Accumulated other comprehensive income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47"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51,661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68" w:type="dxa"/>
            <w:tcBorders>
              <w:bottom w:val="single" w:sz="2" w:space="0" w:color="000000"/>
            </w:tcBorders>
            <w:shd w:fill="CCEEFF" w:val="clear"/>
            <w:tcMar>
              <w:bottom w:w="28" w:type="dxa"/>
            </w:tcMar>
            <w:vAlign w:val="center"/>
          </w:tcPr>
          <w:p>
            <w:pPr>
              <w:pStyle w:val="TableContents"/>
              <w:bidi w:val="0"/>
              <w:spacing w:before="0" w:after="283"/>
              <w:jc w:val="right"/>
              <w:rPr/>
            </w:pPr>
            <w:r>
              <w:rPr/>
              <w:t>81,394</w:t>
            </w:r>
          </w:p>
        </w:tc>
        <w:tc>
          <w:tcPr>
            <w:tcW w:w="136" w:type="dxa"/>
            <w:tcBorders/>
            <w:shd w:fill="CCEEFF" w:val="clear"/>
            <w:vAlign w:val="center"/>
          </w:tcPr>
          <w:p>
            <w:pPr>
              <w:pStyle w:val="TableContents"/>
              <w:bidi w:val="0"/>
              <w:spacing w:before="0" w:after="283"/>
              <w:jc w:val="left"/>
              <w:rPr/>
            </w:pPr>
            <w:r>
              <w:rPr/>
              <w:t> </w:t>
            </w:r>
          </w:p>
        </w:tc>
      </w:tr>
      <w:tr>
        <w:trPr/>
        <w:tc>
          <w:tcPr>
            <w:tcW w:w="6834" w:type="dxa"/>
            <w:tcBorders/>
            <w:vAlign w:val="center"/>
          </w:tcPr>
          <w:p>
            <w:pPr>
              <w:pStyle w:val="TableContents"/>
              <w:bidi w:val="0"/>
              <w:spacing w:before="0" w:after="283"/>
              <w:jc w:val="left"/>
              <w:rPr/>
            </w:pPr>
            <w:r>
              <w:rPr/>
              <w:t>Total equity</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147" w:type="dxa"/>
            <w:tcBorders>
              <w:bottom w:val="single" w:sz="6" w:space="0" w:color="000000"/>
            </w:tcBorders>
            <w:tcMar>
              <w:bottom w:w="28" w:type="dxa"/>
            </w:tcMar>
            <w:vAlign w:val="center"/>
          </w:tcPr>
          <w:p>
            <w:pPr>
              <w:pStyle w:val="TableContents"/>
              <w:bidi w:val="0"/>
              <w:spacing w:before="0" w:after="283"/>
              <w:jc w:val="right"/>
              <w:rPr>
                <w:b/>
              </w:rPr>
            </w:pPr>
            <w:r>
              <w:rPr>
                <w:b/>
              </w:rPr>
              <w:t>2,912,897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568" w:type="dxa"/>
            <w:tcBorders>
              <w:bottom w:val="single" w:sz="6" w:space="0" w:color="000000"/>
            </w:tcBorders>
            <w:tcMar>
              <w:bottom w:w="28" w:type="dxa"/>
            </w:tcMar>
            <w:vAlign w:val="center"/>
          </w:tcPr>
          <w:p>
            <w:pPr>
              <w:pStyle w:val="TableContents"/>
              <w:bidi w:val="0"/>
              <w:spacing w:before="0" w:after="283"/>
              <w:jc w:val="right"/>
              <w:rPr/>
            </w:pPr>
            <w:r>
              <w:rPr/>
              <w:t>2,088,273</w:t>
            </w:r>
          </w:p>
        </w:tc>
        <w:tc>
          <w:tcPr>
            <w:tcW w:w="136" w:type="dxa"/>
            <w:tcBorders/>
            <w:vAlign w:val="center"/>
          </w:tcPr>
          <w:p>
            <w:pPr>
              <w:pStyle w:val="TableContents"/>
              <w:bidi w:val="0"/>
              <w:spacing w:before="0" w:after="283"/>
              <w:jc w:val="left"/>
              <w:rPr>
                <w:sz w:val="4"/>
                <w:szCs w:val="4"/>
              </w:rPr>
            </w:pPr>
            <w:r>
              <w:rPr>
                <w:sz w:val="4"/>
                <w:szCs w:val="4"/>
              </w:rPr>
            </w:r>
          </w:p>
        </w:tc>
      </w:tr>
      <w:tr>
        <w:trPr/>
        <w:tc>
          <w:tcPr>
            <w:tcW w:w="6834" w:type="dxa"/>
            <w:tcBorders/>
            <w:shd w:fill="CCEEFF" w:val="clear"/>
            <w:vAlign w:val="center"/>
          </w:tcPr>
          <w:p>
            <w:pPr>
              <w:pStyle w:val="TableContents"/>
              <w:bidi w:val="0"/>
              <w:spacing w:before="0" w:after="283"/>
              <w:jc w:val="left"/>
              <w:rPr/>
            </w:pPr>
            <w:r>
              <w:rPr/>
              <w:t>Total liabilities and equity</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4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5,156,366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68" w:type="dxa"/>
            <w:tcBorders>
              <w:bottom w:val="double" w:sz="6" w:space="0" w:color="000000"/>
            </w:tcBorders>
            <w:shd w:fill="CCEEFF" w:val="clear"/>
            <w:tcMar>
              <w:bottom w:w="28" w:type="dxa"/>
            </w:tcMar>
            <w:vAlign w:val="center"/>
          </w:tcPr>
          <w:p>
            <w:pPr>
              <w:pStyle w:val="TableContents"/>
              <w:bidi w:val="0"/>
              <w:spacing w:before="0" w:after="283"/>
              <w:jc w:val="right"/>
              <w:rPr/>
            </w:pPr>
            <w:r>
              <w:rPr/>
              <w:t>4,234,160</w:t>
            </w:r>
          </w:p>
        </w:tc>
        <w:tc>
          <w:tcPr>
            <w:tcW w:w="136"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b/>
          <w:i/>
          <w:color w:val="000000"/>
          <w:sz w:val="24"/>
        </w:rPr>
      </w:pPr>
      <w:r>
        <w:rPr>
          <w:rFonts w:ascii="Times New Roman" w:hAnsi="Times New Roman"/>
          <w:b/>
          <w:i/>
          <w:color w:val="000000"/>
          <w:sz w:val="24"/>
        </w:rPr>
        <w:t>See accompanying notes.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5</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color w:val="000000"/>
          <w:sz w:val="24"/>
        </w:rPr>
        <w:t>VISHAY INTERTECHNOLOGY, INC.</w:t>
      </w:r>
      <w:r>
        <w:rPr>
          <w:rFonts w:ascii="Times New Roman" w:hAnsi="Times New Roman"/>
          <w:sz w:val="24"/>
        </w:rPr>
        <w:t xml:space="preserve"> </w:t>
      </w:r>
    </w:p>
    <w:p>
      <w:pPr>
        <w:pStyle w:val="TextBody"/>
        <w:bidi w:val="0"/>
        <w:spacing w:before="0" w:after="0"/>
        <w:jc w:val="both"/>
        <w:rPr>
          <w:rFonts w:ascii="Times New Roman" w:hAnsi="Times New Roman"/>
          <w:sz w:val="24"/>
        </w:rPr>
      </w:pPr>
      <w:bookmarkStart w:id="5" w:name="QTDIS"/>
      <w:bookmarkEnd w:id="5"/>
      <w:r>
        <w:rPr>
          <w:rFonts w:ascii="Times New Roman" w:hAnsi="Times New Roman"/>
          <w:color w:val="000000"/>
          <w:sz w:val="24"/>
        </w:rPr>
        <w:t>Consolidated Condensed Statements of Operations</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i/>
          <w:color w:val="000000"/>
          <w:sz w:val="24"/>
        </w:rPr>
        <w:t>(Unaudited - In thousands, except per share amounts)</w:t>
      </w:r>
      <w:r>
        <w:rPr>
          <w:rFonts w:ascii="Times New Roman" w:hAnsi="Times New Roman"/>
          <w:sz w:val="24"/>
        </w:rPr>
        <w:t xml:space="preserve"> </w:t>
      </w:r>
    </w:p>
    <w:p>
      <w:pPr>
        <w:pStyle w:val="TextBody"/>
        <w:bidi w:val="0"/>
        <w:spacing w:before="0" w:after="0"/>
        <w:jc w:val="both"/>
        <w:rPr/>
      </w:pPr>
      <w:r>
        <w:rPr/>
        <w:t xml:space="preserve">  </w:t>
      </w:r>
    </w:p>
    <w:tbl>
      <w:tblPr>
        <w:tblW w:w="7970" w:type="dxa"/>
        <w:jc w:val="left"/>
        <w:tblInd w:w="0" w:type="dxa"/>
        <w:tblLayout w:type="fixed"/>
        <w:tblCellMar>
          <w:top w:w="0" w:type="dxa"/>
          <w:left w:w="0" w:type="dxa"/>
          <w:bottom w:w="0" w:type="dxa"/>
          <w:right w:w="0" w:type="dxa"/>
        </w:tblCellMar>
      </w:tblPr>
      <w:tblGrid>
        <w:gridCol w:w="4415"/>
        <w:gridCol w:w="170"/>
        <w:gridCol w:w="1265"/>
        <w:gridCol w:w="185"/>
        <w:gridCol w:w="90"/>
        <w:gridCol w:w="170"/>
        <w:gridCol w:w="1445"/>
        <w:gridCol w:w="230"/>
      </w:tblGrid>
      <w:tr>
        <w:trPr/>
        <w:tc>
          <w:tcPr>
            <w:tcW w:w="44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283"/>
              <w:jc w:val="left"/>
              <w:rPr/>
            </w:pPr>
            <w:r>
              <w:rPr/>
              <w:t> </w:t>
            </w:r>
          </w:p>
        </w:tc>
        <w:tc>
          <w:tcPr>
            <w:tcW w:w="3555" w:type="dxa"/>
            <w:gridSpan w:val="7"/>
            <w:tcBorders/>
            <w:vAlign w:val="center"/>
          </w:tcPr>
          <w:p>
            <w:pPr>
              <w:pStyle w:val="TableContents"/>
              <w:bidi w:val="0"/>
              <w:spacing w:before="0" w:after="283"/>
              <w:jc w:val="center"/>
              <w:rPr>
                <w:b/>
              </w:rPr>
            </w:pPr>
            <w:r>
              <w:rPr>
                <w:b/>
              </w:rPr>
              <w:t>Fiscal quarters ended</w:t>
            </w:r>
          </w:p>
        </w:tc>
      </w:tr>
      <w:tr>
        <w:trPr/>
        <w:tc>
          <w:tcPr>
            <w:tcW w:w="441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230"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888,575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762,250</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Costs of products sold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681,193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613,567</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Gross profit</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207,382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148,683</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Selling, general, and administrative expenses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153,856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126,565</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Operating income</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53,526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22,118</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Other income (expense):</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Interest expense</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(10,333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(10,588</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Other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(794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747</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Total other income (expense)</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(11,127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(9,841</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Income before taxes</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42,399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12,277</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Income tax expense</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14,275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10,273</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Net earnings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28,124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2,004</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Basic earnings per share</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0.21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0.01</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Diluted earnings per share</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0.19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0.01</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Weighted average shares outstanding - basic</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136,824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135,702</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Weighted average shares outstanding - diluted</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147,901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136,167</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Cash dividends per share</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0.10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0.10</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b/>
          <w:i/>
          <w:color w:val="000000"/>
          <w:sz w:val="24"/>
        </w:rPr>
      </w:pPr>
      <w:r>
        <w:rPr>
          <w:rFonts w:ascii="Times New Roman" w:hAnsi="Times New Roman"/>
          <w:b/>
          <w:i/>
          <w:color w:val="000000"/>
          <w:sz w:val="24"/>
        </w:rPr>
        <w:t>See accompanying notes.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6</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color w:val="000000"/>
          <w:sz w:val="24"/>
        </w:rPr>
        <w:t>VISHAY INTERTECHNOLOGY, INC.</w:t>
      </w:r>
      <w:r>
        <w:rPr>
          <w:rFonts w:ascii="Times New Roman" w:hAnsi="Times New Roman"/>
          <w:sz w:val="24"/>
        </w:rPr>
        <w:t xml:space="preserve"> </w:t>
      </w:r>
    </w:p>
    <w:p>
      <w:pPr>
        <w:pStyle w:val="TextBody"/>
        <w:bidi w:val="0"/>
        <w:spacing w:before="0" w:after="0"/>
        <w:jc w:val="both"/>
        <w:rPr>
          <w:rFonts w:ascii="Times New Roman" w:hAnsi="Times New Roman"/>
          <w:sz w:val="24"/>
        </w:rPr>
      </w:pPr>
      <w:bookmarkStart w:id="6" w:name="QTDSCI"/>
      <w:bookmarkEnd w:id="6"/>
      <w:r>
        <w:rPr>
          <w:rFonts w:ascii="Times New Roman" w:hAnsi="Times New Roman"/>
          <w:color w:val="000000"/>
          <w:sz w:val="24"/>
        </w:rPr>
        <w:t>Consolidated Statements of Comprehensive Income</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i/>
          <w:color w:val="000000"/>
          <w:sz w:val="24"/>
        </w:rPr>
        <w:t>(Unaudited - In thousands)</w:t>
      </w:r>
      <w:r>
        <w:rPr>
          <w:rFonts w:ascii="Times New Roman" w:hAnsi="Times New Roman"/>
          <w:sz w:val="24"/>
        </w:rPr>
        <w:t xml:space="preserve"> </w:t>
      </w:r>
    </w:p>
    <w:p>
      <w:pPr>
        <w:pStyle w:val="TextBody"/>
        <w:bidi w:val="0"/>
        <w:spacing w:before="0" w:after="0"/>
        <w:jc w:val="both"/>
        <w:rPr/>
      </w:pPr>
      <w:r>
        <w:rPr/>
        <w:t xml:space="preserve">  </w:t>
      </w:r>
    </w:p>
    <w:tbl>
      <w:tblPr>
        <w:tblW w:w="8190" w:type="dxa"/>
        <w:jc w:val="left"/>
        <w:tblInd w:w="0" w:type="dxa"/>
        <w:tblLayout w:type="fixed"/>
        <w:tblCellMar>
          <w:top w:w="0" w:type="dxa"/>
          <w:left w:w="0" w:type="dxa"/>
          <w:bottom w:w="0" w:type="dxa"/>
          <w:right w:w="0" w:type="dxa"/>
        </w:tblCellMar>
      </w:tblPr>
      <w:tblGrid>
        <w:gridCol w:w="4640"/>
        <w:gridCol w:w="90"/>
        <w:gridCol w:w="170"/>
        <w:gridCol w:w="1265"/>
        <w:gridCol w:w="185"/>
        <w:gridCol w:w="90"/>
        <w:gridCol w:w="170"/>
        <w:gridCol w:w="1445"/>
        <w:gridCol w:w="135"/>
      </w:tblGrid>
      <w:tr>
        <w:trPr/>
        <w:tc>
          <w:tcPr>
            <w:tcW w:w="46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0" w:type="dxa"/>
            <w:gridSpan w:val="7"/>
            <w:tcBorders/>
            <w:vAlign w:val="center"/>
          </w:tcPr>
          <w:p>
            <w:pPr>
              <w:pStyle w:val="TableContents"/>
              <w:bidi w:val="0"/>
              <w:spacing w:before="0" w:after="283"/>
              <w:jc w:val="center"/>
              <w:rPr>
                <w:b/>
              </w:rPr>
            </w:pPr>
            <w:r>
              <w:rPr>
                <w:b/>
              </w:rPr>
              <w:t>Fiscal quarters ended</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3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Net earnings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28,124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2,004</w:t>
            </w:r>
          </w:p>
        </w:tc>
        <w:tc>
          <w:tcPr>
            <w:tcW w:w="13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Other comprehensive income (loss), net of tax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Pension and other post-retirement actuarial items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328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138</w:t>
            </w:r>
          </w:p>
        </w:tc>
        <w:tc>
          <w:tcPr>
            <w:tcW w:w="13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(15,688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68,575</w:t>
            </w:r>
          </w:p>
        </w:tc>
        <w:tc>
          <w:tcPr>
            <w:tcW w:w="13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Other comprehensive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(15,360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68,713</w:t>
            </w:r>
          </w:p>
        </w:tc>
        <w:tc>
          <w:tcPr>
            <w:tcW w:w="135"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12,764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70,717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b/>
          <w:i/>
          <w:color w:val="000000"/>
          <w:sz w:val="24"/>
        </w:rPr>
      </w:pPr>
      <w:r>
        <w:rPr>
          <w:rFonts w:ascii="Times New Roman" w:hAnsi="Times New Roman"/>
          <w:b/>
          <w:i/>
          <w:color w:val="000000"/>
          <w:sz w:val="24"/>
        </w:rPr>
        <w:t>See accompanying notes.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7</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rFonts w:ascii="Times New Roman" w:hAnsi="Times New Roman"/>
          <w:b/>
          <w:sz w:val="24"/>
        </w:rPr>
      </w:pPr>
      <w:bookmarkStart w:id="7" w:name="PNL-YTD"/>
      <w:bookmarkEnd w:id="7"/>
      <w:r>
        <w:rPr>
          <w:rFonts w:ascii="Times New Roman" w:hAnsi="Times New Roman"/>
          <w:b/>
          <w:sz w:val="24"/>
        </w:rPr>
        <w:t>VISHAY INTERTECHNOLOGY, INC.</w:t>
      </w:r>
    </w:p>
    <w:p>
      <w:pPr>
        <w:pStyle w:val="TextBody"/>
        <w:bidi w:val="0"/>
        <w:spacing w:before="0" w:after="0"/>
        <w:jc w:val="both"/>
        <w:rPr>
          <w:rFonts w:ascii="Times New Roman" w:hAnsi="Times New Roman"/>
          <w:sz w:val="24"/>
        </w:rPr>
      </w:pPr>
      <w:r>
        <w:rPr>
          <w:rFonts w:ascii="Times New Roman" w:hAnsi="Times New Roman"/>
          <w:sz w:val="24"/>
        </w:rPr>
        <w:t>Consolidated Condensed Statements of Operations</w:t>
      </w:r>
    </w:p>
    <w:p>
      <w:pPr>
        <w:pStyle w:val="TextBody"/>
        <w:bidi w:val="0"/>
        <w:spacing w:before="0" w:after="0"/>
        <w:jc w:val="both"/>
        <w:rPr>
          <w:rFonts w:ascii="Times New Roman" w:hAnsi="Times New Roman"/>
          <w:i/>
          <w:sz w:val="24"/>
        </w:rPr>
      </w:pPr>
      <w:r>
        <w:rPr>
          <w:rFonts w:ascii="Times New Roman" w:hAnsi="Times New Roman"/>
          <w:i/>
          <w:sz w:val="24"/>
        </w:rPr>
        <w:t>(Unaudited - In thousands, except per share amounts)</w:t>
      </w:r>
    </w:p>
    <w:p>
      <w:pPr>
        <w:pStyle w:val="TextBody"/>
        <w:bidi w:val="0"/>
        <w:spacing w:before="0" w:after="0"/>
        <w:jc w:val="both"/>
        <w:rPr/>
      </w:pPr>
      <w:r>
        <w:rPr/>
        <w:t> </w:t>
      </w:r>
    </w:p>
    <w:tbl>
      <w:tblPr>
        <w:tblW w:w="7970" w:type="dxa"/>
        <w:jc w:val="left"/>
        <w:tblInd w:w="0" w:type="dxa"/>
        <w:tblLayout w:type="fixed"/>
        <w:tblCellMar>
          <w:top w:w="0" w:type="dxa"/>
          <w:left w:w="0" w:type="dxa"/>
          <w:bottom w:w="0" w:type="dxa"/>
          <w:right w:w="0" w:type="dxa"/>
        </w:tblCellMar>
      </w:tblPr>
      <w:tblGrid>
        <w:gridCol w:w="4415"/>
        <w:gridCol w:w="170"/>
        <w:gridCol w:w="1265"/>
        <w:gridCol w:w="185"/>
        <w:gridCol w:w="90"/>
        <w:gridCol w:w="170"/>
        <w:gridCol w:w="1445"/>
        <w:gridCol w:w="230"/>
      </w:tblGrid>
      <w:tr>
        <w:trPr/>
        <w:tc>
          <w:tcPr>
            <w:tcW w:w="4415" w:type="dxa"/>
            <w:tcBorders/>
            <w:vAlign w:val="center"/>
          </w:tcPr>
          <w:p>
            <w:pPr>
              <w:pStyle w:val="TableContents"/>
              <w:bidi w:val="0"/>
              <w:spacing w:before="0" w:after="283"/>
              <w:jc w:val="left"/>
              <w:rPr/>
            </w:pPr>
            <w:r>
              <w:rPr/>
              <w:t> </w:t>
            </w:r>
          </w:p>
        </w:tc>
        <w:tc>
          <w:tcPr>
            <w:tcW w:w="3555" w:type="dxa"/>
            <w:gridSpan w:val="7"/>
            <w:tcBorders/>
            <w:vAlign w:val="center"/>
          </w:tcPr>
          <w:p>
            <w:pPr>
              <w:pStyle w:val="TableContents"/>
              <w:bidi w:val="0"/>
              <w:spacing w:before="0" w:after="283"/>
              <w:jc w:val="center"/>
              <w:rPr>
                <w:b/>
              </w:rPr>
            </w:pPr>
            <w:r>
              <w:rPr>
                <w:b/>
              </w:rPr>
              <w:t>Six fiscal months ended</w:t>
            </w:r>
          </w:p>
        </w:tc>
      </w:tr>
      <w:tr>
        <w:trPr/>
        <w:tc>
          <w:tcPr>
            <w:tcW w:w="441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230"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1,727,817</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1,477,486</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283"/>
              <w:jc w:val="left"/>
              <w:rPr/>
            </w:pPr>
            <w:r>
              <w:rPr/>
              <w:t>Costs of products sold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1,343,823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1,193,249</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Gross profit</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383,994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284,237</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Selling, general, and administrative expenses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308,344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261,304</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Operating income</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75,650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22,933</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Other income (expense):</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Interest expense</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(20,306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(19,378</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Other</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b/>
              </w:rPr>
            </w:pPr>
            <w:r>
              <w:rPr>
                <w:b/>
              </w:rPr>
              <w:t>(93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pPr>
            <w:r>
              <w:rPr/>
              <w:t>4,494</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Total other income (expense)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(20,399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(14,884</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Income before taxes</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55,251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8,049</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Income tax expense</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19,963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10,137</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Net earnings (loss)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35,288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(2,088</w:t>
            </w:r>
          </w:p>
        </w:tc>
        <w:tc>
          <w:tcPr>
            <w:tcW w:w="230" w:type="dxa"/>
            <w:tcBorders/>
            <w:shd w:fill="CCEEFF" w:val="clear"/>
            <w:vAlign w:val="center"/>
          </w:tcPr>
          <w:p>
            <w:pPr>
              <w:pStyle w:val="TableContents"/>
              <w:bidi w:val="0"/>
              <w:spacing w:before="0" w:after="283"/>
              <w:jc w:val="left"/>
              <w:rPr/>
            </w:pPr>
            <w:r>
              <w:rPr/>
              <w:t>)</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Basic earnings (loss) per share</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0.26</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(0.02</w:t>
            </w:r>
          </w:p>
        </w:tc>
        <w:tc>
          <w:tcPr>
            <w:tcW w:w="230" w:type="dxa"/>
            <w:tcBorders/>
            <w:shd w:fill="CCEEFF" w:val="clear"/>
            <w:vAlign w:val="center"/>
          </w:tcPr>
          <w:p>
            <w:pPr>
              <w:pStyle w:val="TableContents"/>
              <w:bidi w:val="0"/>
              <w:spacing w:before="0" w:after="283"/>
              <w:jc w:val="left"/>
              <w:rPr/>
            </w:pPr>
            <w:r>
              <w:rPr/>
              <w:t>)</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Diluted earnings (loss) per share</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0.25</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(0.02</w:t>
            </w:r>
          </w:p>
        </w:tc>
        <w:tc>
          <w:tcPr>
            <w:tcW w:w="230" w:type="dxa"/>
            <w:tcBorders/>
            <w:shd w:fill="CCEEFF" w:val="clear"/>
            <w:vAlign w:val="center"/>
          </w:tcPr>
          <w:p>
            <w:pPr>
              <w:pStyle w:val="TableContents"/>
              <w:bidi w:val="0"/>
              <w:spacing w:before="0" w:after="283"/>
              <w:jc w:val="left"/>
              <w:rPr/>
            </w:pPr>
            <w:r>
              <w:rPr/>
              <w:t>)</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Weighted average shares outstanding - basic</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136,428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135,750</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Weighted average shares outstanding - diluted</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142,680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135,750</w:t>
            </w:r>
          </w:p>
        </w:tc>
        <w:tc>
          <w:tcPr>
            <w:tcW w:w="230" w:type="dxa"/>
            <w:tcBorders/>
            <w:shd w:fill="CCEEFF" w:val="clear"/>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Cash dividends per share</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0.20</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0.20</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441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b/>
                <w:i/>
              </w:rPr>
            </w:pPr>
            <w:r>
              <w:rPr>
                <w:b/>
                <w:i/>
              </w:rPr>
              <w:t>See accompanying notes.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8</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pPr>
      <w:r>
        <w:rPr/>
        <w:t> </w:t>
      </w:r>
      <w:bookmarkStart w:id="8" w:name="CI-YTD"/>
      <w:bookmarkEnd w:id="8"/>
      <w:r>
        <w:rPr>
          <w:rFonts w:ascii="Times New Roman" w:hAnsi="Times New Roman"/>
          <w:b/>
          <w:sz w:val="24"/>
        </w:rPr>
        <w:t>VISHAY INTERTECHNOLOGY, INC.</w:t>
      </w:r>
    </w:p>
    <w:p>
      <w:pPr>
        <w:pStyle w:val="TextBody"/>
        <w:bidi w:val="0"/>
        <w:spacing w:before="0" w:after="0"/>
        <w:jc w:val="both"/>
        <w:rPr>
          <w:rFonts w:ascii="Times New Roman" w:hAnsi="Times New Roman"/>
          <w:sz w:val="24"/>
        </w:rPr>
      </w:pPr>
      <w:r>
        <w:rPr>
          <w:rFonts w:ascii="Times New Roman" w:hAnsi="Times New Roman"/>
          <w:sz w:val="24"/>
        </w:rPr>
        <w:t>Consolidated Statements of Comprehensive Income</w:t>
      </w:r>
    </w:p>
    <w:p>
      <w:pPr>
        <w:pStyle w:val="TextBody"/>
        <w:bidi w:val="0"/>
        <w:spacing w:before="0" w:after="0"/>
        <w:jc w:val="both"/>
        <w:rPr>
          <w:rFonts w:ascii="Times New Roman" w:hAnsi="Times New Roman"/>
          <w:i/>
          <w:sz w:val="24"/>
        </w:rPr>
      </w:pPr>
      <w:r>
        <w:rPr>
          <w:rFonts w:ascii="Times New Roman" w:hAnsi="Times New Roman"/>
          <w:i/>
          <w:sz w:val="24"/>
        </w:rPr>
        <w:t>(Unaudited - In thousands)</w:t>
      </w:r>
    </w:p>
    <w:p>
      <w:pPr>
        <w:pStyle w:val="TextBody"/>
        <w:bidi w:val="0"/>
        <w:spacing w:before="0" w:after="0"/>
        <w:jc w:val="both"/>
        <w:rPr/>
      </w:pPr>
      <w:r>
        <w:rPr/>
        <w:t> </w:t>
      </w:r>
    </w:p>
    <w:tbl>
      <w:tblPr>
        <w:tblW w:w="8225" w:type="dxa"/>
        <w:jc w:val="left"/>
        <w:tblInd w:w="0" w:type="dxa"/>
        <w:tblLayout w:type="fixed"/>
        <w:tblCellMar>
          <w:top w:w="0" w:type="dxa"/>
          <w:left w:w="0" w:type="dxa"/>
          <w:bottom w:w="0" w:type="dxa"/>
          <w:right w:w="0" w:type="dxa"/>
        </w:tblCellMar>
      </w:tblPr>
      <w:tblGrid>
        <w:gridCol w:w="4640"/>
        <w:gridCol w:w="90"/>
        <w:gridCol w:w="170"/>
        <w:gridCol w:w="1265"/>
        <w:gridCol w:w="185"/>
        <w:gridCol w:w="90"/>
        <w:gridCol w:w="170"/>
        <w:gridCol w:w="1445"/>
        <w:gridCol w:w="170"/>
      </w:tblGrid>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95" w:type="dxa"/>
            <w:gridSpan w:val="7"/>
            <w:tcBorders/>
            <w:vAlign w:val="center"/>
          </w:tcPr>
          <w:p>
            <w:pPr>
              <w:pStyle w:val="TableContents"/>
              <w:bidi w:val="0"/>
              <w:spacing w:before="0" w:after="283"/>
              <w:jc w:val="center"/>
              <w:rPr>
                <w:b/>
              </w:rPr>
            </w:pPr>
            <w:r>
              <w:rPr>
                <w:b/>
              </w:rPr>
              <w:t>Six fiscal months ended</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Net earnings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35,288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(2,088</w:t>
            </w:r>
          </w:p>
        </w:tc>
        <w:tc>
          <w:tcPr>
            <w:tcW w:w="170" w:type="dxa"/>
            <w:tcBorders/>
            <w:shd w:fill="CCEEFF" w:val="clear"/>
            <w:vAlign w:val="center"/>
          </w:tcPr>
          <w:p>
            <w:pPr>
              <w:pStyle w:val="TableContents"/>
              <w:bidi w:val="0"/>
              <w:spacing w:before="0" w:after="283"/>
              <w:jc w:val="left"/>
              <w:rPr/>
            </w:pPr>
            <w:r>
              <w:rPr/>
              <w:t>)</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Other comprehensive income (loss), net of tax</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Pension and other post-retirement actuarial items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667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440</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Foreign currency translation adjustment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(30,400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99,477</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Other comprehensive income (loss)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(29,733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99,917</w:t>
            </w:r>
          </w:p>
        </w:tc>
        <w:tc>
          <w:tcPr>
            <w:tcW w:w="170" w:type="dxa"/>
            <w:tcBorders/>
            <w:shd w:fill="CCEEFF" w:val="clear"/>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283"/>
              <w:jc w:val="left"/>
              <w:rPr/>
            </w:pPr>
            <w:r>
              <w:rPr/>
              <w:t>Comprehensive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5,555</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97,829</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4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left"/>
              <w:rPr>
                <w:b/>
                <w:i/>
              </w:rPr>
            </w:pPr>
            <w:r>
              <w:rPr>
                <w:b/>
                <w:i/>
              </w:rPr>
              <w:t>See accompanying notes.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9</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b/>
          <w:color w:val="000000"/>
          <w:sz w:val="24"/>
        </w:rPr>
        <w:t>VISHAY INTERTECHNOLOGY, INC.</w:t>
      </w:r>
      <w:r>
        <w:rPr>
          <w:rFonts w:ascii="Times New Roman" w:hAnsi="Times New Roman"/>
          <w:sz w:val="24"/>
        </w:rPr>
        <w:t xml:space="preserve"> </w:t>
      </w:r>
    </w:p>
    <w:p>
      <w:pPr>
        <w:pStyle w:val="TextBody"/>
        <w:bidi w:val="0"/>
        <w:spacing w:before="0" w:after="0"/>
        <w:jc w:val="both"/>
        <w:rPr>
          <w:rFonts w:ascii="Times New Roman" w:hAnsi="Times New Roman"/>
          <w:sz w:val="24"/>
        </w:rPr>
      </w:pPr>
      <w:bookmarkStart w:id="9" w:name="SCF"/>
      <w:bookmarkEnd w:id="9"/>
      <w:r>
        <w:rPr>
          <w:rFonts w:ascii="Times New Roman" w:hAnsi="Times New Roman"/>
          <w:color w:val="000000"/>
          <w:sz w:val="24"/>
        </w:rPr>
        <w:t>Consolidated Condensed Statements of Cash Flows</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i/>
          <w:color w:val="000000"/>
          <w:sz w:val="24"/>
        </w:rPr>
        <w:t>(Unaudited - In thousands)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6838"/>
        <w:gridCol w:w="170"/>
        <w:gridCol w:w="1204"/>
        <w:gridCol w:w="185"/>
        <w:gridCol w:w="90"/>
        <w:gridCol w:w="170"/>
        <w:gridCol w:w="1316"/>
        <w:gridCol w:w="232"/>
      </w:tblGrid>
      <w:tr>
        <w:trPr/>
        <w:tc>
          <w:tcPr>
            <w:tcW w:w="68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838" w:type="dxa"/>
            <w:tcBorders/>
            <w:vAlign w:val="center"/>
          </w:tcPr>
          <w:p>
            <w:pPr>
              <w:pStyle w:val="TableContents"/>
              <w:bidi w:val="0"/>
              <w:spacing w:before="0" w:after="283"/>
              <w:jc w:val="left"/>
              <w:rPr/>
            </w:pPr>
            <w:r>
              <w:rPr/>
              <w:t> </w:t>
            </w:r>
          </w:p>
        </w:tc>
        <w:tc>
          <w:tcPr>
            <w:tcW w:w="3367" w:type="dxa"/>
            <w:gridSpan w:val="7"/>
            <w:tcBorders/>
            <w:vAlign w:val="center"/>
          </w:tcPr>
          <w:p>
            <w:pPr>
              <w:pStyle w:val="TableContents"/>
              <w:bidi w:val="0"/>
              <w:spacing w:before="0" w:after="283"/>
              <w:jc w:val="center"/>
              <w:rPr>
                <w:b/>
              </w:rPr>
            </w:pPr>
            <w:r>
              <w:rPr>
                <w:b/>
              </w:rPr>
              <w:t>Six fiscal months ended</w:t>
            </w:r>
          </w:p>
        </w:tc>
      </w:tr>
      <w:tr>
        <w:trPr/>
        <w:tc>
          <w:tcPr>
            <w:tcW w:w="6838"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04"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16"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232" w:type="dxa"/>
            <w:tcBorders/>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b/>
              </w:rPr>
            </w:pPr>
            <w:r>
              <w:rPr>
                <w:b/>
              </w:rPr>
              <w:t>Operating activities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Net earnings (loss)</w:t>
            </w:r>
          </w:p>
        </w:tc>
        <w:tc>
          <w:tcPr>
            <w:tcW w:w="170" w:type="dxa"/>
            <w:tcBorders/>
            <w:shd w:fill="CCEEFF" w:val="clear"/>
            <w:vAlign w:val="center"/>
          </w:tcPr>
          <w:p>
            <w:pPr>
              <w:pStyle w:val="TableContents"/>
              <w:bidi w:val="0"/>
              <w:spacing w:before="0" w:after="283"/>
              <w:jc w:val="left"/>
              <w:rPr>
                <w:b/>
              </w:rPr>
            </w:pPr>
            <w:r>
              <w:rPr>
                <w:b/>
              </w:rPr>
              <w:t>$</w:t>
            </w:r>
          </w:p>
        </w:tc>
        <w:tc>
          <w:tcPr>
            <w:tcW w:w="1204" w:type="dxa"/>
            <w:tcBorders/>
            <w:shd w:fill="CCEEFF" w:val="clear"/>
            <w:vAlign w:val="center"/>
          </w:tcPr>
          <w:p>
            <w:pPr>
              <w:pStyle w:val="TableContents"/>
              <w:bidi w:val="0"/>
              <w:spacing w:before="0" w:after="283"/>
              <w:jc w:val="right"/>
              <w:rPr>
                <w:b/>
              </w:rPr>
            </w:pPr>
            <w:r>
              <w:rPr>
                <w:b/>
              </w:rPr>
              <w:t>35,288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16" w:type="dxa"/>
            <w:tcBorders/>
            <w:shd w:fill="CCEEFF" w:val="clear"/>
            <w:vAlign w:val="center"/>
          </w:tcPr>
          <w:p>
            <w:pPr>
              <w:pStyle w:val="TableContents"/>
              <w:bidi w:val="0"/>
              <w:spacing w:before="0" w:after="283"/>
              <w:jc w:val="right"/>
              <w:rPr/>
            </w:pPr>
            <w:r>
              <w:rPr/>
              <w:t>(2,088</w:t>
            </w:r>
          </w:p>
        </w:tc>
        <w:tc>
          <w:tcPr>
            <w:tcW w:w="232" w:type="dxa"/>
            <w:tcBorders/>
            <w:shd w:fill="CCEEFF" w:val="clear"/>
            <w:vAlign w:val="center"/>
          </w:tcPr>
          <w:p>
            <w:pPr>
              <w:pStyle w:val="TableContents"/>
              <w:bidi w:val="0"/>
              <w:spacing w:before="0" w:after="283"/>
              <w:jc w:val="left"/>
              <w:rPr/>
            </w:pPr>
            <w:r>
              <w:rPr/>
              <w:t>)</w:t>
            </w:r>
          </w:p>
        </w:tc>
      </w:tr>
      <w:tr>
        <w:trPr/>
        <w:tc>
          <w:tcPr>
            <w:tcW w:w="6838" w:type="dxa"/>
            <w:tcBorders/>
            <w:vAlign w:val="center"/>
          </w:tcPr>
          <w:p>
            <w:pPr>
              <w:pStyle w:val="TableContents"/>
              <w:bidi w:val="0"/>
              <w:spacing w:before="0" w:after="283"/>
              <w:jc w:val="left"/>
              <w:rPr/>
            </w:pPr>
            <w:r>
              <w:rPr/>
              <w:t>Adjustments to reconcile net earnings (loss) to net cash provided by operating activities: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Depreciation and amortization</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114,328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109,743</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Loss on disposal of property and equipment</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73</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Inventory write-offs for obsolescence</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21,883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17,456</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Deferred income taxes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(6,069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(6,034</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Stock compensation expense</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20,056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11,736</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Other</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(3,606</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Change in U.S. transition liability</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(47,027</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Change in repatriation tax liability</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(2,000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(9,375</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Net change in operating assets and liabilities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(14,561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jc w:val="right"/>
              <w:rPr/>
            </w:pPr>
            <w:r>
              <w:rPr/>
              <w:t>(63,571</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Net cash provided by operating activities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169,028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7,307</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b/>
              </w:rPr>
            </w:pPr>
            <w:r>
              <w:rPr>
                <w:b/>
              </w:rPr>
              <w:t>Investing activities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Capital expenditures</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(205,862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(126,167</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Proceeds from sale of property and equipment</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221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494</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Purchase of short-term investments</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(5,260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(28,481</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Maturity of short-term investments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262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39,400</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Other investing activities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04"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(381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16" w:type="dxa"/>
            <w:tcBorders>
              <w:bottom w:val="single" w:sz="2" w:space="0" w:color="000000"/>
            </w:tcBorders>
            <w:shd w:fill="CCEEFF" w:val="clear"/>
            <w:tcMar>
              <w:bottom w:w="28" w:type="dxa"/>
            </w:tcMar>
            <w:vAlign w:val="center"/>
          </w:tcPr>
          <w:p>
            <w:pPr>
              <w:pStyle w:val="TableContents"/>
              <w:bidi w:val="0"/>
              <w:spacing w:before="0" w:after="283"/>
              <w:jc w:val="right"/>
              <w:rPr/>
            </w:pPr>
            <w:r>
              <w:rPr/>
              <w:t>(661</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Net cash used in investing activities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(211,020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(115,415</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b/>
              </w:rPr>
            </w:pPr>
            <w:r>
              <w:rPr>
                <w:b/>
              </w:rPr>
              <w:t>Financing activities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Proceeds from follow-on public offering, net of underwriting discounts and issuance costs</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830,250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Principal payments on long-term debt</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(41,911</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Net proceeds from revolving credit facility</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19,000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49,000</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Dividends paid to common stockholders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(24,805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(24,700</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Dividends paid to Class B common stockholders</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(2,419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(2,419</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Repurchase of common stock</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(12,538</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Cash withholding taxes paid when shares withheld for vested equity awards</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(4,013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(3,957</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Other financing activities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4" w:type="dxa"/>
            <w:tcBorders>
              <w:bottom w:val="single" w:sz="2" w:space="0" w:color="000000"/>
            </w:tcBorders>
            <w:tcMar>
              <w:bottom w:w="28" w:type="dxa"/>
            </w:tcMar>
            <w:vAlign w:val="center"/>
          </w:tcPr>
          <w:p>
            <w:pPr>
              <w:pStyle w:val="TableContents"/>
              <w:bidi w:val="0"/>
              <w:spacing w:before="0" w:after="283"/>
              <w:jc w:val="right"/>
              <w:rPr>
                <w:b/>
              </w:rPr>
            </w:pPr>
            <w:r>
              <w:rPr>
                <w:b/>
              </w:rPr>
              <w:t>10,000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6" w:type="dxa"/>
            <w:tcBorders>
              <w:bottom w:val="single" w:sz="2" w:space="0" w:color="000000"/>
            </w:tcBorders>
            <w:tcMar>
              <w:bottom w:w="28" w:type="dxa"/>
            </w:tcMar>
            <w:vAlign w:val="center"/>
          </w:tcPr>
          <w:p>
            <w:pPr>
              <w:pStyle w:val="TableContents"/>
              <w:bidi w:val="0"/>
              <w:spacing w:before="0" w:after="283"/>
              <w:jc w:val="right"/>
              <w:rPr/>
            </w:pPr>
            <w:r>
              <w:rPr/>
              <w:t>10,078</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Net cash provided by (used in) financing activities</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right"/>
              <w:rPr>
                <w:b/>
              </w:rPr>
            </w:pPr>
            <w:r>
              <w:rPr>
                <w:b/>
              </w:rPr>
              <w:t>828,013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right"/>
              <w:rPr/>
            </w:pPr>
            <w:r>
              <w:rPr/>
              <w:t>(26,447</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Effect of exchange rate changes on cash and cash equivalents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4" w:type="dxa"/>
            <w:tcBorders>
              <w:bottom w:val="single" w:sz="2" w:space="0" w:color="000000"/>
            </w:tcBorders>
            <w:tcMar>
              <w:bottom w:w="28" w:type="dxa"/>
            </w:tcMar>
            <w:vAlign w:val="center"/>
          </w:tcPr>
          <w:p>
            <w:pPr>
              <w:pStyle w:val="TableContents"/>
              <w:bidi w:val="0"/>
              <w:spacing w:before="0" w:after="283"/>
              <w:jc w:val="right"/>
              <w:rPr>
                <w:b/>
              </w:rPr>
            </w:pPr>
            <w:r>
              <w:rPr>
                <w:b/>
              </w:rPr>
              <w:t>(3,678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6" w:type="dxa"/>
            <w:tcBorders>
              <w:bottom w:val="single" w:sz="2" w:space="0" w:color="000000"/>
            </w:tcBorders>
            <w:tcMar>
              <w:bottom w:w="28" w:type="dxa"/>
            </w:tcMar>
            <w:vAlign w:val="center"/>
          </w:tcPr>
          <w:p>
            <w:pPr>
              <w:pStyle w:val="TableContents"/>
              <w:bidi w:val="0"/>
              <w:spacing w:before="0" w:after="283"/>
              <w:jc w:val="right"/>
              <w:rPr/>
            </w:pPr>
            <w:r>
              <w:rPr/>
              <w:t>18,129</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Net increase (decrease) in cash and cash equivalents</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b/>
              </w:rPr>
            </w:pPr>
            <w:r>
              <w:rPr>
                <w:b/>
              </w:rPr>
              <w:t>782,343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16" w:type="dxa"/>
            <w:tcBorders/>
            <w:vAlign w:val="center"/>
          </w:tcPr>
          <w:p>
            <w:pPr>
              <w:pStyle w:val="TableContents"/>
              <w:bidi w:val="0"/>
              <w:spacing w:before="0" w:after="283"/>
              <w:jc w:val="right"/>
              <w:rPr/>
            </w:pPr>
            <w:r>
              <w:rPr/>
              <w:t>(116,426</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1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838" w:type="dxa"/>
            <w:tcBorders/>
            <w:vAlign w:val="center"/>
          </w:tcPr>
          <w:p>
            <w:pPr>
              <w:pStyle w:val="TableContents"/>
              <w:bidi w:val="0"/>
              <w:spacing w:before="0" w:after="283"/>
              <w:jc w:val="left"/>
              <w:rPr/>
            </w:pPr>
            <w:r>
              <w:rPr/>
              <w:t>Cash and cash equivalents at beginning of period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04" w:type="dxa"/>
            <w:tcBorders>
              <w:bottom w:val="single" w:sz="2" w:space="0" w:color="000000"/>
            </w:tcBorders>
            <w:tcMar>
              <w:bottom w:w="28" w:type="dxa"/>
            </w:tcMar>
            <w:vAlign w:val="center"/>
          </w:tcPr>
          <w:p>
            <w:pPr>
              <w:pStyle w:val="TableContents"/>
              <w:bidi w:val="0"/>
              <w:spacing w:before="0" w:after="283"/>
              <w:jc w:val="right"/>
              <w:rPr>
                <w:b/>
              </w:rPr>
            </w:pPr>
            <w:r>
              <w:rPr>
                <w:b/>
              </w:rPr>
              <w:t>514,966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6" w:type="dxa"/>
            <w:tcBorders>
              <w:bottom w:val="single" w:sz="2" w:space="0" w:color="000000"/>
            </w:tcBorders>
            <w:tcMar>
              <w:bottom w:w="28" w:type="dxa"/>
            </w:tcMar>
            <w:vAlign w:val="center"/>
          </w:tcPr>
          <w:p>
            <w:pPr>
              <w:pStyle w:val="TableContents"/>
              <w:bidi w:val="0"/>
              <w:spacing w:before="0" w:after="283"/>
              <w:jc w:val="right"/>
              <w:rPr/>
            </w:pPr>
            <w:r>
              <w:rPr/>
              <w:t>590,286</w:t>
            </w:r>
          </w:p>
        </w:tc>
        <w:tc>
          <w:tcPr>
            <w:tcW w:w="232" w:type="dxa"/>
            <w:tcBorders/>
            <w:vAlign w:val="center"/>
          </w:tcPr>
          <w:p>
            <w:pPr>
              <w:pStyle w:val="TableContents"/>
              <w:bidi w:val="0"/>
              <w:spacing w:before="0" w:after="283"/>
              <w:jc w:val="left"/>
              <w:rPr/>
            </w:pPr>
            <w:r>
              <w:rPr/>
              <w:t> </w:t>
            </w:r>
          </w:p>
        </w:tc>
      </w:tr>
      <w:tr>
        <w:trPr/>
        <w:tc>
          <w:tcPr>
            <w:tcW w:w="6838" w:type="dxa"/>
            <w:tcBorders/>
            <w:shd w:fill="CCEEFF" w:val="clear"/>
            <w:vAlign w:val="center"/>
          </w:tcPr>
          <w:p>
            <w:pPr>
              <w:pStyle w:val="TableContents"/>
              <w:bidi w:val="0"/>
              <w:spacing w:before="0" w:after="283"/>
              <w:jc w:val="left"/>
              <w:rPr/>
            </w:pPr>
            <w:r>
              <w:rPr/>
              <w:t>Cash and cash equivalents at end of period</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1,297,309</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16" w:type="dxa"/>
            <w:tcBorders>
              <w:bottom w:val="double" w:sz="6" w:space="0" w:color="000000"/>
            </w:tcBorders>
            <w:shd w:fill="CCEEFF" w:val="clear"/>
            <w:tcMar>
              <w:bottom w:w="28" w:type="dxa"/>
            </w:tcMar>
            <w:vAlign w:val="center"/>
          </w:tcPr>
          <w:p>
            <w:pPr>
              <w:pStyle w:val="TableContents"/>
              <w:bidi w:val="0"/>
              <w:spacing w:before="0" w:after="283"/>
              <w:jc w:val="right"/>
              <w:rPr/>
            </w:pPr>
            <w:r>
              <w:rPr/>
              <w:t>473,860</w:t>
            </w:r>
          </w:p>
        </w:tc>
        <w:tc>
          <w:tcPr>
            <w:tcW w:w="232"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p>
      <w:pPr>
        <w:pStyle w:val="TextBody"/>
        <w:bidi w:val="0"/>
        <w:spacing w:before="0" w:after="0"/>
        <w:jc w:val="both"/>
        <w:rPr>
          <w:rFonts w:ascii="Times New Roman" w:hAnsi="Times New Roman"/>
          <w:b/>
          <w:i/>
          <w:color w:val="000000"/>
          <w:sz w:val="24"/>
        </w:rPr>
      </w:pPr>
      <w:r>
        <w:rPr>
          <w:rFonts w:ascii="Times New Roman" w:hAnsi="Times New Roman"/>
          <w:b/>
          <w:i/>
          <w:color w:val="000000"/>
          <w:sz w:val="24"/>
        </w:rPr>
        <w:t>See accompanying notes.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10</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color w:val="000000"/>
          <w:sz w:val="24"/>
        </w:rPr>
        <w:t>VISHAY INTERTECHNOLOGY, INC.</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Consolidated Condensed Statements of Equity</w:t>
      </w:r>
      <w:bookmarkStart w:id="10" w:name="Q1SSE"/>
      <w:bookmarkEnd w:id="10"/>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i/>
          <w:color w:val="000000"/>
          <w:sz w:val="24"/>
        </w:rPr>
        <w:t>(Unaudited - In thousands, except share and per share amounts)</w:t>
      </w:r>
      <w:r>
        <w:rPr>
          <w:rFonts w:ascii="Times New Roman" w:hAnsi="Times New Roman"/>
          <w:sz w:val="24"/>
        </w:rPr>
        <w:t xml:space="preserve"> </w:t>
      </w:r>
    </w:p>
    <w:p>
      <w:pPr>
        <w:pStyle w:val="TextBody"/>
        <w:bidi w:val="0"/>
        <w:spacing w:before="0" w:after="0"/>
        <w:jc w:val="both"/>
        <w:rPr/>
      </w:pPr>
      <w:r>
        <w:rPr/>
        <w:t xml:space="preserve">  </w:t>
      </w:r>
    </w:p>
    <w:tbl>
      <w:tblPr>
        <w:tblW w:w="12250" w:type="dxa"/>
        <w:jc w:val="left"/>
        <w:tblInd w:w="0" w:type="dxa"/>
        <w:tblLayout w:type="fixed"/>
        <w:tblCellMar>
          <w:top w:w="0" w:type="dxa"/>
          <w:left w:w="0" w:type="dxa"/>
          <w:bottom w:w="0" w:type="dxa"/>
          <w:right w:w="0" w:type="dxa"/>
        </w:tblCellMar>
      </w:tblPr>
      <w:tblGrid>
        <w:gridCol w:w="1490"/>
        <w:gridCol w:w="170"/>
        <w:gridCol w:w="995"/>
        <w:gridCol w:w="90"/>
        <w:gridCol w:w="90"/>
        <w:gridCol w:w="170"/>
        <w:gridCol w:w="1250"/>
        <w:gridCol w:w="90"/>
        <w:gridCol w:w="90"/>
        <w:gridCol w:w="170"/>
        <w:gridCol w:w="1010"/>
        <w:gridCol w:w="185"/>
        <w:gridCol w:w="90"/>
        <w:gridCol w:w="170"/>
        <w:gridCol w:w="980"/>
        <w:gridCol w:w="185"/>
        <w:gridCol w:w="90"/>
        <w:gridCol w:w="170"/>
        <w:gridCol w:w="995"/>
        <w:gridCol w:w="185"/>
        <w:gridCol w:w="90"/>
        <w:gridCol w:w="170"/>
        <w:gridCol w:w="1640"/>
        <w:gridCol w:w="185"/>
        <w:gridCol w:w="90"/>
        <w:gridCol w:w="170"/>
        <w:gridCol w:w="1010"/>
        <w:gridCol w:w="230"/>
      </w:tblGrid>
      <w:tr>
        <w:trPr/>
        <w:tc>
          <w:tcPr>
            <w:tcW w:w="14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b/>
              </w:rPr>
            </w:pPr>
            <w:r>
              <w:rPr>
                <w:b/>
              </w:rPr>
              <w:t>Class B</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Capital in</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Accumulated Other</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b/>
              </w:rPr>
            </w:pPr>
            <w:r>
              <w:rPr>
                <w:b/>
              </w:rPr>
              <w:t>Convertible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Excess of</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center"/>
              <w:rPr>
                <w:b/>
              </w:rPr>
            </w:pPr>
            <w:r>
              <w:rPr>
                <w:b/>
              </w:rPr>
              <w:t>Comprehensive</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b/>
              </w:rPr>
            </w:pPr>
            <w:r>
              <w:rPr>
                <w:b/>
              </w:rPr>
              <w:t>Par Value</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center"/>
              <w:rPr>
                <w:b/>
              </w:rPr>
            </w:pPr>
            <w:r>
              <w:rPr>
                <w:b/>
              </w:rPr>
              <w:t>Retained Earnings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Treasury Stock</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Income (Loss)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b/>
              </w:rPr>
            </w:pPr>
            <w:r>
              <w:rPr>
                <w:b/>
              </w:rPr>
              <w:t>Total Equity</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Balance at December 31, 2024</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13,361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1,306,245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955,500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(212,062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(35,292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2,028,962</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earnings (loss)</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(4,092</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Other comprehensive income</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31,204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31,204</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490" w:type="dxa"/>
            <w:tcBorders/>
            <w:vAlign w:val="center"/>
          </w:tcPr>
          <w:p>
            <w:pPr>
              <w:pStyle w:val="TableContents"/>
              <w:bidi w:val="0"/>
              <w:spacing w:before="0" w:after="283"/>
              <w:jc w:val="left"/>
              <w:rPr/>
            </w:pPr>
            <w:r>
              <w:rPr/>
              <w:t>Issuance of stock and related tax withholdings for vested restricted stock units (506,430 shares)</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(3,943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(3,893</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Dividends declared ($0.10 per share)</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(13,575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(13,562</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Stock compensation expense</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6,051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6,051</w:t>
            </w:r>
          </w:p>
        </w:tc>
        <w:tc>
          <w:tcPr>
            <w:tcW w:w="230" w:type="dxa"/>
            <w:tcBorders/>
            <w:vAlign w:val="center"/>
          </w:tcPr>
          <w:p>
            <w:pPr>
              <w:pStyle w:val="TableContents"/>
              <w:bidi w:val="0"/>
              <w:spacing w:before="0" w:after="283"/>
              <w:ind w:left="0" w:right="0" w:hanging="75"/>
              <w:jc w:val="left"/>
              <w:rPr/>
            </w:pPr>
            <w:r>
              <w:rPr/>
              <w:t> </w:t>
            </w:r>
          </w:p>
        </w:tc>
      </w:tr>
      <w:tr>
        <w:trPr/>
        <w:tc>
          <w:tcPr>
            <w:tcW w:w="1490" w:type="dxa"/>
            <w:tcBorders/>
            <w:shd w:fill="CCEEFF" w:val="clear"/>
            <w:vAlign w:val="center"/>
          </w:tcPr>
          <w:p>
            <w:pPr>
              <w:pStyle w:val="TableContents"/>
              <w:bidi w:val="0"/>
              <w:spacing w:before="0" w:after="283"/>
              <w:jc w:val="left"/>
              <w:rPr/>
            </w:pPr>
            <w:r>
              <w:rPr/>
              <w:t>Repurchase of common stock held in treasury (728,560 shares)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pPr>
            <w:r>
              <w:rPr/>
              <w:t>(12,538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(12,538</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March 29, 2025</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13,411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tcMar>
              <w:bottom w:w="28" w:type="dxa"/>
            </w:tcMar>
            <w:vAlign w:val="center"/>
          </w:tcPr>
          <w:p>
            <w:pPr>
              <w:pStyle w:val="TableContents"/>
              <w:bidi w:val="0"/>
              <w:spacing w:before="0" w:after="283"/>
              <w:jc w:val="right"/>
              <w:rPr/>
            </w:pPr>
            <w:r>
              <w:rPr/>
              <w:t>1,210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1,308,366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tcMar>
              <w:bottom w:w="28" w:type="dxa"/>
            </w:tcMar>
            <w:vAlign w:val="center"/>
          </w:tcPr>
          <w:p>
            <w:pPr>
              <w:pStyle w:val="TableContents"/>
              <w:bidi w:val="0"/>
              <w:spacing w:before="0" w:after="283"/>
              <w:jc w:val="right"/>
              <w:rPr/>
            </w:pPr>
            <w:r>
              <w:rPr/>
              <w:t>937,833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(224,600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(4,088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2,032,132</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Net earnings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2,004</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 comprehensive income</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68,713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68,713</w:t>
            </w:r>
          </w:p>
        </w:tc>
        <w:tc>
          <w:tcPr>
            <w:tcW w:w="230" w:type="dxa"/>
            <w:tcBorders/>
            <w:vAlign w:val="center"/>
          </w:tcPr>
          <w:p>
            <w:pPr>
              <w:pStyle w:val="TableContents"/>
              <w:bidi w:val="0"/>
              <w:spacing w:before="0" w:after="283"/>
              <w:ind w:left="0" w:right="0" w:hanging="150"/>
              <w:jc w:val="left"/>
              <w:rPr/>
            </w:pPr>
            <w:r>
              <w:rPr/>
              <w:t> </w:t>
            </w:r>
          </w:p>
        </w:tc>
      </w:tr>
      <w:tr>
        <w:trPr/>
        <w:tc>
          <w:tcPr>
            <w:tcW w:w="1490" w:type="dxa"/>
            <w:tcBorders/>
            <w:shd w:fill="CCEEFF" w:val="clear"/>
            <w:vAlign w:val="center"/>
          </w:tcPr>
          <w:p>
            <w:pPr>
              <w:pStyle w:val="TableContents"/>
              <w:bidi w:val="0"/>
              <w:spacing w:before="0" w:after="283"/>
              <w:jc w:val="left"/>
              <w:rPr/>
            </w:pPr>
            <w:r>
              <w:rPr/>
              <w:t>Issuance of stock and related tax withholdings for vested restricted stock units (35,366 shares)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(64</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Dividends declared ($0.10 per share)</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(13,570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(13,557</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Stock compensation expense</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5,685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5,685</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Other</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78</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Balance at June 28, 2025</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13,415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1,210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1,314,066</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926,267</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(224,592</w:t>
            </w:r>
          </w:p>
        </w:tc>
        <w:tc>
          <w:tcPr>
            <w:tcW w:w="18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64,625</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2,094,991</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Balance at December 31, 2025</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12,351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50" w:type="dxa"/>
            <w:tcBorders/>
            <w:shd w:fill="CCEEFF" w:val="clear"/>
            <w:vAlign w:val="center"/>
          </w:tcPr>
          <w:p>
            <w:pPr>
              <w:pStyle w:val="TableContents"/>
              <w:bidi w:val="0"/>
              <w:spacing w:before="0" w:after="283"/>
              <w:jc w:val="right"/>
              <w:rPr/>
            </w:pPr>
            <w:r>
              <w:rPr/>
              <w:t>1,210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1,101,086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892,232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81,394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2,088,273</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Net earnings</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7,164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7,164</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Other comprehensive income (loss)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(14,373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(14,373</w:t>
            </w:r>
          </w:p>
        </w:tc>
        <w:tc>
          <w:tcPr>
            <w:tcW w:w="230" w:type="dxa"/>
            <w:tcBorders/>
            <w:shd w:fill="CCEEFF" w:val="clear"/>
            <w:vAlign w:val="center"/>
          </w:tcPr>
          <w:p>
            <w:pPr>
              <w:pStyle w:val="TableContents"/>
              <w:bidi w:val="0"/>
              <w:spacing w:before="0" w:after="283"/>
              <w:ind w:left="0" w:right="0" w:hanging="150"/>
              <w:jc w:val="left"/>
              <w:rPr/>
            </w:pPr>
            <w:r>
              <w:rPr/>
              <w:t>) </w:t>
            </w:r>
          </w:p>
        </w:tc>
      </w:tr>
      <w:tr>
        <w:trPr/>
        <w:tc>
          <w:tcPr>
            <w:tcW w:w="1490" w:type="dxa"/>
            <w:tcBorders/>
            <w:vAlign w:val="center"/>
          </w:tcPr>
          <w:p>
            <w:pPr>
              <w:pStyle w:val="TableContents"/>
              <w:bidi w:val="0"/>
              <w:spacing w:before="0" w:after="283"/>
              <w:jc w:val="left"/>
              <w:rPr/>
            </w:pPr>
            <w:r>
              <w:rPr/>
              <w:t>Issuance of stock and related tax withholdings for vested restricted stock units (509,897 shares)</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(3,912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(3,861</w:t>
            </w:r>
          </w:p>
        </w:tc>
        <w:tc>
          <w:tcPr>
            <w:tcW w:w="230" w:type="dxa"/>
            <w:tcBorders/>
            <w:vAlign w:val="center"/>
          </w:tcPr>
          <w:p>
            <w:pPr>
              <w:pStyle w:val="TableContents"/>
              <w:bidi w:val="0"/>
              <w:spacing w:before="0" w:after="283"/>
              <w:ind w:left="0" w:right="0" w:hanging="150"/>
              <w:jc w:val="left"/>
              <w:rPr/>
            </w:pPr>
            <w:r>
              <w:rPr/>
              <w:t>) </w:t>
            </w:r>
          </w:p>
        </w:tc>
      </w:tr>
      <w:tr>
        <w:trPr/>
        <w:tc>
          <w:tcPr>
            <w:tcW w:w="1490" w:type="dxa"/>
            <w:tcBorders/>
            <w:shd w:fill="CCEEFF" w:val="clear"/>
            <w:vAlign w:val="center"/>
          </w:tcPr>
          <w:p>
            <w:pPr>
              <w:pStyle w:val="TableContents"/>
              <w:bidi w:val="0"/>
              <w:spacing w:before="0" w:after="283"/>
              <w:jc w:val="left"/>
              <w:rPr/>
            </w:pPr>
            <w:r>
              <w:rPr/>
              <w:t>Dividends declared ($0.10 per share)</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(13,625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(13,611</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Stock compensation expense</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12,273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12,273</w:t>
            </w:r>
          </w:p>
        </w:tc>
        <w:tc>
          <w:tcPr>
            <w:tcW w:w="230"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Balance at April 4, 2026</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12,402</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pPr>
            <w:r>
              <w:rPr/>
              <w:t>1,210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1,109,461</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885,771</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67,021</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2,075,865</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283"/>
              <w:jc w:val="left"/>
              <w:rPr/>
            </w:pPr>
            <w:r>
              <w:rPr/>
              <w:t>Net earnings</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right"/>
              <w:rPr>
                <w:b/>
              </w:rPr>
            </w:pPr>
            <w:r>
              <w:rPr>
                <w:b/>
              </w:rPr>
              <w:t>28,124</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right"/>
              <w:rPr>
                <w:b/>
              </w:rPr>
            </w:pPr>
            <w:r>
              <w:rPr>
                <w:b/>
              </w:rPr>
              <w:t>28,124</w:t>
            </w:r>
          </w:p>
        </w:tc>
        <w:tc>
          <w:tcPr>
            <w:tcW w:w="230"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CCEEFF" w:val="clear"/>
            <w:vAlign w:val="center"/>
          </w:tcPr>
          <w:p>
            <w:pPr>
              <w:pStyle w:val="TableContents"/>
              <w:bidi w:val="0"/>
              <w:spacing w:before="0" w:after="283"/>
              <w:jc w:val="left"/>
              <w:rPr/>
            </w:pPr>
            <w:r>
              <w:rPr/>
              <w:t>Other comprehensive income (loss)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(15,360</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(15,360</w:t>
            </w:r>
          </w:p>
        </w:tc>
        <w:tc>
          <w:tcPr>
            <w:tcW w:w="230" w:type="dxa"/>
            <w:tcBorders/>
            <w:shd w:fill="CCEEFF" w:val="clear"/>
            <w:vAlign w:val="center"/>
          </w:tcPr>
          <w:p>
            <w:pPr>
              <w:pStyle w:val="TableContents"/>
              <w:bidi w:val="0"/>
              <w:spacing w:before="0" w:after="283"/>
              <w:ind w:left="0" w:right="0" w:hanging="150"/>
              <w:jc w:val="left"/>
              <w:rPr>
                <w:b/>
              </w:rPr>
            </w:pPr>
            <w:r>
              <w:rPr>
                <w:b/>
              </w:rPr>
              <w:t>) </w:t>
            </w:r>
          </w:p>
        </w:tc>
      </w:tr>
      <w:tr>
        <w:trPr/>
        <w:tc>
          <w:tcPr>
            <w:tcW w:w="1490" w:type="dxa"/>
            <w:tcBorders/>
            <w:vAlign w:val="center"/>
          </w:tcPr>
          <w:p>
            <w:pPr>
              <w:pStyle w:val="TableContents"/>
              <w:bidi w:val="0"/>
              <w:spacing w:before="0" w:after="283"/>
              <w:jc w:val="left"/>
              <w:rPr/>
            </w:pPr>
            <w:r>
              <w:rPr/>
              <w:t>Issuance of stock from follow-on public offering, net of underwriting discounts and issuance costs (17,250,000 shares)</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1,725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828,525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830,250</w:t>
            </w:r>
          </w:p>
        </w:tc>
        <w:tc>
          <w:tcPr>
            <w:tcW w:w="230" w:type="dxa"/>
            <w:tcBorders/>
            <w:vAlign w:val="center"/>
          </w:tcPr>
          <w:p>
            <w:pPr>
              <w:pStyle w:val="TableContents"/>
              <w:bidi w:val="0"/>
              <w:spacing w:before="0" w:after="283"/>
              <w:ind w:left="0" w:right="0" w:hanging="150"/>
              <w:jc w:val="left"/>
              <w:rPr/>
            </w:pPr>
            <w:r>
              <w:rPr/>
              <w:t> </w:t>
            </w:r>
          </w:p>
        </w:tc>
      </w:tr>
      <w:tr>
        <w:trPr/>
        <w:tc>
          <w:tcPr>
            <w:tcW w:w="1490" w:type="dxa"/>
            <w:tcBorders/>
            <w:shd w:fill="CCEEFF" w:val="clear"/>
            <w:vAlign w:val="center"/>
          </w:tcPr>
          <w:p>
            <w:pPr>
              <w:pStyle w:val="TableContents"/>
              <w:bidi w:val="0"/>
              <w:spacing w:before="0" w:after="283"/>
              <w:jc w:val="left"/>
              <w:rPr/>
            </w:pPr>
            <w:r>
              <w:rPr/>
              <w:t>Issuance of stock and related tax withholdings for vested restricted stock units (23,798 shares)</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b/>
              </w:rPr>
            </w:pPr>
            <w:r>
              <w:rPr>
                <w:b/>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(154</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995"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b/>
              </w:rPr>
            </w:pPr>
            <w:r>
              <w:rPr>
                <w:b/>
              </w:rPr>
              <w:t>(152</w:t>
            </w:r>
          </w:p>
        </w:tc>
        <w:tc>
          <w:tcPr>
            <w:tcW w:w="230" w:type="dxa"/>
            <w:tcBorders/>
            <w:shd w:fill="CCEEFF" w:val="clear"/>
            <w:vAlign w:val="center"/>
          </w:tcPr>
          <w:p>
            <w:pPr>
              <w:pStyle w:val="TableContents"/>
              <w:bidi w:val="0"/>
              <w:spacing w:before="0" w:after="283"/>
              <w:jc w:val="left"/>
              <w:rPr>
                <w:b/>
              </w:rPr>
            </w:pPr>
            <w:r>
              <w:rPr>
                <w:b/>
              </w:rPr>
              <w:t>) </w:t>
            </w:r>
          </w:p>
        </w:tc>
      </w:tr>
      <w:tr>
        <w:trPr/>
        <w:tc>
          <w:tcPr>
            <w:tcW w:w="1490" w:type="dxa"/>
            <w:tcBorders/>
            <w:vAlign w:val="center"/>
          </w:tcPr>
          <w:p>
            <w:pPr>
              <w:pStyle w:val="TableContents"/>
              <w:bidi w:val="0"/>
              <w:spacing w:before="0" w:after="283"/>
              <w:jc w:val="left"/>
              <w:rPr/>
            </w:pPr>
            <w:r>
              <w:rPr/>
              <w:t>Dividends declared ($0.10 per share)</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b/>
              </w:rPr>
            </w:pPr>
            <w:r>
              <w:rPr>
                <w:b/>
              </w:rPr>
              <w:t>(13,627</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(13,613</w:t>
            </w:r>
          </w:p>
        </w:tc>
        <w:tc>
          <w:tcPr>
            <w:tcW w:w="230" w:type="dxa"/>
            <w:tcBorders/>
            <w:vAlign w:val="center"/>
          </w:tcPr>
          <w:p>
            <w:pPr>
              <w:pStyle w:val="TableContents"/>
              <w:bidi w:val="0"/>
              <w:spacing w:before="0" w:after="283"/>
              <w:jc w:val="left"/>
              <w:rPr>
                <w:b/>
              </w:rPr>
            </w:pPr>
            <w:r>
              <w:rPr>
                <w:b/>
              </w:rPr>
              <w:t>) </w:t>
            </w:r>
          </w:p>
        </w:tc>
      </w:tr>
      <w:tr>
        <w:trPr/>
        <w:tc>
          <w:tcPr>
            <w:tcW w:w="1490" w:type="dxa"/>
            <w:tcBorders/>
            <w:shd w:fill="CCEEFF" w:val="clear"/>
            <w:vAlign w:val="center"/>
          </w:tcPr>
          <w:p>
            <w:pPr>
              <w:pStyle w:val="TableContents"/>
              <w:bidi w:val="0"/>
              <w:spacing w:before="0" w:after="283"/>
              <w:jc w:val="left"/>
              <w:rPr/>
            </w:pPr>
            <w:r>
              <w:rPr/>
              <w:t>Stock compensation expense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7,783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7,783</w:t>
            </w:r>
          </w:p>
        </w:tc>
        <w:tc>
          <w:tcPr>
            <w:tcW w:w="230" w:type="dxa"/>
            <w:tcBorders/>
            <w:shd w:fill="CCEEFF" w:val="clear"/>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Balance at July 4, 2026</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14,129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50" w:type="dxa"/>
            <w:tcBorders>
              <w:bottom w:val="double" w:sz="6" w:space="0" w:color="000000"/>
            </w:tcBorders>
            <w:tcMar>
              <w:bottom w:w="28" w:type="dxa"/>
            </w:tcMar>
            <w:vAlign w:val="center"/>
          </w:tcPr>
          <w:p>
            <w:pPr>
              <w:pStyle w:val="TableContents"/>
              <w:bidi w:val="0"/>
              <w:spacing w:before="0" w:after="283"/>
              <w:jc w:val="right"/>
              <w:rPr>
                <w:b/>
              </w:rPr>
            </w:pPr>
            <w:r>
              <w:rPr>
                <w:b/>
              </w:rPr>
              <w:t>1,210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6" w:space="0" w:color="000000"/>
            </w:tcBorders>
            <w:tcMar>
              <w:bottom w:w="28" w:type="dxa"/>
            </w:tcMar>
            <w:vAlign w:val="center"/>
          </w:tcPr>
          <w:p>
            <w:pPr>
              <w:pStyle w:val="TableContents"/>
              <w:bidi w:val="0"/>
              <w:spacing w:before="0" w:after="283"/>
              <w:jc w:val="right"/>
              <w:rPr>
                <w:b/>
              </w:rPr>
            </w:pPr>
            <w:r>
              <w:rPr>
                <w:b/>
              </w:rPr>
              <w:t>1,945,629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tcMar>
              <w:bottom w:w="28" w:type="dxa"/>
            </w:tcMar>
            <w:vAlign w:val="center"/>
          </w:tcPr>
          <w:p>
            <w:pPr>
              <w:pStyle w:val="TableContents"/>
              <w:bidi w:val="0"/>
              <w:spacing w:before="0" w:after="283"/>
              <w:jc w:val="right"/>
              <w:rPr>
                <w:b/>
              </w:rPr>
            </w:pPr>
            <w:r>
              <w:rPr>
                <w:b/>
              </w:rPr>
              <w:t>900,268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640" w:type="dxa"/>
            <w:tcBorders>
              <w:bottom w:val="double" w:sz="6" w:space="0" w:color="000000"/>
            </w:tcBorders>
            <w:tcMar>
              <w:bottom w:w="28" w:type="dxa"/>
            </w:tcMar>
            <w:vAlign w:val="center"/>
          </w:tcPr>
          <w:p>
            <w:pPr>
              <w:pStyle w:val="TableContents"/>
              <w:bidi w:val="0"/>
              <w:spacing w:before="0" w:after="283"/>
              <w:jc w:val="right"/>
              <w:rPr>
                <w:b/>
              </w:rPr>
            </w:pPr>
            <w:r>
              <w:rPr>
                <w:b/>
              </w:rPr>
              <w:t>51,661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double" w:sz="6" w:space="0" w:color="000000"/>
            </w:tcBorders>
            <w:tcMar>
              <w:bottom w:w="28" w:type="dxa"/>
            </w:tcMar>
            <w:vAlign w:val="center"/>
          </w:tcPr>
          <w:p>
            <w:pPr>
              <w:pStyle w:val="TableContents"/>
              <w:bidi w:val="0"/>
              <w:spacing w:before="0" w:after="283"/>
              <w:jc w:val="right"/>
              <w:rPr>
                <w:b/>
              </w:rPr>
            </w:pPr>
            <w:r>
              <w:rPr>
                <w:b/>
              </w:rPr>
              <w:t>2,912,897</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i/>
          <w:color w:val="000000"/>
          <w:sz w:val="24"/>
        </w:rPr>
        <w:t>See accompanying notes.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11</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11" w:name="Note1BasisofPresentation"/>
      <w:bookmarkEnd w:id="11"/>
      <w:r>
        <w:rPr>
          <w:rFonts w:ascii="Times New Roman" w:hAnsi="Times New Roman"/>
          <w:b/>
          <w:color w:val="000000"/>
          <w:sz w:val="24"/>
          <w:u w:val="single"/>
        </w:rPr>
        <w:t>Note 1 – Basis of Presentation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4"/>
        </w:rPr>
        <w:t xml:space="preserve">The accompanying unaudited consolidated condensed financial statements of Vishay Intertechnology, Inc. (“Vishay” or the “Company”) have been prepared in accordance with the instructions to Form 10-Q and therefore do not include all information and footnotes necessary for presentation of financial position, results of operations, and cash flows required by accounting principles generally accepted in the United States (“GAAP”) for complete financial statements. The information furnished reflects all normal recurring adjustments which are, in the opinion of management, necessary for a fair summary of the financial position, results of operations, and cash flows for the interim periods presented.  The financial statements should be read in conjunction with the consolidated financial statements filed with the Company’s Annual Report on Form 10-K for the year ended December 31, 2025.  The results of operations for the fiscal quarter and six fiscal months ended July 4, 2026 are not necessarily indicative of the results to be expected for the full year.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Company reports interim financial information for 13-week periods beginning on a Sunday and ending on a Saturday, except for the first fiscal quarter, which always begins on January 1, and the fourth fiscal quarter, which always ends on December 31.  The four fiscal quarters in 2026 end on April 4, 2026, July 4, 2026, October 3, 2026, and December 31, 2026, respectively.  The four fiscal quarters in 2025 ended on March 29, 2025, June 28, 2025, September 27, 2025, and December 31, 2025, respectively.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i/>
          <w:color w:val="000000"/>
          <w:sz w:val="24"/>
        </w:rPr>
        <w:t>Accounts Receivable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Company sells certain of its non-U.S. accounts receivable on a non-recourse basis to third-party financial institutions.  These transactions are recognized as sales of receivables because effective control over, and risk related to, the receivables is transferred to the buyers.  The Company had $140,873 and $62,175 outstanding on its revolving accounts receivable securitization program as of July 4, 2026 and December 31, 2025, respectively.  The cash proceeds are presented as cash provided by operating activities in the consolidated condensed statement of cash flows.  After the sale of the accounts receivable, the Company collects payment from the customers and remits it to the third-party financial institutions.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color w:val="000000"/>
          <w:sz w:val="24"/>
        </w:rPr>
        <w:t>Recently Adopted Accounting Guidance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In July 2025, the FASB issued ASU No. 2025-05, </w:t>
      </w:r>
      <w:r>
        <w:rPr>
          <w:rFonts w:ascii="Times New Roman" w:hAnsi="Times New Roman"/>
          <w:i/>
          <w:color w:val="000000"/>
          <w:sz w:val="24"/>
        </w:rPr>
        <w:t>Measurement of Credit Losses for Accounts Receivable and Contract Assets</w:t>
      </w:r>
      <w:r>
        <w:rPr>
          <w:rFonts w:ascii="Times New Roman" w:hAnsi="Times New Roman"/>
          <w:color w:val="000000"/>
          <w:sz w:val="24"/>
        </w:rPr>
        <w:t>.  The ASU allows entities to elect a practical expedient that assumes the current conditions as of the balance sheet date do not change the remaining life of the asset when developing reasonable and supportable forecasts as part of estimating expected credit losses.  The Company adopted the ASU effective January 1, 2026.  The Company elected the practical expedient made available by the ASU.  The adoption of the ASU did not impact the Company's financial position, results of operations, or cash flows.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In September 2025, the FASB issued ASU No. 2025-06, </w:t>
      </w:r>
      <w:r>
        <w:rPr>
          <w:rFonts w:ascii="Times New Roman" w:hAnsi="Times New Roman"/>
          <w:i/>
          <w:color w:val="000000"/>
          <w:sz w:val="24"/>
        </w:rPr>
        <w:t>Targeted Improvements to the Accounting for Internal-Use Software</w:t>
      </w:r>
      <w:r>
        <w:rPr>
          <w:rFonts w:ascii="Times New Roman" w:hAnsi="Times New Roman"/>
          <w:color w:val="000000"/>
          <w:sz w:val="24"/>
        </w:rPr>
        <w:t>.  The ASU requires entities to capitalize software costs when management has authorized and committed to funding the software project and it is probable that the project will be completed and the software will be used to perform the function intended.  The Company prospectively adopted the ASU effective January 1, 2026.  The adoption of the ASU did not impact the Company's financial position, results of operations, or cash flows.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color w:val="000000"/>
          <w:sz w:val="24"/>
        </w:rPr>
        <w:t>Reclassifications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Certain prior period amounts have been reclassified to conform to the current financial statement presentation.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2 – Restructuring and Related Activities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In September 2024, the Company announced the implementation of restructuring actions designed to optimize the Company’s manufacturing footprint and streamline business decision making.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240"/>
        <w:jc w:val="both"/>
        <w:rPr>
          <w:rFonts w:ascii="Times New Roman" w:hAnsi="Times New Roman"/>
          <w:sz w:val="24"/>
        </w:rPr>
      </w:pPr>
      <w:r>
        <w:rPr>
          <w:rFonts w:ascii="Times New Roman" w:hAnsi="Times New Roman"/>
          <w:color w:val="000000"/>
          <w:sz w:val="24"/>
        </w:rPr>
        <w:t>The following table summarizes activity to date related to this program:</w:t>
      </w:r>
      <w:r>
        <w:rPr>
          <w:rFonts w:ascii="Times New Roman" w:hAnsi="Times New Roman"/>
          <w:sz w:val="24"/>
        </w:rPr>
        <w:t xml:space="preserve"> </w:t>
      </w:r>
    </w:p>
    <w:tbl>
      <w:tblPr>
        <w:tblW w:w="4175" w:type="dxa"/>
        <w:jc w:val="left"/>
        <w:tblInd w:w="0" w:type="dxa"/>
        <w:tblLayout w:type="fixed"/>
        <w:tblCellMar>
          <w:top w:w="0" w:type="dxa"/>
          <w:left w:w="0" w:type="dxa"/>
          <w:bottom w:w="0" w:type="dxa"/>
          <w:right w:w="0" w:type="dxa"/>
        </w:tblCellMar>
      </w:tblPr>
      <w:tblGrid>
        <w:gridCol w:w="2990"/>
        <w:gridCol w:w="170"/>
        <w:gridCol w:w="785"/>
        <w:gridCol w:w="230"/>
      </w:tblGrid>
      <w:tr>
        <w:trPr/>
        <w:tc>
          <w:tcPr>
            <w:tcW w:w="29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990" w:type="dxa"/>
            <w:tcBorders/>
            <w:shd w:fill="CCEEFF" w:val="clear"/>
            <w:vAlign w:val="center"/>
          </w:tcPr>
          <w:p>
            <w:pPr>
              <w:pStyle w:val="TableContents"/>
              <w:bidi w:val="0"/>
              <w:spacing w:before="0" w:after="283"/>
              <w:jc w:val="left"/>
              <w:rPr/>
            </w:pPr>
            <w:r>
              <w:rPr/>
              <w:t>Expense recorded in 2024</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40,614</w:t>
            </w:r>
          </w:p>
        </w:tc>
        <w:tc>
          <w:tcPr>
            <w:tcW w:w="23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Utilized</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(8,734</w:t>
            </w:r>
          </w:p>
        </w:tc>
        <w:tc>
          <w:tcPr>
            <w:tcW w:w="23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Foreign currency translation</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pPr>
            <w:r>
              <w:rPr/>
              <w:t>(1,292</w:t>
            </w:r>
          </w:p>
        </w:tc>
        <w:tc>
          <w:tcPr>
            <w:tcW w:w="23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Balance at December 31, 2024</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30,588</w:t>
            </w:r>
          </w:p>
        </w:tc>
        <w:tc>
          <w:tcPr>
            <w:tcW w:w="23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Utilized</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(15,268</w:t>
            </w:r>
          </w:p>
        </w:tc>
        <w:tc>
          <w:tcPr>
            <w:tcW w:w="23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Foreign currency translation</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2,106</w:t>
            </w:r>
          </w:p>
        </w:tc>
        <w:tc>
          <w:tcPr>
            <w:tcW w:w="230"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Balance at December 31, 2025</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17,426</w:t>
            </w:r>
          </w:p>
        </w:tc>
        <w:tc>
          <w:tcPr>
            <w:tcW w:w="230"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pPr>
            <w:r>
              <w:rPr/>
              <w:t>Utilized</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(8,871</w:t>
            </w:r>
          </w:p>
        </w:tc>
        <w:tc>
          <w:tcPr>
            <w:tcW w:w="230" w:type="dxa"/>
            <w:tcBorders/>
            <w:vAlign w:val="center"/>
          </w:tcPr>
          <w:p>
            <w:pPr>
              <w:pStyle w:val="TableContents"/>
              <w:bidi w:val="0"/>
              <w:spacing w:before="0" w:after="283"/>
              <w:jc w:val="left"/>
              <w:rPr>
                <w:b/>
              </w:rPr>
            </w:pPr>
            <w:r>
              <w:rPr>
                <w:b/>
              </w:rPr>
              <w:t>) </w:t>
            </w:r>
          </w:p>
        </w:tc>
      </w:tr>
      <w:tr>
        <w:trPr/>
        <w:tc>
          <w:tcPr>
            <w:tcW w:w="2990" w:type="dxa"/>
            <w:tcBorders/>
            <w:shd w:fill="CCEEFF" w:val="clear"/>
            <w:vAlign w:val="center"/>
          </w:tcPr>
          <w:p>
            <w:pPr>
              <w:pStyle w:val="TableContents"/>
              <w:bidi w:val="0"/>
              <w:spacing w:before="0" w:after="283"/>
              <w:jc w:val="left"/>
              <w:rPr/>
            </w:pPr>
            <w:r>
              <w:rPr/>
              <w:t>Foreign currency translation</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(7</w:t>
            </w:r>
          </w:p>
        </w:tc>
        <w:tc>
          <w:tcPr>
            <w:tcW w:w="230" w:type="dxa"/>
            <w:tcBorders/>
            <w:shd w:fill="CCEEFF" w:val="clear"/>
            <w:vAlign w:val="center"/>
          </w:tcPr>
          <w:p>
            <w:pPr>
              <w:pStyle w:val="TableContents"/>
              <w:bidi w:val="0"/>
              <w:spacing w:before="0" w:after="283"/>
              <w:jc w:val="left"/>
              <w:rPr>
                <w:b/>
              </w:rPr>
            </w:pPr>
            <w:r>
              <w:rPr>
                <w:b/>
              </w:rPr>
              <w:t>) </w:t>
            </w:r>
          </w:p>
        </w:tc>
      </w:tr>
      <w:tr>
        <w:trPr/>
        <w:tc>
          <w:tcPr>
            <w:tcW w:w="2990" w:type="dxa"/>
            <w:tcBorders/>
            <w:vAlign w:val="center"/>
          </w:tcPr>
          <w:p>
            <w:pPr>
              <w:pStyle w:val="TableContents"/>
              <w:bidi w:val="0"/>
              <w:spacing w:before="0" w:after="283"/>
              <w:jc w:val="left"/>
              <w:rPr/>
            </w:pPr>
            <w:r>
              <w:rPr/>
              <w:t>Balance at July 4, 2026</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double" w:sz="6" w:space="0" w:color="000000"/>
            </w:tcBorders>
            <w:tcMar>
              <w:bottom w:w="28" w:type="dxa"/>
            </w:tcMar>
            <w:vAlign w:val="center"/>
          </w:tcPr>
          <w:p>
            <w:pPr>
              <w:pStyle w:val="TableContents"/>
              <w:bidi w:val="0"/>
              <w:spacing w:before="0" w:after="283"/>
              <w:jc w:val="right"/>
              <w:rPr>
                <w:b/>
              </w:rPr>
            </w:pPr>
            <w:r>
              <w:rPr>
                <w:b/>
              </w:rPr>
              <w:t>8,548</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Severance payment terms vary by country, but are generally paid in a lump sum at cessation of employment.  Some payments are made over an extended period.  Substantially all of the liability is current and is included in other accrued expenses in the accompanying consolidated condensed balance sheets.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12</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3 – Income Taxes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provision for income taxes consists of provisions for federal, state, and foreign income taxes.  The effective tax rates for the periods ended July 4, 2026 and June 28, 2025 reflect the Company’s expected tax rate on reported income before income tax and tax adjustments. The Company operates in a global environment with significant operations in various jurisdictions outside the United States. Accordingly, the consolidated income tax rate is a composite rate reflecting the Company’s earnings and the applicable tax rates in the various jurisdictions where the Company operates.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During the six fiscal months ended July 4, 2026, the liabilities for unrecognized tax benefits increased $261 on a net basis, primarily accruals for the current period, partially offset by settlements and expiration of statutes.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4 – Long-Term Debt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Long-term debt consists of the following:</w:t>
      </w:r>
      <w:r>
        <w:rPr>
          <w:rFonts w:ascii="Times New Roman" w:hAnsi="Times New Roman"/>
          <w:sz w:val="24"/>
        </w:rPr>
        <w:t xml:space="preserve"> </w:t>
      </w:r>
    </w:p>
    <w:p>
      <w:pPr>
        <w:pStyle w:val="TextBody"/>
        <w:bidi w:val="0"/>
        <w:spacing w:before="0" w:after="0"/>
        <w:jc w:val="both"/>
        <w:rPr/>
      </w:pPr>
      <w:r>
        <w:rPr/>
        <w:t xml:space="preserve">  </w:t>
      </w:r>
    </w:p>
    <w:tbl>
      <w:tblPr>
        <w:tblW w:w="7460" w:type="dxa"/>
        <w:jc w:val="left"/>
        <w:tblInd w:w="0" w:type="dxa"/>
        <w:tblLayout w:type="fixed"/>
        <w:tblCellMar>
          <w:top w:w="0" w:type="dxa"/>
          <w:left w:w="0" w:type="dxa"/>
          <w:bottom w:w="0" w:type="dxa"/>
          <w:right w:w="0" w:type="dxa"/>
        </w:tblCellMar>
      </w:tblPr>
      <w:tblGrid>
        <w:gridCol w:w="3365"/>
        <w:gridCol w:w="170"/>
        <w:gridCol w:w="1265"/>
        <w:gridCol w:w="185"/>
        <w:gridCol w:w="90"/>
        <w:gridCol w:w="170"/>
        <w:gridCol w:w="1985"/>
        <w:gridCol w:w="230"/>
      </w:tblGrid>
      <w:tr>
        <w:trPr/>
        <w:tc>
          <w:tcPr>
            <w:tcW w:w="33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6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Credit facility</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238,000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219,000</w:t>
            </w:r>
          </w:p>
        </w:tc>
        <w:tc>
          <w:tcPr>
            <w:tcW w:w="23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Convertible senior notes, due 2030</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750,000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750,000</w:t>
            </w:r>
          </w:p>
        </w:tc>
        <w:tc>
          <w:tcPr>
            <w:tcW w:w="23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Deferred financing costs</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(15,713</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(18,107</w:t>
            </w:r>
          </w:p>
        </w:tc>
        <w:tc>
          <w:tcPr>
            <w:tcW w:w="23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972,287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950,893</w:t>
            </w:r>
          </w:p>
        </w:tc>
        <w:tc>
          <w:tcPr>
            <w:tcW w:w="230"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pPr>
            <w:r>
              <w:rPr/>
              <w:t>Less current portion</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(737,744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3365"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tcMar>
              <w:bottom w:w="28" w:type="dxa"/>
            </w:tcMar>
            <w:vAlign w:val="center"/>
          </w:tcPr>
          <w:p>
            <w:pPr>
              <w:pStyle w:val="TableContents"/>
              <w:bidi w:val="0"/>
              <w:spacing w:before="0" w:after="283"/>
              <w:jc w:val="right"/>
              <w:rPr>
                <w:b/>
              </w:rPr>
            </w:pPr>
            <w:r>
              <w:rPr>
                <w:b/>
              </w:rPr>
              <w:t>234,543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950,893</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The following table summarizes some key facts and terms regarding the outstanding convertible senior notes as of July 4, 2026:</w:t>
      </w:r>
      <w:r>
        <w:rPr>
          <w:rFonts w:ascii="Times New Roman" w:hAnsi="Times New Roman"/>
          <w:sz w:val="24"/>
        </w:rPr>
        <w:t xml:space="preserve"> </w:t>
      </w:r>
    </w:p>
    <w:p>
      <w:pPr>
        <w:pStyle w:val="TextBody"/>
        <w:bidi w:val="0"/>
        <w:spacing w:before="0" w:after="0"/>
        <w:jc w:val="both"/>
        <w:rPr/>
      </w:pPr>
      <w:r>
        <w:rPr/>
        <w:t xml:space="preserve">  </w:t>
      </w:r>
    </w:p>
    <w:tbl>
      <w:tblPr>
        <w:tblW w:w="7910" w:type="dxa"/>
        <w:jc w:val="left"/>
        <w:tblInd w:w="0" w:type="dxa"/>
        <w:tblLayout w:type="fixed"/>
        <w:tblCellMar>
          <w:top w:w="0" w:type="dxa"/>
          <w:left w:w="0" w:type="dxa"/>
          <w:bottom w:w="0" w:type="dxa"/>
          <w:right w:w="0" w:type="dxa"/>
        </w:tblCellMar>
      </w:tblPr>
      <w:tblGrid>
        <w:gridCol w:w="5495"/>
        <w:gridCol w:w="170"/>
        <w:gridCol w:w="1955"/>
        <w:gridCol w:w="290"/>
      </w:tblGrid>
      <w:tr>
        <w:trPr/>
        <w:tc>
          <w:tcPr>
            <w:tcW w:w="54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49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55" w:type="dxa"/>
            <w:tcBorders>
              <w:bottom w:val="single" w:sz="6" w:space="0" w:color="000000"/>
            </w:tcBorders>
            <w:tcMar>
              <w:bottom w:w="28" w:type="dxa"/>
            </w:tcMar>
            <w:vAlign w:val="center"/>
          </w:tcPr>
          <w:p>
            <w:pPr>
              <w:pStyle w:val="TableContents"/>
              <w:bidi w:val="0"/>
              <w:spacing w:before="0" w:after="283"/>
              <w:jc w:val="center"/>
              <w:rPr>
                <w:b/>
              </w:rPr>
            </w:pPr>
            <w:r>
              <w:rPr>
                <w:b/>
              </w:rPr>
              <w:t>2030 Notes</w:t>
            </w:r>
          </w:p>
        </w:tc>
        <w:tc>
          <w:tcPr>
            <w:tcW w:w="29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Issuance date</w:t>
            </w:r>
          </w:p>
        </w:tc>
        <w:tc>
          <w:tcPr>
            <w:tcW w:w="17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right"/>
              <w:rPr/>
            </w:pPr>
            <w:r>
              <w:rPr/>
              <w:t>September 12, 2023</w:t>
            </w:r>
          </w:p>
        </w:tc>
        <w:tc>
          <w:tcPr>
            <w:tcW w:w="29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Maturity date</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September 15, 2030</w:t>
            </w:r>
          </w:p>
        </w:tc>
        <w:tc>
          <w:tcPr>
            <w:tcW w:w="29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Principal amount as of July 4, 2026</w:t>
            </w:r>
          </w:p>
        </w:tc>
        <w:tc>
          <w:tcPr>
            <w:tcW w:w="170" w:type="dxa"/>
            <w:tcBorders/>
            <w:shd w:fill="CCEEFF" w:val="clear"/>
            <w:vAlign w:val="center"/>
          </w:tcPr>
          <w:p>
            <w:pPr>
              <w:pStyle w:val="TableContents"/>
              <w:bidi w:val="0"/>
              <w:spacing w:before="0" w:after="283"/>
              <w:jc w:val="left"/>
              <w:rPr/>
            </w:pPr>
            <w:r>
              <w:rPr/>
              <w:t>$</w:t>
            </w:r>
          </w:p>
        </w:tc>
        <w:tc>
          <w:tcPr>
            <w:tcW w:w="1955" w:type="dxa"/>
            <w:tcBorders/>
            <w:shd w:fill="CCEEFF" w:val="clear"/>
            <w:vAlign w:val="center"/>
          </w:tcPr>
          <w:p>
            <w:pPr>
              <w:pStyle w:val="TableContents"/>
              <w:bidi w:val="0"/>
              <w:spacing w:before="0" w:after="283"/>
              <w:jc w:val="right"/>
              <w:rPr/>
            </w:pPr>
            <w:r>
              <w:rPr/>
              <w:t>750,000</w:t>
            </w:r>
          </w:p>
        </w:tc>
        <w:tc>
          <w:tcPr>
            <w:tcW w:w="29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Cash coupon rate (per annum)</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2.25</w:t>
            </w:r>
          </w:p>
        </w:tc>
        <w:tc>
          <w:tcPr>
            <w:tcW w:w="290" w:type="dxa"/>
            <w:tcBorders/>
            <w:vAlign w:val="center"/>
          </w:tcPr>
          <w:p>
            <w:pPr>
              <w:pStyle w:val="TableContents"/>
              <w:bidi w:val="0"/>
              <w:spacing w:before="0" w:after="283"/>
              <w:jc w:val="left"/>
              <w:rPr/>
            </w:pPr>
            <w:r>
              <w:rPr/>
              <w:t>%</w:t>
            </w:r>
          </w:p>
        </w:tc>
      </w:tr>
      <w:tr>
        <w:trPr/>
        <w:tc>
          <w:tcPr>
            <w:tcW w:w="5495" w:type="dxa"/>
            <w:tcBorders/>
            <w:shd w:fill="CCEEFF" w:val="clear"/>
            <w:vAlign w:val="center"/>
          </w:tcPr>
          <w:p>
            <w:pPr>
              <w:pStyle w:val="TableContents"/>
              <w:bidi w:val="0"/>
              <w:spacing w:before="0" w:after="283"/>
              <w:jc w:val="left"/>
              <w:rPr/>
            </w:pPr>
            <w:r>
              <w:rPr/>
              <w:t>Conversion rate (per $1 principal amount)</w:t>
            </w:r>
          </w:p>
        </w:tc>
        <w:tc>
          <w:tcPr>
            <w:tcW w:w="170" w:type="dxa"/>
            <w:tcBorders/>
            <w:shd w:fill="CCEEFF" w:val="clear"/>
            <w:vAlign w:val="center"/>
          </w:tcPr>
          <w:p>
            <w:pPr>
              <w:pStyle w:val="TableContents"/>
              <w:bidi w:val="0"/>
              <w:spacing w:before="0" w:after="283"/>
              <w:jc w:val="left"/>
              <w:rPr/>
            </w:pPr>
            <w:r>
              <w:rPr/>
              <w:t> </w:t>
            </w:r>
          </w:p>
        </w:tc>
        <w:tc>
          <w:tcPr>
            <w:tcW w:w="1955" w:type="dxa"/>
            <w:tcBorders/>
            <w:shd w:fill="CCEEFF" w:val="clear"/>
            <w:vAlign w:val="center"/>
          </w:tcPr>
          <w:p>
            <w:pPr>
              <w:pStyle w:val="TableContents"/>
              <w:bidi w:val="0"/>
              <w:spacing w:before="0" w:after="283"/>
              <w:jc w:val="right"/>
              <w:rPr/>
            </w:pPr>
            <w:r>
              <w:rPr/>
              <w:t>33.1609</w:t>
            </w:r>
          </w:p>
        </w:tc>
        <w:tc>
          <w:tcPr>
            <w:tcW w:w="290" w:type="dxa"/>
            <w:tcBorders/>
            <w:shd w:fill="CCEEFF" w:val="clear"/>
            <w:vAlign w:val="center"/>
          </w:tcPr>
          <w:p>
            <w:pPr>
              <w:pStyle w:val="TableContents"/>
              <w:bidi w:val="0"/>
              <w:spacing w:before="0" w:after="283"/>
              <w:jc w:val="left"/>
              <w:rPr/>
            </w:pPr>
            <w:r>
              <w:rPr/>
              <w:t> </w:t>
            </w:r>
          </w:p>
        </w:tc>
      </w:tr>
      <w:tr>
        <w:trPr/>
        <w:tc>
          <w:tcPr>
            <w:tcW w:w="5495" w:type="dxa"/>
            <w:tcBorders/>
            <w:vAlign w:val="center"/>
          </w:tcPr>
          <w:p>
            <w:pPr>
              <w:pStyle w:val="TableContents"/>
              <w:bidi w:val="0"/>
              <w:spacing w:before="0" w:after="283"/>
              <w:jc w:val="left"/>
              <w:rPr/>
            </w:pPr>
            <w:r>
              <w:rPr/>
              <w:t>Effective conversion price (per share)</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right"/>
              <w:rPr/>
            </w:pPr>
            <w:r>
              <w:rPr/>
              <w:t>30.16</w:t>
            </w:r>
          </w:p>
        </w:tc>
        <w:tc>
          <w:tcPr>
            <w:tcW w:w="290" w:type="dxa"/>
            <w:tcBorders/>
            <w:vAlign w:val="center"/>
          </w:tcPr>
          <w:p>
            <w:pPr>
              <w:pStyle w:val="TableContents"/>
              <w:bidi w:val="0"/>
              <w:spacing w:before="0" w:after="283"/>
              <w:jc w:val="left"/>
              <w:rPr/>
            </w:pPr>
            <w:r>
              <w:rPr/>
              <w:t> </w:t>
            </w:r>
          </w:p>
        </w:tc>
      </w:tr>
      <w:tr>
        <w:trPr/>
        <w:tc>
          <w:tcPr>
            <w:tcW w:w="5495" w:type="dxa"/>
            <w:tcBorders/>
            <w:shd w:fill="CCEEFF" w:val="clear"/>
            <w:vAlign w:val="center"/>
          </w:tcPr>
          <w:p>
            <w:pPr>
              <w:pStyle w:val="TableContents"/>
              <w:bidi w:val="0"/>
              <w:spacing w:before="0" w:after="283"/>
              <w:jc w:val="left"/>
              <w:rPr/>
            </w:pPr>
            <w:r>
              <w:rPr/>
              <w:t>130% of the current effective conversion price (per share)</w:t>
            </w:r>
          </w:p>
        </w:tc>
        <w:tc>
          <w:tcPr>
            <w:tcW w:w="170" w:type="dxa"/>
            <w:tcBorders/>
            <w:shd w:fill="CCEEFF" w:val="clear"/>
            <w:vAlign w:val="center"/>
          </w:tcPr>
          <w:p>
            <w:pPr>
              <w:pStyle w:val="TableContents"/>
              <w:bidi w:val="0"/>
              <w:spacing w:before="0" w:after="283"/>
              <w:jc w:val="left"/>
              <w:rPr/>
            </w:pPr>
            <w:r>
              <w:rPr/>
              <w:t>$</w:t>
            </w:r>
          </w:p>
        </w:tc>
        <w:tc>
          <w:tcPr>
            <w:tcW w:w="1955" w:type="dxa"/>
            <w:tcBorders/>
            <w:shd w:fill="CCEEFF" w:val="clear"/>
            <w:vAlign w:val="center"/>
          </w:tcPr>
          <w:p>
            <w:pPr>
              <w:pStyle w:val="TableContents"/>
              <w:bidi w:val="0"/>
              <w:spacing w:before="0" w:after="283"/>
              <w:jc w:val="right"/>
              <w:rPr/>
            </w:pPr>
            <w:r>
              <w:rPr/>
              <w:t>39.21</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jc w:val="both"/>
        <w:rPr>
          <w:rFonts w:ascii="Times New Roman" w:hAnsi="Times New Roman"/>
          <w:spacing w:val="0"/>
          <w:sz w:val="24"/>
        </w:rPr>
      </w:pPr>
      <w:r>
        <w:rPr>
          <w:rFonts w:ascii="Times New Roman" w:hAnsi="Times New Roman"/>
          <w:spacing w:val="0"/>
          <w:sz w:val="24"/>
        </w:rPr>
        <w:t>Holders of the convertible senior notes due 2030 (the "2030 Notes") may convert all or a portion of their 2030 Notes at their option prior to March 15, 2030, only under the following circumstances:</w:t>
      </w:r>
    </w:p>
    <w:p>
      <w:pPr>
        <w:pStyle w:val="TextBody"/>
        <w:numPr>
          <w:ilvl w:val="0"/>
          <w:numId w:val="2"/>
        </w:numPr>
        <w:tabs>
          <w:tab w:val="clear" w:pos="1134"/>
          <w:tab w:val="left" w:pos="0" w:leader="none"/>
        </w:tabs>
        <w:bidi w:val="0"/>
        <w:spacing w:lineRule="auto" w:line="276" w:before="0" w:after="0"/>
        <w:ind w:left="0" w:hanging="283"/>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The last reported sale price of the common stock for at least the 20 trading days (whether or not consecutive) during a period of 30 consecutive trading days ending on, and including, the last trading day of the immediately preceding fiscal quarter is greater than or equal to 130% of the conversion price on each applicable trading day;</w:t>
      </w:r>
    </w:p>
    <w:p>
      <w:pPr>
        <w:pStyle w:val="TextBody"/>
        <w:numPr>
          <w:ilvl w:val="0"/>
          <w:numId w:val="2"/>
        </w:numPr>
        <w:tabs>
          <w:tab w:val="clear" w:pos="1134"/>
          <w:tab w:val="left" w:pos="0" w:leader="none"/>
        </w:tabs>
        <w:bidi w:val="0"/>
        <w:spacing w:before="0" w:after="0"/>
        <w:ind w:left="0" w:hanging="283"/>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During the five business day period after any five consecutive trading day period (the "Measurement Period") in which the trading price of the 2030 Notes for each trading day of the Measurement Period was less than 98% of the product of the last reported sale price of the common stock and the conversion rate in effect on each such trading day;</w:t>
      </w:r>
    </w:p>
    <w:p>
      <w:pPr>
        <w:pStyle w:val="TextBody"/>
        <w:numPr>
          <w:ilvl w:val="0"/>
          <w:numId w:val="2"/>
        </w:numPr>
        <w:tabs>
          <w:tab w:val="clear" w:pos="1134"/>
          <w:tab w:val="left" w:pos="0" w:leader="none"/>
        </w:tabs>
        <w:bidi w:val="0"/>
        <w:spacing w:before="0" w:after="0"/>
        <w:ind w:left="0" w:hanging="283"/>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If the Company calls any or all of the 2030 Notes for redemption, at any time prior to the close of business on the scheduled trading day prior to the redemption date; or</w:t>
      </w:r>
    </w:p>
    <w:p>
      <w:pPr>
        <w:pStyle w:val="TextBody"/>
        <w:numPr>
          <w:ilvl w:val="0"/>
          <w:numId w:val="2"/>
        </w:numPr>
        <w:tabs>
          <w:tab w:val="clear" w:pos="1134"/>
          <w:tab w:val="left" w:pos="0" w:leader="none"/>
        </w:tabs>
        <w:bidi w:val="0"/>
        <w:ind w:left="0" w:hanging="283"/>
        <w:jc w:val="both"/>
        <w:rPr>
          <w:rFonts w:ascii="Times New Roman" w:hAnsi="Times New Roman"/>
          <w:sz w:val="24"/>
        </w:rPr>
      </w:pPr>
      <w:r>
        <w:rPr>
          <w:rFonts w:ascii="Times New Roman" w:hAnsi="Times New Roman"/>
          <w:sz w:val="24"/>
        </w:rPr>
        <w:t>Upon the occurrence of specified corporate events.</w:t>
      </w:r>
    </w:p>
    <w:p>
      <w:pPr>
        <w:pStyle w:val="TextBody"/>
        <w:bidi w:val="0"/>
        <w:spacing w:lineRule="auto" w:line="276" w:before="0" w:after="0"/>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Pursuant to the indenture governing the 2030 Notes, Vishay will satisfy its conversion obligations by paying $1 cash per $1 principal amount of converted notes and settle any additional amounts due in cash and/or common stock, at the Company's election.</w:t>
      </w:r>
    </w:p>
    <w:p>
      <w:pPr>
        <w:pStyle w:val="TextBody"/>
        <w:bidi w:val="0"/>
        <w:spacing w:before="0" w:after="0"/>
        <w:jc w:val="both"/>
        <w:rPr/>
      </w:pPr>
      <w:r>
        <w:rPr/>
        <w:t> </w:t>
      </w:r>
    </w:p>
    <w:p>
      <w:pPr>
        <w:pStyle w:val="TextBody"/>
        <w:bidi w:val="0"/>
        <w:spacing w:lineRule="auto" w:line="276" w:before="0" w:after="0"/>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As of July 4, 2026, the first condition above had been met and, therefore, the 2030 Notes became eligible for conversion at the option of the holders beginning on July 6, 2026 and ending at the close of business on October 3, 2026.  Vishay has the ability to finance a certain amount of any converted 2030 Notes with borrowings from its long-term revolving credit facility.  The principal amount of 2030 Notes and associated deferred financing costs are classified as current liabilities on the July 4, 2026 consolidated condensed balance sheet.</w:t>
      </w:r>
    </w:p>
    <w:p>
      <w:pPr>
        <w:pStyle w:val="TextBody"/>
        <w:bidi w:val="0"/>
        <w:spacing w:before="0" w:after="0"/>
        <w:jc w:val="both"/>
        <w:rPr/>
      </w:pPr>
      <w:r>
        <w:rPr/>
        <w:t> </w:t>
      </w:r>
    </w:p>
    <w:p>
      <w:pPr>
        <w:pStyle w:val="TextBody"/>
        <w:bidi w:val="0"/>
        <w:spacing w:lineRule="auto" w:line="276" w:before="0" w:after="0"/>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Any determination regarding the convertibility of the 2030 Notes during future periods will be made in accordance with the terms of the indenture governing the 2030 Notes.</w:t>
      </w:r>
    </w:p>
    <w:p>
      <w:pPr>
        <w:pStyle w:val="TextBody"/>
        <w:bidi w:val="0"/>
        <w:spacing w:before="0" w:after="0"/>
        <w:jc w:val="both"/>
        <w:rPr/>
      </w:pPr>
      <w:r>
        <w:rPr/>
        <w:t> </w:t>
      </w:r>
    </w:p>
    <w:p>
      <w:pPr>
        <w:pStyle w:val="TextBody"/>
        <w:bidi w:val="0"/>
        <w:spacing w:before="0" w:after="0"/>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In the third fiscal quarter of 2026, the Company used a portion of the net proceeds from the public offering of its common stock, completed on July 1, 2026, to fully repay the outstanding balance on its revolving credit facility.</w:t>
      </w:r>
    </w:p>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Deferred financing costs are recognized as non-cash interest expense.  Non-cash interest expense was $1,195 and $2,390 for the fiscal quarter and six fiscal months ended July 4, 2026, respectively, and $1,195 and $2,418 for the fiscal quarter and six fiscal months ended June 28, 2025.</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13</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5 – Stockholders' Equity</w:t>
      </w:r>
      <w:r>
        <w:rPr>
          <w:rFonts w:ascii="Times New Roman" w:hAnsi="Times New Roman"/>
          <w:color w:val="000000"/>
          <w:sz w:val="24"/>
        </w:rPr>
        <w:t> </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On July 1, 2026, the Company completed an underwritten public offering of 17.25 million shares of its common stock at a price to the public of $50.00 per share for proceeds of $830,250, net of underwriting discounts and issuance costs.</w:t>
      </w:r>
    </w:p>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following table summarizes activity pursuant to the Company's Stockholder Return Policy:</w:t>
      </w:r>
    </w:p>
    <w:p>
      <w:pPr>
        <w:pStyle w:val="TextBody"/>
        <w:bidi w:val="0"/>
        <w:spacing w:before="0" w:after="0"/>
        <w:jc w:val="both"/>
        <w:rPr/>
      </w:pPr>
      <w:r>
        <w:rPr/>
        <w:t> </w:t>
      </w:r>
    </w:p>
    <w:p>
      <w:pPr>
        <w:pStyle w:val="TextBody"/>
        <w:bidi w:val="0"/>
        <w:spacing w:before="0" w:after="0"/>
        <w:jc w:val="both"/>
        <w:rPr/>
      </w:pPr>
      <w:r>
        <w:rPr/>
        <w:t> </w:t>
      </w:r>
    </w:p>
    <w:tbl>
      <w:tblPr>
        <w:tblW w:w="9765" w:type="dxa"/>
        <w:jc w:val="left"/>
        <w:tblInd w:w="0" w:type="dxa"/>
        <w:tblLayout w:type="fixed"/>
        <w:tblCellMar>
          <w:top w:w="0" w:type="dxa"/>
          <w:left w:w="0" w:type="dxa"/>
          <w:bottom w:w="0" w:type="dxa"/>
          <w:right w:w="0" w:type="dxa"/>
        </w:tblCellMar>
      </w:tblPr>
      <w:tblGrid>
        <w:gridCol w:w="2990"/>
        <w:gridCol w:w="170"/>
        <w:gridCol w:w="1265"/>
        <w:gridCol w:w="90"/>
        <w:gridCol w:w="90"/>
        <w:gridCol w:w="170"/>
        <w:gridCol w:w="1445"/>
        <w:gridCol w:w="90"/>
        <w:gridCol w:w="90"/>
        <w:gridCol w:w="170"/>
        <w:gridCol w:w="1265"/>
        <w:gridCol w:w="90"/>
        <w:gridCol w:w="90"/>
        <w:gridCol w:w="170"/>
        <w:gridCol w:w="1445"/>
        <w:gridCol w:w="135"/>
      </w:tblGrid>
      <w:tr>
        <w:trPr/>
        <w:tc>
          <w:tcPr>
            <w:tcW w:w="2990" w:type="dxa"/>
            <w:tcBorders/>
            <w:vAlign w:val="center"/>
          </w:tcPr>
          <w:p>
            <w:pPr>
              <w:pStyle w:val="TableContents"/>
              <w:bidi w:val="0"/>
              <w:spacing w:before="0" w:after="283"/>
              <w:jc w:val="left"/>
              <w:rPr/>
            </w:pPr>
            <w:r>
              <w:rPr/>
              <w:t> </w:t>
            </w:r>
          </w:p>
        </w:tc>
        <w:tc>
          <w:tcPr>
            <w:tcW w:w="3320"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365" w:type="dxa"/>
            <w:gridSpan w:val="7"/>
            <w:tcBorders/>
            <w:vAlign w:val="center"/>
          </w:tcPr>
          <w:p>
            <w:pPr>
              <w:pStyle w:val="TableContents"/>
              <w:bidi w:val="0"/>
              <w:spacing w:before="0" w:after="283"/>
              <w:jc w:val="center"/>
              <w:rPr>
                <w:b/>
              </w:rPr>
            </w:pPr>
            <w:r>
              <w:rPr>
                <w:b/>
              </w:rPr>
              <w:t>Six fiscal months ended</w:t>
            </w:r>
          </w:p>
        </w:tc>
      </w:tr>
      <w:tr>
        <w:trPr/>
        <w:tc>
          <w:tcPr>
            <w:tcW w:w="29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Dividends paid to stockholders</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13,613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13,557</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27,224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27,119</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2990" w:type="dxa"/>
            <w:tcBorders/>
            <w:vAlign w:val="center"/>
          </w:tcPr>
          <w:p>
            <w:pPr>
              <w:pStyle w:val="TableContents"/>
              <w:bidi w:val="0"/>
              <w:spacing w:before="0" w:after="283"/>
              <w:jc w:val="left"/>
              <w:rPr/>
            </w:pPr>
            <w:r>
              <w:rPr/>
              <w:t>Stock repurchases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right"/>
              <w:rPr/>
            </w:pPr>
            <w:r>
              <w:rPr/>
              <w:t>12,538</w:t>
            </w:r>
          </w:p>
        </w:tc>
        <w:tc>
          <w:tcPr>
            <w:tcW w:w="135" w:type="dxa"/>
            <w:tcBorders/>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pPr>
            <w:r>
              <w:rPr/>
              <w:t>Total</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13,613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13,557</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27,224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39,657</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There were no shares of common stock held as treasury stock as of July 4, 2026 and December 31, 2025.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6 – Revenue Recognition</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In the second fiscal quarter of 2026, the Company received tariff refunds from the U.S. government, of which $30,008 will be passed through to customers.  The tariff refunds received are recognized as a reduction of costs of products sold and tariff refunds to be passed through to customers are recorded as a reduction of net revenues within the Consolidated Condensed Statements of Operations for the fiscal quarter and six fiscal months ended July 4, 2026.  The tariff refunds received and tariff refunds to be passed through to customers have not been allocated to reportable business segments, customer types, regions, or end markets.</w:t>
      </w:r>
    </w:p>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Sales returns and allowances accrual activity is shown below:</w:t>
      </w:r>
    </w:p>
    <w:p>
      <w:pPr>
        <w:pStyle w:val="TextBody"/>
        <w:bidi w:val="0"/>
        <w:spacing w:before="0" w:after="0"/>
        <w:jc w:val="both"/>
        <w:rPr/>
      </w:pPr>
      <w:r>
        <w:rPr/>
        <w:t> </w:t>
      </w:r>
    </w:p>
    <w:p>
      <w:pPr>
        <w:pStyle w:val="TextBody"/>
        <w:bidi w:val="0"/>
        <w:spacing w:before="0" w:after="0"/>
        <w:jc w:val="both"/>
        <w:rPr/>
      </w:pPr>
      <w:r>
        <w:rPr/>
        <w:t> </w:t>
      </w:r>
    </w:p>
    <w:tbl>
      <w:tblPr>
        <w:tblW w:w="8990" w:type="dxa"/>
        <w:jc w:val="left"/>
        <w:tblInd w:w="0" w:type="dxa"/>
        <w:tblLayout w:type="fixed"/>
        <w:tblCellMar>
          <w:top w:w="0" w:type="dxa"/>
          <w:left w:w="0" w:type="dxa"/>
          <w:bottom w:w="0" w:type="dxa"/>
          <w:right w:w="0" w:type="dxa"/>
        </w:tblCellMar>
      </w:tblPr>
      <w:tblGrid>
        <w:gridCol w:w="1835"/>
        <w:gridCol w:w="170"/>
        <w:gridCol w:w="1265"/>
        <w:gridCol w:w="185"/>
        <w:gridCol w:w="90"/>
        <w:gridCol w:w="170"/>
        <w:gridCol w:w="1445"/>
        <w:gridCol w:w="185"/>
        <w:gridCol w:w="90"/>
        <w:gridCol w:w="170"/>
        <w:gridCol w:w="1265"/>
        <w:gridCol w:w="185"/>
        <w:gridCol w:w="90"/>
        <w:gridCol w:w="170"/>
        <w:gridCol w:w="1445"/>
        <w:gridCol w:w="230"/>
      </w:tblGrid>
      <w:tr>
        <w:trPr/>
        <w:tc>
          <w:tcPr>
            <w:tcW w:w="1835" w:type="dxa"/>
            <w:tcBorders/>
            <w:vAlign w:val="center"/>
          </w:tcPr>
          <w:p>
            <w:pPr>
              <w:pStyle w:val="TableContents"/>
              <w:bidi w:val="0"/>
              <w:spacing w:before="0" w:after="283"/>
              <w:jc w:val="left"/>
              <w:rPr/>
            </w:pPr>
            <w:r>
              <w:rPr/>
              <w:t> </w:t>
            </w:r>
          </w:p>
        </w:tc>
        <w:tc>
          <w:tcPr>
            <w:tcW w:w="3510"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555" w:type="dxa"/>
            <w:gridSpan w:val="7"/>
            <w:tcBorders/>
            <w:vAlign w:val="center"/>
          </w:tcPr>
          <w:p>
            <w:pPr>
              <w:pStyle w:val="TableContents"/>
              <w:bidi w:val="0"/>
              <w:spacing w:before="0" w:after="283"/>
              <w:jc w:val="center"/>
              <w:rPr>
                <w:b/>
              </w:rPr>
            </w:pPr>
            <w:r>
              <w:rPr>
                <w:b/>
              </w:rPr>
              <w:t>Six fiscal months ended</w:t>
            </w:r>
          </w:p>
        </w:tc>
      </w:tr>
      <w:tr>
        <w:trPr/>
        <w:tc>
          <w:tcPr>
            <w:tcW w:w="183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3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Beginning balance</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32,738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38,438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41,249</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43,445</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left"/>
              <w:rPr/>
            </w:pPr>
            <w:r>
              <w:rPr/>
              <w:t>Sales allowances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23,190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27,890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45,387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48,076</w:t>
            </w:r>
          </w:p>
        </w:tc>
        <w:tc>
          <w:tcPr>
            <w:tcW w:w="23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Credits issued</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(18,678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(23,110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(49,252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(48,699</w:t>
            </w:r>
          </w:p>
        </w:tc>
        <w:tc>
          <w:tcPr>
            <w:tcW w:w="230" w:type="dxa"/>
            <w:tcBorders/>
            <w:shd w:fill="CCEEFF" w:val="clear"/>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Foreign currency</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(104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776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(238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1,172</w:t>
            </w:r>
          </w:p>
        </w:tc>
        <w:tc>
          <w:tcPr>
            <w:tcW w:w="230" w:type="dxa"/>
            <w:tcBorders/>
            <w:vAlign w:val="center"/>
          </w:tcPr>
          <w:p>
            <w:pPr>
              <w:pStyle w:val="TableContents"/>
              <w:bidi w:val="0"/>
              <w:spacing w:before="0" w:after="283"/>
              <w:jc w:val="left"/>
              <w:rPr/>
            </w:pPr>
            <w:r>
              <w:rPr/>
              <w:t> </w:t>
            </w:r>
          </w:p>
        </w:tc>
      </w:tr>
      <w:tr>
        <w:trPr/>
        <w:tc>
          <w:tcPr>
            <w:tcW w:w="1835" w:type="dxa"/>
            <w:tcBorders/>
            <w:shd w:fill="CCEEFF" w:val="clear"/>
            <w:vAlign w:val="center"/>
          </w:tcPr>
          <w:p>
            <w:pPr>
              <w:pStyle w:val="TableContents"/>
              <w:bidi w:val="0"/>
              <w:spacing w:before="0" w:after="283"/>
              <w:jc w:val="left"/>
              <w:rPr/>
            </w:pPr>
            <w:r>
              <w:rPr/>
              <w:t>Ending balance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37,146</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43,994</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37,146</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43,994</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See disaggregated revenue information in Note 10.</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7 – Accumulated Other Comprehensive Income (Loss)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cumulative balance of each component of other comprehensive income (loss) and the income tax effects allocated to each component are as follows: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5678"/>
        <w:gridCol w:w="170"/>
        <w:gridCol w:w="1261"/>
        <w:gridCol w:w="185"/>
        <w:gridCol w:w="90"/>
        <w:gridCol w:w="170"/>
        <w:gridCol w:w="1190"/>
        <w:gridCol w:w="185"/>
        <w:gridCol w:w="90"/>
        <w:gridCol w:w="170"/>
        <w:gridCol w:w="785"/>
        <w:gridCol w:w="231"/>
      </w:tblGrid>
      <w:tr>
        <w:trPr/>
        <w:tc>
          <w:tcPr>
            <w:tcW w:w="567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567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b/>
              </w:rPr>
            </w:pPr>
            <w:r>
              <w:rPr>
                <w:b/>
              </w:rPr>
              <w:t>Pension and</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67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b/>
              </w:rPr>
            </w:pPr>
            <w:r>
              <w:rPr>
                <w:b/>
              </w:rPr>
              <w:t>other post-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67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b/>
              </w:rPr>
            </w:pPr>
            <w:r>
              <w:rPr>
                <w:b/>
              </w:rPr>
              <w:t>retirement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Currency</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678"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center"/>
              <w:rPr>
                <w:b/>
              </w:rPr>
            </w:pPr>
            <w:r>
              <w:rPr>
                <w:b/>
              </w:rPr>
              <w:t>actuarial</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center"/>
              <w:rPr>
                <w:b/>
              </w:rPr>
            </w:pPr>
            <w:r>
              <w:rPr>
                <w:b/>
              </w:rPr>
              <w:t>translation</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5678"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61" w:type="dxa"/>
            <w:tcBorders>
              <w:bottom w:val="single" w:sz="6" w:space="0" w:color="000000"/>
            </w:tcBorders>
            <w:tcMar>
              <w:bottom w:w="28" w:type="dxa"/>
            </w:tcMar>
            <w:vAlign w:val="center"/>
          </w:tcPr>
          <w:p>
            <w:pPr>
              <w:pStyle w:val="TableContents"/>
              <w:bidi w:val="0"/>
              <w:spacing w:before="0" w:after="283"/>
              <w:jc w:val="center"/>
              <w:rPr>
                <w:b/>
              </w:rPr>
            </w:pPr>
            <w:r>
              <w:rPr>
                <w:b/>
              </w:rPr>
              <w:t>items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90" w:type="dxa"/>
            <w:tcBorders>
              <w:bottom w:val="single" w:sz="6" w:space="0" w:color="000000"/>
            </w:tcBorders>
            <w:tcMar>
              <w:bottom w:w="28" w:type="dxa"/>
            </w:tcMar>
            <w:vAlign w:val="center"/>
          </w:tcPr>
          <w:p>
            <w:pPr>
              <w:pStyle w:val="TableContents"/>
              <w:bidi w:val="0"/>
              <w:spacing w:before="0" w:after="283"/>
              <w:jc w:val="center"/>
              <w:rPr>
                <w:b/>
              </w:rPr>
            </w:pPr>
            <w:r>
              <w:rPr>
                <w:b/>
              </w:rPr>
              <w:t>adjustment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tcMar>
              <w:bottom w:w="28" w:type="dxa"/>
            </w:tcMar>
            <w:vAlign w:val="center"/>
          </w:tcPr>
          <w:p>
            <w:pPr>
              <w:pStyle w:val="TableContents"/>
              <w:bidi w:val="0"/>
              <w:spacing w:before="0" w:after="283"/>
              <w:jc w:val="center"/>
              <w:rPr>
                <w:b/>
              </w:rPr>
            </w:pPr>
            <w:r>
              <w:rPr>
                <w:b/>
              </w:rPr>
              <w:t>Total</w:t>
            </w:r>
          </w:p>
        </w:tc>
        <w:tc>
          <w:tcPr>
            <w:tcW w:w="231" w:type="dxa"/>
            <w:tcBorders/>
            <w:vAlign w:val="center"/>
          </w:tcPr>
          <w:p>
            <w:pPr>
              <w:pStyle w:val="TableContents"/>
              <w:bidi w:val="0"/>
              <w:spacing w:before="0" w:after="283"/>
              <w:jc w:val="left"/>
              <w:rPr/>
            </w:pPr>
            <w:r>
              <w:rPr/>
              <w:t> </w:t>
            </w:r>
          </w:p>
        </w:tc>
      </w:tr>
      <w:tr>
        <w:trPr/>
        <w:tc>
          <w:tcPr>
            <w:tcW w:w="5678" w:type="dxa"/>
            <w:tcBorders/>
            <w:shd w:fill="CCEEFF" w:val="clear"/>
            <w:vAlign w:val="center"/>
          </w:tcPr>
          <w:p>
            <w:pPr>
              <w:pStyle w:val="TableContents"/>
              <w:bidi w:val="0"/>
              <w:spacing w:before="0" w:after="283"/>
              <w:jc w:val="left"/>
              <w:rPr>
                <w:b/>
              </w:rPr>
            </w:pPr>
            <w:r>
              <w:rPr>
                <w:b/>
              </w:rPr>
              <w:t>Balance at January 1, 2026</w:t>
            </w:r>
          </w:p>
        </w:tc>
        <w:tc>
          <w:tcPr>
            <w:tcW w:w="170" w:type="dxa"/>
            <w:tcBorders/>
            <w:shd w:fill="CCEEFF" w:val="clear"/>
            <w:vAlign w:val="center"/>
          </w:tcPr>
          <w:p>
            <w:pPr>
              <w:pStyle w:val="TableContents"/>
              <w:bidi w:val="0"/>
              <w:spacing w:before="0" w:after="283"/>
              <w:jc w:val="left"/>
              <w:rPr/>
            </w:pPr>
            <w:r>
              <w:rPr/>
              <w:t>$</w:t>
            </w:r>
          </w:p>
        </w:tc>
        <w:tc>
          <w:tcPr>
            <w:tcW w:w="1261" w:type="dxa"/>
            <w:tcBorders/>
            <w:shd w:fill="CCEEFF" w:val="clear"/>
            <w:vAlign w:val="center"/>
          </w:tcPr>
          <w:p>
            <w:pPr>
              <w:pStyle w:val="TableContents"/>
              <w:bidi w:val="0"/>
              <w:spacing w:before="0" w:after="283"/>
              <w:jc w:val="right"/>
              <w:rPr/>
            </w:pPr>
            <w:r>
              <w:rPr/>
              <w:t>(2,137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83,531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b/>
              </w:rPr>
            </w:pPr>
            <w:r>
              <w:rPr>
                <w:b/>
              </w:rPr>
              <w:t>81,394</w:t>
            </w:r>
          </w:p>
        </w:tc>
        <w:tc>
          <w:tcPr>
            <w:tcW w:w="231" w:type="dxa"/>
            <w:tcBorders/>
            <w:shd w:fill="CCEEFF" w:val="clear"/>
            <w:vAlign w:val="center"/>
          </w:tcPr>
          <w:p>
            <w:pPr>
              <w:pStyle w:val="TableContents"/>
              <w:bidi w:val="0"/>
              <w:spacing w:before="0" w:after="283"/>
              <w:jc w:val="left"/>
              <w:rPr/>
            </w:pPr>
            <w:r>
              <w:rPr/>
              <w:t> </w:t>
            </w:r>
          </w:p>
        </w:tc>
      </w:tr>
      <w:tr>
        <w:trPr/>
        <w:tc>
          <w:tcPr>
            <w:tcW w:w="5678" w:type="dxa"/>
            <w:tcBorders/>
            <w:vAlign w:val="center"/>
          </w:tcPr>
          <w:p>
            <w:pPr>
              <w:pStyle w:val="TableContents"/>
              <w:bidi w:val="0"/>
              <w:spacing w:before="0" w:after="283"/>
              <w:jc w:val="left"/>
              <w:rPr/>
            </w:pPr>
            <w:r>
              <w:rPr/>
              <w:t>Other comprehensive income (loss) before reclassifications</w:t>
            </w:r>
          </w:p>
        </w:tc>
        <w:tc>
          <w:tcPr>
            <w:tcW w:w="17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(30,400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85" w:type="dxa"/>
            <w:tcBorders/>
            <w:vAlign w:val="center"/>
          </w:tcPr>
          <w:p>
            <w:pPr>
              <w:pStyle w:val="TableContents"/>
              <w:bidi w:val="0"/>
              <w:spacing w:before="0" w:after="283"/>
              <w:jc w:val="right"/>
              <w:rPr>
                <w:b/>
              </w:rPr>
            </w:pPr>
            <w:r>
              <w:rPr>
                <w:b/>
              </w:rPr>
              <w:t>(30,400</w:t>
            </w:r>
          </w:p>
        </w:tc>
        <w:tc>
          <w:tcPr>
            <w:tcW w:w="231" w:type="dxa"/>
            <w:tcBorders/>
            <w:vAlign w:val="center"/>
          </w:tcPr>
          <w:p>
            <w:pPr>
              <w:pStyle w:val="TableContents"/>
              <w:bidi w:val="0"/>
              <w:spacing w:before="0" w:after="283"/>
              <w:jc w:val="left"/>
              <w:rPr/>
            </w:pPr>
            <w:r>
              <w:rPr/>
              <w:t>) </w:t>
            </w:r>
          </w:p>
        </w:tc>
      </w:tr>
      <w:tr>
        <w:trPr/>
        <w:tc>
          <w:tcPr>
            <w:tcW w:w="5678" w:type="dxa"/>
            <w:tcBorders/>
            <w:shd w:fill="CCEEFF" w:val="clear"/>
            <w:vAlign w:val="center"/>
          </w:tcPr>
          <w:p>
            <w:pPr>
              <w:pStyle w:val="TableContents"/>
              <w:bidi w:val="0"/>
              <w:spacing w:before="0" w:after="283"/>
              <w:jc w:val="left"/>
              <w:rPr/>
            </w:pPr>
            <w:r>
              <w:rPr/>
              <w:t>Tax effect</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90"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b/>
              </w:rPr>
            </w:pPr>
            <w:r>
              <w:rPr>
                <w:b/>
              </w:rPr>
              <w:t>-</w:t>
            </w:r>
          </w:p>
        </w:tc>
        <w:tc>
          <w:tcPr>
            <w:tcW w:w="231" w:type="dxa"/>
            <w:tcBorders/>
            <w:shd w:fill="CCEEFF" w:val="clear"/>
            <w:vAlign w:val="center"/>
          </w:tcPr>
          <w:p>
            <w:pPr>
              <w:pStyle w:val="TableContents"/>
              <w:bidi w:val="0"/>
              <w:spacing w:before="0" w:after="283"/>
              <w:jc w:val="left"/>
              <w:rPr/>
            </w:pPr>
            <w:r>
              <w:rPr/>
              <w:t> </w:t>
            </w:r>
          </w:p>
        </w:tc>
      </w:tr>
      <w:tr>
        <w:trPr/>
        <w:tc>
          <w:tcPr>
            <w:tcW w:w="5678" w:type="dxa"/>
            <w:tcBorders/>
            <w:vAlign w:val="center"/>
          </w:tcPr>
          <w:p>
            <w:pPr>
              <w:pStyle w:val="TableContents"/>
              <w:bidi w:val="0"/>
              <w:spacing w:before="0" w:after="283"/>
              <w:jc w:val="left"/>
              <w:rPr/>
            </w:pPr>
            <w:r>
              <w:rPr/>
              <w:t>Other comprehensive income (loss) before reclassifications, net of tax</w:t>
            </w:r>
          </w:p>
        </w:tc>
        <w:tc>
          <w:tcPr>
            <w:tcW w:w="17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right"/>
              <w:rPr/>
            </w:pPr>
            <w:r>
              <w:rPr/>
              <w:t>(30,400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785" w:type="dxa"/>
            <w:tcBorders/>
            <w:vAlign w:val="center"/>
          </w:tcPr>
          <w:p>
            <w:pPr>
              <w:pStyle w:val="TableContents"/>
              <w:bidi w:val="0"/>
              <w:spacing w:before="0" w:after="283"/>
              <w:jc w:val="right"/>
              <w:rPr>
                <w:b/>
              </w:rPr>
            </w:pPr>
            <w:r>
              <w:rPr>
                <w:b/>
              </w:rPr>
              <w:t>(30,400</w:t>
            </w:r>
          </w:p>
        </w:tc>
        <w:tc>
          <w:tcPr>
            <w:tcW w:w="231" w:type="dxa"/>
            <w:tcBorders/>
            <w:vAlign w:val="center"/>
          </w:tcPr>
          <w:p>
            <w:pPr>
              <w:pStyle w:val="TableContents"/>
              <w:bidi w:val="0"/>
              <w:spacing w:before="0" w:after="283"/>
              <w:jc w:val="left"/>
              <w:rPr/>
            </w:pPr>
            <w:r>
              <w:rPr/>
              <w:t>) </w:t>
            </w:r>
          </w:p>
        </w:tc>
      </w:tr>
      <w:tr>
        <w:trPr/>
        <w:tc>
          <w:tcPr>
            <w:tcW w:w="5678" w:type="dxa"/>
            <w:tcBorders/>
            <w:shd w:fill="CCEEFF" w:val="clear"/>
            <w:vAlign w:val="center"/>
          </w:tcPr>
          <w:p>
            <w:pPr>
              <w:pStyle w:val="TableContents"/>
              <w:bidi w:val="0"/>
              <w:spacing w:before="0" w:after="283"/>
              <w:jc w:val="left"/>
              <w:rPr/>
            </w:pPr>
            <w:r>
              <w:rPr/>
              <w:t>Amounts reclassified out of AOCI</w:t>
            </w:r>
          </w:p>
        </w:tc>
        <w:tc>
          <w:tcPr>
            <w:tcW w:w="17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731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b/>
              </w:rPr>
            </w:pPr>
            <w:r>
              <w:rPr>
                <w:b/>
              </w:rPr>
              <w:t>731</w:t>
            </w:r>
          </w:p>
        </w:tc>
        <w:tc>
          <w:tcPr>
            <w:tcW w:w="231" w:type="dxa"/>
            <w:tcBorders/>
            <w:shd w:fill="CCEEFF" w:val="clear"/>
            <w:vAlign w:val="center"/>
          </w:tcPr>
          <w:p>
            <w:pPr>
              <w:pStyle w:val="TableContents"/>
              <w:bidi w:val="0"/>
              <w:spacing w:before="0" w:after="283"/>
              <w:jc w:val="left"/>
              <w:rPr/>
            </w:pPr>
            <w:r>
              <w:rPr/>
              <w:t> </w:t>
            </w:r>
          </w:p>
        </w:tc>
      </w:tr>
      <w:tr>
        <w:trPr/>
        <w:tc>
          <w:tcPr>
            <w:tcW w:w="5678" w:type="dxa"/>
            <w:tcBorders/>
            <w:vAlign w:val="center"/>
          </w:tcPr>
          <w:p>
            <w:pPr>
              <w:pStyle w:val="TableContents"/>
              <w:bidi w:val="0"/>
              <w:spacing w:before="0" w:after="283"/>
              <w:jc w:val="left"/>
              <w:rPr/>
            </w:pPr>
            <w:r>
              <w:rPr/>
              <w:t>Tax effect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1" w:type="dxa"/>
            <w:tcBorders>
              <w:bottom w:val="single" w:sz="2" w:space="0" w:color="000000"/>
            </w:tcBorders>
            <w:tcMar>
              <w:bottom w:w="28" w:type="dxa"/>
            </w:tcMar>
            <w:vAlign w:val="center"/>
          </w:tcPr>
          <w:p>
            <w:pPr>
              <w:pStyle w:val="TableContents"/>
              <w:bidi w:val="0"/>
              <w:spacing w:before="0" w:after="283"/>
              <w:jc w:val="right"/>
              <w:rPr/>
            </w:pPr>
            <w:r>
              <w:rPr/>
              <w:t>(64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90"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2" w:space="0" w:color="000000"/>
            </w:tcBorders>
            <w:tcMar>
              <w:bottom w:w="28" w:type="dxa"/>
            </w:tcMar>
            <w:vAlign w:val="center"/>
          </w:tcPr>
          <w:p>
            <w:pPr>
              <w:pStyle w:val="TableContents"/>
              <w:bidi w:val="0"/>
              <w:spacing w:before="0" w:after="283"/>
              <w:jc w:val="right"/>
              <w:rPr>
                <w:b/>
              </w:rPr>
            </w:pPr>
            <w:r>
              <w:rPr>
                <w:b/>
              </w:rPr>
              <w:t>(64</w:t>
            </w:r>
          </w:p>
        </w:tc>
        <w:tc>
          <w:tcPr>
            <w:tcW w:w="231" w:type="dxa"/>
            <w:tcBorders/>
            <w:vAlign w:val="center"/>
          </w:tcPr>
          <w:p>
            <w:pPr>
              <w:pStyle w:val="TableContents"/>
              <w:bidi w:val="0"/>
              <w:spacing w:before="0" w:after="283"/>
              <w:jc w:val="left"/>
              <w:rPr/>
            </w:pPr>
            <w:r>
              <w:rPr/>
              <w:t>) </w:t>
            </w:r>
          </w:p>
        </w:tc>
      </w:tr>
      <w:tr>
        <w:trPr/>
        <w:tc>
          <w:tcPr>
            <w:tcW w:w="5678" w:type="dxa"/>
            <w:tcBorders/>
            <w:shd w:fill="CCEEFF" w:val="clear"/>
            <w:vAlign w:val="center"/>
          </w:tcPr>
          <w:p>
            <w:pPr>
              <w:pStyle w:val="TableContents"/>
              <w:bidi w:val="0"/>
              <w:spacing w:before="0" w:after="283"/>
              <w:jc w:val="left"/>
              <w:rPr/>
            </w:pPr>
            <w:r>
              <w:rPr/>
              <w:t>Amounts reclassified out of AOCI, net of tax</w:t>
            </w:r>
          </w:p>
        </w:tc>
        <w:tc>
          <w:tcPr>
            <w:tcW w:w="17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667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b/>
              </w:rPr>
            </w:pPr>
            <w:r>
              <w:rPr>
                <w:b/>
              </w:rPr>
              <w:t>667</w:t>
            </w:r>
          </w:p>
        </w:tc>
        <w:tc>
          <w:tcPr>
            <w:tcW w:w="231" w:type="dxa"/>
            <w:tcBorders/>
            <w:shd w:fill="CCEEFF" w:val="clear"/>
            <w:vAlign w:val="center"/>
          </w:tcPr>
          <w:p>
            <w:pPr>
              <w:pStyle w:val="TableContents"/>
              <w:bidi w:val="0"/>
              <w:spacing w:before="0" w:after="283"/>
              <w:jc w:val="left"/>
              <w:rPr/>
            </w:pPr>
            <w:r>
              <w:rPr/>
              <w:t> </w:t>
            </w:r>
          </w:p>
        </w:tc>
      </w:tr>
      <w:tr>
        <w:trPr/>
        <w:tc>
          <w:tcPr>
            <w:tcW w:w="5678" w:type="dxa"/>
            <w:tcBorders/>
            <w:vAlign w:val="center"/>
          </w:tcPr>
          <w:p>
            <w:pPr>
              <w:pStyle w:val="TableContents"/>
              <w:bidi w:val="0"/>
              <w:spacing w:before="0" w:after="283"/>
              <w:jc w:val="left"/>
              <w:rPr>
                <w:b/>
              </w:rPr>
            </w:pPr>
            <w:r>
              <w:rPr>
                <w:b/>
              </w:rPr>
              <w:t>Net other comprehensive income (loss)</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1261" w:type="dxa"/>
            <w:tcBorders>
              <w:bottom w:val="single" w:sz="2" w:space="0" w:color="000000"/>
            </w:tcBorders>
            <w:tcMar>
              <w:bottom w:w="28" w:type="dxa"/>
            </w:tcMar>
            <w:vAlign w:val="center"/>
          </w:tcPr>
          <w:p>
            <w:pPr>
              <w:pStyle w:val="TableContents"/>
              <w:bidi w:val="0"/>
              <w:spacing w:before="0" w:after="283"/>
              <w:jc w:val="right"/>
              <w:rPr/>
            </w:pPr>
            <w:r>
              <w:rPr/>
              <w:t>667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1190" w:type="dxa"/>
            <w:tcBorders>
              <w:bottom w:val="single" w:sz="2" w:space="0" w:color="000000"/>
            </w:tcBorders>
            <w:tcMar>
              <w:bottom w:w="28" w:type="dxa"/>
            </w:tcMar>
            <w:vAlign w:val="center"/>
          </w:tcPr>
          <w:p>
            <w:pPr>
              <w:pStyle w:val="TableContents"/>
              <w:bidi w:val="0"/>
              <w:spacing w:before="0" w:after="283"/>
              <w:jc w:val="right"/>
              <w:rPr/>
            </w:pPr>
            <w:r>
              <w:rPr/>
              <w:t>(30,400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b/>
              </w:rPr>
            </w:pPr>
            <w:r>
              <w:rPr>
                <w:b/>
              </w:rPr>
              <w:t>$</w:t>
            </w:r>
          </w:p>
        </w:tc>
        <w:tc>
          <w:tcPr>
            <w:tcW w:w="785" w:type="dxa"/>
            <w:tcBorders>
              <w:bottom w:val="single" w:sz="2" w:space="0" w:color="000000"/>
            </w:tcBorders>
            <w:tcMar>
              <w:bottom w:w="28" w:type="dxa"/>
            </w:tcMar>
            <w:vAlign w:val="center"/>
          </w:tcPr>
          <w:p>
            <w:pPr>
              <w:pStyle w:val="TableContents"/>
              <w:bidi w:val="0"/>
              <w:spacing w:before="0" w:after="283"/>
              <w:jc w:val="right"/>
              <w:rPr>
                <w:b/>
              </w:rPr>
            </w:pPr>
            <w:r>
              <w:rPr>
                <w:b/>
              </w:rPr>
              <w:t>(29,733</w:t>
            </w:r>
          </w:p>
        </w:tc>
        <w:tc>
          <w:tcPr>
            <w:tcW w:w="231" w:type="dxa"/>
            <w:tcBorders/>
            <w:vAlign w:val="center"/>
          </w:tcPr>
          <w:p>
            <w:pPr>
              <w:pStyle w:val="TableContents"/>
              <w:bidi w:val="0"/>
              <w:spacing w:before="0" w:after="283"/>
              <w:jc w:val="left"/>
              <w:rPr/>
            </w:pPr>
            <w:r>
              <w:rPr/>
              <w:t>) </w:t>
            </w:r>
          </w:p>
        </w:tc>
      </w:tr>
      <w:tr>
        <w:trPr/>
        <w:tc>
          <w:tcPr>
            <w:tcW w:w="5678" w:type="dxa"/>
            <w:tcBorders/>
            <w:shd w:fill="CCEEFF" w:val="clear"/>
            <w:vAlign w:val="center"/>
          </w:tcPr>
          <w:p>
            <w:pPr>
              <w:pStyle w:val="TableContents"/>
              <w:bidi w:val="0"/>
              <w:spacing w:before="0" w:after="283"/>
              <w:jc w:val="left"/>
              <w:rPr>
                <w:b/>
              </w:rPr>
            </w:pPr>
            <w:r>
              <w:rPr>
                <w:b/>
              </w:rPr>
              <w:t>Balance at July 4, 2026</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(1,470</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9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53,131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51,661</w:t>
            </w:r>
          </w:p>
        </w:tc>
        <w:tc>
          <w:tcPr>
            <w:tcW w:w="231"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Reclassifications of pension and other post-retirement actuarial items out of AOCI are included in the computation of net periodic benefit cost.  See Note 8 for further information.</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14</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8 – Pensions and Other Postretirement Benefits</w:t>
      </w:r>
      <w:r>
        <w:rPr>
          <w:rFonts w:ascii="Times New Roman" w:hAnsi="Times New Roman"/>
          <w:color w:val="000000"/>
          <w:sz w:val="24"/>
        </w:rPr>
        <w:t>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service cost component of net periodic pension cost is classified in costs of products sold or selling, general, and administrative expenses on the consolidated condensed statements of operations based on the respective employee's function.  The other components of net periodic pension cost are classified as other expense on the consolidated condensed statements of operations.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color w:val="000000"/>
          <w:sz w:val="24"/>
        </w:rPr>
        <w:t>Defined Benefit Pension Plans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following table shows the components of the net periodic pension cost for the second fiscal quarters of 2026 and 2025 for the Company’s defined benefit pension plans:</w:t>
      </w:r>
      <w:r>
        <w:rPr>
          <w:rFonts w:ascii="Times New Roman" w:hAnsi="Times New Roman"/>
          <w:sz w:val="24"/>
        </w:rPr>
        <w:t xml:space="preserve"> </w:t>
      </w:r>
    </w:p>
    <w:p>
      <w:pPr>
        <w:pStyle w:val="TextBody"/>
        <w:bidi w:val="0"/>
        <w:spacing w:before="0" w:after="0"/>
        <w:jc w:val="both"/>
        <w:rPr/>
      </w:pPr>
      <w:r>
        <w:rPr/>
        <w:t xml:space="preserve">  </w:t>
      </w:r>
    </w:p>
    <w:tbl>
      <w:tblPr>
        <w:tblW w:w="8965" w:type="dxa"/>
        <w:jc w:val="left"/>
        <w:tblInd w:w="0" w:type="dxa"/>
        <w:tblLayout w:type="fixed"/>
        <w:tblCellMar>
          <w:top w:w="0" w:type="dxa"/>
          <w:left w:w="0" w:type="dxa"/>
          <w:bottom w:w="0" w:type="dxa"/>
          <w:right w:w="0" w:type="dxa"/>
        </w:tblCellMar>
      </w:tblPr>
      <w:tblGrid>
        <w:gridCol w:w="3230"/>
        <w:gridCol w:w="170"/>
        <w:gridCol w:w="1100"/>
        <w:gridCol w:w="90"/>
        <w:gridCol w:w="90"/>
        <w:gridCol w:w="170"/>
        <w:gridCol w:w="995"/>
        <w:gridCol w:w="185"/>
        <w:gridCol w:w="90"/>
        <w:gridCol w:w="170"/>
        <w:gridCol w:w="1100"/>
        <w:gridCol w:w="90"/>
        <w:gridCol w:w="90"/>
        <w:gridCol w:w="170"/>
        <w:gridCol w:w="995"/>
        <w:gridCol w:w="230"/>
      </w:tblGrid>
      <w:tr>
        <w:trPr/>
        <w:tc>
          <w:tcPr>
            <w:tcW w:w="32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 </w:t>
            </w:r>
          </w:p>
        </w:tc>
        <w:tc>
          <w:tcPr>
            <w:tcW w:w="2800" w:type="dxa"/>
            <w:gridSpan w:val="7"/>
            <w:tcBorders/>
            <w:vAlign w:val="center"/>
          </w:tcPr>
          <w:p>
            <w:pPr>
              <w:pStyle w:val="TableContents"/>
              <w:bidi w:val="0"/>
              <w:spacing w:before="0" w:after="283"/>
              <w:jc w:val="center"/>
              <w:rPr>
                <w:b/>
              </w:rPr>
            </w:pPr>
            <w:r>
              <w:rPr>
                <w:b/>
              </w:rPr>
              <w:t>Fiscal quarter ended</w:t>
            </w:r>
          </w:p>
        </w:tc>
        <w:tc>
          <w:tcPr>
            <w:tcW w:w="90" w:type="dxa"/>
            <w:tcBorders/>
            <w:vAlign w:val="center"/>
          </w:tcPr>
          <w:p>
            <w:pPr>
              <w:pStyle w:val="TableContents"/>
              <w:bidi w:val="0"/>
              <w:spacing w:before="0" w:after="283"/>
              <w:jc w:val="left"/>
              <w:rPr/>
            </w:pPr>
            <w:r>
              <w:rPr/>
              <w:t> </w:t>
            </w:r>
          </w:p>
        </w:tc>
        <w:tc>
          <w:tcPr>
            <w:tcW w:w="2845" w:type="dxa"/>
            <w:gridSpan w:val="7"/>
            <w:tcBorders/>
            <w:vAlign w:val="center"/>
          </w:tcPr>
          <w:p>
            <w:pPr>
              <w:pStyle w:val="TableContents"/>
              <w:bidi w:val="0"/>
              <w:spacing w:before="0" w:after="283"/>
              <w:jc w:val="center"/>
              <w:rPr>
                <w:b/>
              </w:rPr>
            </w:pPr>
            <w:r>
              <w:rPr>
                <w:b/>
              </w:rPr>
              <w:t>Fiscal quarter ended</w:t>
            </w:r>
          </w:p>
        </w:tc>
      </w:tr>
      <w:tr>
        <w:trPr/>
        <w:tc>
          <w:tcPr>
            <w:tcW w:w="3230" w:type="dxa"/>
            <w:tcBorders/>
            <w:vAlign w:val="center"/>
          </w:tcPr>
          <w:p>
            <w:pPr>
              <w:pStyle w:val="TableContents"/>
              <w:bidi w:val="0"/>
              <w:spacing w:before="0" w:after="283"/>
              <w:jc w:val="left"/>
              <w:rPr/>
            </w:pPr>
            <w:r>
              <w:rPr/>
              <w:t> </w:t>
            </w:r>
          </w:p>
        </w:tc>
        <w:tc>
          <w:tcPr>
            <w:tcW w:w="2800" w:type="dxa"/>
            <w:gridSpan w:val="7"/>
            <w:tcBorders/>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2845" w:type="dxa"/>
            <w:gridSpan w:val="7"/>
            <w:tcBorders/>
            <w:vAlign w:val="center"/>
          </w:tcPr>
          <w:p>
            <w:pPr>
              <w:pStyle w:val="TableContents"/>
              <w:bidi w:val="0"/>
              <w:spacing w:before="0" w:after="283"/>
              <w:jc w:val="center"/>
              <w:rPr>
                <w:b/>
              </w:rPr>
            </w:pPr>
            <w:r>
              <w:rPr>
                <w:b/>
              </w:rPr>
              <w:t>June 28, 2025</w:t>
            </w:r>
          </w:p>
        </w:tc>
      </w:tr>
      <w:tr>
        <w:trPr/>
        <w:tc>
          <w:tcPr>
            <w:tcW w:w="32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Non-U.S.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Non-U.S.</w:t>
            </w:r>
          </w:p>
        </w:tc>
        <w:tc>
          <w:tcPr>
            <w:tcW w:w="23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b/>
              </w:rPr>
            </w:pPr>
            <w:r>
              <w:rPr>
                <w:b/>
              </w:rPr>
              <w:t>U.S. Plans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Plans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b/>
              </w:rPr>
            </w:pPr>
            <w:r>
              <w:rPr>
                <w:b/>
              </w:rPr>
              <w:t>U.S. Plans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Plans</w:t>
            </w:r>
          </w:p>
        </w:tc>
        <w:tc>
          <w:tcPr>
            <w:tcW w:w="23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Net service cost</w:t>
            </w:r>
          </w:p>
        </w:tc>
        <w:tc>
          <w:tcPr>
            <w:tcW w:w="17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95" w:type="dxa"/>
            <w:tcBorders/>
            <w:shd w:fill="CCEEFF" w:val="clear"/>
            <w:vAlign w:val="center"/>
          </w:tcPr>
          <w:p>
            <w:pPr>
              <w:pStyle w:val="TableContents"/>
              <w:bidi w:val="0"/>
              <w:spacing w:before="0" w:after="283"/>
              <w:jc w:val="right"/>
              <w:rPr>
                <w:b/>
              </w:rPr>
            </w:pPr>
            <w:r>
              <w:rPr>
                <w:b/>
              </w:rPr>
              <w:t>741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765</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Interest cost</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352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1,730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1,582</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Expected return on plan assets</w:t>
            </w:r>
          </w:p>
        </w:tc>
        <w:tc>
          <w:tcPr>
            <w:tcW w:w="1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b/>
              </w:rPr>
            </w:pPr>
            <w:r>
              <w:rPr>
                <w:b/>
              </w:rPr>
              <w:t>(630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(560</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Amortization of prior service cost</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36</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Amortization of losses</w:t>
            </w:r>
          </w:p>
        </w:tc>
        <w:tc>
          <w:tcPr>
            <w:tcW w:w="1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b/>
              </w:rPr>
            </w:pPr>
            <w:r>
              <w:rPr>
                <w:b/>
              </w:rPr>
              <w:t>378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258</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Curtailment and settlement losses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24</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Net periodic benefit cost</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2,315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2,105</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4"/>
        </w:rPr>
        <w:t>The following table shows the components of the net periodic pension cost for the six fiscal months ended July 4, 2026 and June 28, 2025 for the Company's defined benefit pension plans:</w:t>
      </w:r>
    </w:p>
    <w:p>
      <w:pPr>
        <w:pStyle w:val="TextBody"/>
        <w:bidi w:val="0"/>
        <w:spacing w:before="0" w:after="0"/>
        <w:jc w:val="both"/>
        <w:rPr/>
      </w:pPr>
      <w:r>
        <w:rPr/>
        <w:t> </w:t>
      </w:r>
    </w:p>
    <w:tbl>
      <w:tblPr>
        <w:tblW w:w="8965" w:type="dxa"/>
        <w:jc w:val="left"/>
        <w:tblInd w:w="0" w:type="dxa"/>
        <w:tblLayout w:type="fixed"/>
        <w:tblCellMar>
          <w:top w:w="0" w:type="dxa"/>
          <w:left w:w="0" w:type="dxa"/>
          <w:bottom w:w="0" w:type="dxa"/>
          <w:right w:w="0" w:type="dxa"/>
        </w:tblCellMar>
      </w:tblPr>
      <w:tblGrid>
        <w:gridCol w:w="3230"/>
        <w:gridCol w:w="170"/>
        <w:gridCol w:w="1100"/>
        <w:gridCol w:w="90"/>
        <w:gridCol w:w="90"/>
        <w:gridCol w:w="170"/>
        <w:gridCol w:w="995"/>
        <w:gridCol w:w="185"/>
        <w:gridCol w:w="90"/>
        <w:gridCol w:w="170"/>
        <w:gridCol w:w="1100"/>
        <w:gridCol w:w="90"/>
        <w:gridCol w:w="90"/>
        <w:gridCol w:w="170"/>
        <w:gridCol w:w="995"/>
        <w:gridCol w:w="230"/>
      </w:tblGrid>
      <w:tr>
        <w:trPr/>
        <w:tc>
          <w:tcPr>
            <w:tcW w:w="3230" w:type="dxa"/>
            <w:tcBorders/>
            <w:vAlign w:val="center"/>
          </w:tcPr>
          <w:p>
            <w:pPr>
              <w:pStyle w:val="TableContents"/>
              <w:bidi w:val="0"/>
              <w:spacing w:before="0" w:after="283"/>
              <w:jc w:val="left"/>
              <w:rPr/>
            </w:pPr>
            <w:r>
              <w:rPr/>
              <w:t> </w:t>
            </w:r>
          </w:p>
        </w:tc>
        <w:tc>
          <w:tcPr>
            <w:tcW w:w="2800" w:type="dxa"/>
            <w:gridSpan w:val="7"/>
            <w:tcBorders/>
            <w:vAlign w:val="center"/>
          </w:tcPr>
          <w:p>
            <w:pPr>
              <w:pStyle w:val="TableContents"/>
              <w:bidi w:val="0"/>
              <w:spacing w:before="0" w:after="283"/>
              <w:jc w:val="center"/>
              <w:rPr>
                <w:b/>
              </w:rPr>
            </w:pPr>
            <w:r>
              <w:rPr>
                <w:b/>
              </w:rPr>
              <w:t>Six fiscal months ended</w:t>
            </w:r>
          </w:p>
        </w:tc>
        <w:tc>
          <w:tcPr>
            <w:tcW w:w="90" w:type="dxa"/>
            <w:tcBorders/>
            <w:vAlign w:val="center"/>
          </w:tcPr>
          <w:p>
            <w:pPr>
              <w:pStyle w:val="TableContents"/>
              <w:bidi w:val="0"/>
              <w:spacing w:before="0" w:after="283"/>
              <w:jc w:val="left"/>
              <w:rPr/>
            </w:pPr>
            <w:r>
              <w:rPr/>
              <w:t> </w:t>
            </w:r>
          </w:p>
        </w:tc>
        <w:tc>
          <w:tcPr>
            <w:tcW w:w="2845" w:type="dxa"/>
            <w:gridSpan w:val="7"/>
            <w:tcBorders/>
            <w:vAlign w:val="center"/>
          </w:tcPr>
          <w:p>
            <w:pPr>
              <w:pStyle w:val="TableContents"/>
              <w:bidi w:val="0"/>
              <w:spacing w:before="0" w:after="283"/>
              <w:jc w:val="center"/>
              <w:rPr>
                <w:b/>
              </w:rPr>
            </w:pPr>
            <w:r>
              <w:rPr>
                <w:b/>
              </w:rPr>
              <w:t>Six fiscal months ended</w:t>
            </w:r>
          </w:p>
        </w:tc>
      </w:tr>
      <w:tr>
        <w:trPr/>
        <w:tc>
          <w:tcPr>
            <w:tcW w:w="3230" w:type="dxa"/>
            <w:tcBorders/>
            <w:vAlign w:val="center"/>
          </w:tcPr>
          <w:p>
            <w:pPr>
              <w:pStyle w:val="TableContents"/>
              <w:bidi w:val="0"/>
              <w:spacing w:before="0" w:after="283"/>
              <w:jc w:val="left"/>
              <w:rPr/>
            </w:pPr>
            <w:r>
              <w:rPr/>
              <w:t> </w:t>
            </w:r>
          </w:p>
        </w:tc>
        <w:tc>
          <w:tcPr>
            <w:tcW w:w="2800" w:type="dxa"/>
            <w:gridSpan w:val="7"/>
            <w:tcBorders/>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2845" w:type="dxa"/>
            <w:gridSpan w:val="7"/>
            <w:tcBorders/>
            <w:vAlign w:val="center"/>
          </w:tcPr>
          <w:p>
            <w:pPr>
              <w:pStyle w:val="TableContents"/>
              <w:bidi w:val="0"/>
              <w:spacing w:before="0" w:after="283"/>
              <w:jc w:val="center"/>
              <w:rPr>
                <w:b/>
              </w:rPr>
            </w:pPr>
            <w:r>
              <w:rPr>
                <w:b/>
              </w:rPr>
              <w:t>June 28, 2025</w:t>
            </w:r>
          </w:p>
        </w:tc>
      </w:tr>
      <w:tr>
        <w:trPr/>
        <w:tc>
          <w:tcPr>
            <w:tcW w:w="32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Non-U.S.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Non-U.S.</w:t>
            </w:r>
          </w:p>
        </w:tc>
        <w:tc>
          <w:tcPr>
            <w:tcW w:w="23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2" w:space="0" w:color="000000"/>
            </w:tcBorders>
            <w:tcMar>
              <w:bottom w:w="28" w:type="dxa"/>
            </w:tcMar>
            <w:vAlign w:val="center"/>
          </w:tcPr>
          <w:p>
            <w:pPr>
              <w:pStyle w:val="TableContents"/>
              <w:bidi w:val="0"/>
              <w:spacing w:before="0" w:after="283"/>
              <w:jc w:val="center"/>
              <w:rPr>
                <w:b/>
              </w:rPr>
            </w:pPr>
            <w:r>
              <w:rPr>
                <w:b/>
              </w:rPr>
              <w:t>U.S. Plans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center"/>
              <w:rPr>
                <w:b/>
              </w:rPr>
            </w:pPr>
            <w:r>
              <w:rPr>
                <w:b/>
              </w:rPr>
              <w:t>Plans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00" w:type="dxa"/>
            <w:tcBorders>
              <w:bottom w:val="single" w:sz="2" w:space="0" w:color="000000"/>
            </w:tcBorders>
            <w:tcMar>
              <w:bottom w:w="28" w:type="dxa"/>
            </w:tcMar>
            <w:vAlign w:val="center"/>
          </w:tcPr>
          <w:p>
            <w:pPr>
              <w:pStyle w:val="TableContents"/>
              <w:bidi w:val="0"/>
              <w:spacing w:before="0" w:after="283"/>
              <w:jc w:val="center"/>
              <w:rPr>
                <w:b/>
              </w:rPr>
            </w:pPr>
            <w:r>
              <w:rPr>
                <w:b/>
              </w:rPr>
              <w:t>U.S. Plans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center"/>
              <w:rPr>
                <w:b/>
              </w:rPr>
            </w:pPr>
            <w:r>
              <w:rPr>
                <w:b/>
              </w:rPr>
              <w:t>Plans</w:t>
            </w:r>
          </w:p>
        </w:tc>
        <w:tc>
          <w:tcPr>
            <w:tcW w:w="230" w:type="dxa"/>
            <w:tcBorders/>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Net service cost</w:t>
            </w:r>
          </w:p>
        </w:tc>
        <w:tc>
          <w:tcPr>
            <w:tcW w:w="17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95" w:type="dxa"/>
            <w:tcBorders/>
            <w:shd w:fill="CCEEFF" w:val="clear"/>
            <w:vAlign w:val="center"/>
          </w:tcPr>
          <w:p>
            <w:pPr>
              <w:pStyle w:val="TableContents"/>
              <w:bidi w:val="0"/>
              <w:spacing w:before="0" w:after="283"/>
              <w:jc w:val="right"/>
              <w:rPr>
                <w:b/>
              </w:rPr>
            </w:pPr>
            <w:r>
              <w:rPr>
                <w:b/>
              </w:rPr>
              <w:t>1,496</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1,494</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r>
        <w:trPr/>
        <w:tc>
          <w:tcPr>
            <w:tcW w:w="3230" w:type="dxa"/>
            <w:tcBorders/>
            <w:vAlign w:val="center"/>
          </w:tcPr>
          <w:p>
            <w:pPr>
              <w:pStyle w:val="TableContents"/>
              <w:bidi w:val="0"/>
              <w:spacing w:before="0" w:after="283"/>
              <w:jc w:val="left"/>
              <w:rPr/>
            </w:pPr>
            <w:r>
              <w:rPr/>
              <w:t>Interest cost</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704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3,478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3,070</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Expected return on plan assets</w:t>
            </w:r>
          </w:p>
        </w:tc>
        <w:tc>
          <w:tcPr>
            <w:tcW w:w="1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b/>
              </w:rPr>
            </w:pPr>
            <w:r>
              <w:rPr>
                <w:b/>
              </w:rPr>
              <w:t>(1,268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(1,100</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Amortization of prior service cost</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158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70</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Amortization of losses</w:t>
            </w:r>
          </w:p>
        </w:tc>
        <w:tc>
          <w:tcPr>
            <w:tcW w:w="1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b/>
              </w:rPr>
            </w:pPr>
            <w:r>
              <w:rPr>
                <w:b/>
              </w:rPr>
              <w:t>758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500</w:t>
            </w:r>
          </w:p>
        </w:tc>
        <w:tc>
          <w:tcPr>
            <w:tcW w:w="230" w:type="dxa"/>
            <w:tcBorders/>
            <w:shd w:fill="CCEEFF" w:val="clear"/>
            <w:vAlign w:val="center"/>
          </w:tcPr>
          <w:p>
            <w:pPr>
              <w:pStyle w:val="TableContents"/>
              <w:bidi w:val="0"/>
              <w:spacing w:before="0" w:after="283"/>
              <w:jc w:val="left"/>
              <w:rPr/>
            </w:pPr>
            <w:r>
              <w:rPr/>
              <w:t> </w:t>
            </w:r>
          </w:p>
        </w:tc>
      </w:tr>
      <w:tr>
        <w:trPr/>
        <w:tc>
          <w:tcPr>
            <w:tcW w:w="3230" w:type="dxa"/>
            <w:tcBorders/>
            <w:vAlign w:val="center"/>
          </w:tcPr>
          <w:p>
            <w:pPr>
              <w:pStyle w:val="TableContents"/>
              <w:bidi w:val="0"/>
              <w:spacing w:before="0" w:after="283"/>
              <w:jc w:val="left"/>
              <w:rPr/>
            </w:pPr>
            <w:r>
              <w:rPr/>
              <w:t>Curtailment and settlement losses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b/>
              </w:rPr>
            </w:pPr>
            <w:r>
              <w:rPr>
                <w:b/>
              </w:rPr>
              <w:t>36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right"/>
              <w:rPr/>
            </w:pPr>
            <w:r>
              <w:rPr/>
              <w:t>47</w:t>
            </w:r>
          </w:p>
        </w:tc>
        <w:tc>
          <w:tcPr>
            <w:tcW w:w="230" w:type="dxa"/>
            <w:tcBorders/>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283"/>
              <w:jc w:val="left"/>
              <w:rPr/>
            </w:pPr>
            <w:r>
              <w:rPr/>
              <w:t>Net periodic benefit cost</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4,658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762</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r>
              <w:rPr/>
              <w:t>4,081</w:t>
            </w:r>
          </w:p>
        </w:tc>
        <w:tc>
          <w:tcPr>
            <w:tcW w:w="23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15</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pacing w:val="0"/>
          <w:sz w:val="24"/>
        </w:rPr>
      </w:pPr>
      <w:r>
        <w:rPr>
          <w:rFonts w:ascii="Times New Roman" w:hAnsi="Times New Roman"/>
          <w:spacing w:val="0"/>
          <w:sz w:val="24"/>
        </w:rPr>
        <w:t>NOTES TO THE CONSOLIDATED CONDENSED FINANCIAL STATEMENTS</w:t>
      </w:r>
    </w:p>
    <w:p>
      <w:pPr>
        <w:pStyle w:val="TextBody"/>
        <w:bidi w:val="0"/>
        <w:spacing w:before="0" w:after="0"/>
        <w:jc w:val="center"/>
        <w:rPr>
          <w:rFonts w:ascii="Times New Roman" w:hAnsi="Times New Roman"/>
          <w:i/>
          <w:spacing w:val="0"/>
          <w:sz w:val="24"/>
        </w:rPr>
      </w:pPr>
      <w:r>
        <w:rPr>
          <w:rFonts w:ascii="Times New Roman" w:hAnsi="Times New Roman"/>
          <w:i/>
          <w:spacing w:val="0"/>
          <w:sz w:val="24"/>
        </w:rPr>
        <w:t>(dollars in thousands, except per share amounts)</w:t>
      </w:r>
    </w:p>
    <w:p>
      <w:pPr>
        <w:pStyle w:val="TextBody"/>
        <w:bidi w:val="0"/>
        <w:spacing w:before="0" w:after="0"/>
        <w:jc w:val="center"/>
        <w:rPr/>
      </w:pPr>
      <w:r>
        <w:rPr/>
        <w:t> </w:t>
      </w:r>
    </w:p>
    <w:p>
      <w:pPr>
        <w:pStyle w:val="TextBody"/>
        <w:bidi w:val="0"/>
        <w:spacing w:before="0" w:after="0"/>
        <w:jc w:val="both"/>
        <w:rPr>
          <w:rFonts w:ascii="Times New Roman" w:hAnsi="Times New Roman"/>
          <w:b/>
          <w:i/>
          <w:color w:val="000000"/>
          <w:sz w:val="24"/>
        </w:rPr>
      </w:pPr>
      <w:r>
        <w:rPr>
          <w:rFonts w:ascii="Times New Roman" w:hAnsi="Times New Roman"/>
          <w:b/>
          <w:i/>
          <w:color w:val="000000"/>
          <w:sz w:val="24"/>
        </w:rPr>
        <w:t>Other Postretirement Benefits</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The following table shows the components of the net periodic benefit cost for the second fiscal quarters of 2026 and 2025 for the Company’s other postretirement benefit plans:</w:t>
      </w:r>
      <w:r>
        <w:rPr>
          <w:rFonts w:ascii="Times New Roman" w:hAnsi="Times New Roman"/>
          <w:sz w:val="24"/>
        </w:rPr>
        <w:t xml:space="preserve"> </w:t>
      </w:r>
    </w:p>
    <w:p>
      <w:pPr>
        <w:pStyle w:val="TextBody"/>
        <w:bidi w:val="0"/>
        <w:spacing w:before="0" w:after="0"/>
        <w:jc w:val="both"/>
        <w:rPr/>
      </w:pPr>
      <w:r>
        <w:rPr/>
        <w:t xml:space="preserve">  </w:t>
      </w:r>
    </w:p>
    <w:tbl>
      <w:tblPr>
        <w:tblW w:w="8620" w:type="dxa"/>
        <w:jc w:val="left"/>
        <w:tblInd w:w="0" w:type="dxa"/>
        <w:tblLayout w:type="fixed"/>
        <w:tblCellMar>
          <w:top w:w="0" w:type="dxa"/>
          <w:left w:w="0" w:type="dxa"/>
          <w:bottom w:w="0" w:type="dxa"/>
          <w:right w:w="0" w:type="dxa"/>
        </w:tblCellMar>
      </w:tblPr>
      <w:tblGrid>
        <w:gridCol w:w="2885"/>
        <w:gridCol w:w="170"/>
        <w:gridCol w:w="1100"/>
        <w:gridCol w:w="185"/>
        <w:gridCol w:w="90"/>
        <w:gridCol w:w="170"/>
        <w:gridCol w:w="995"/>
        <w:gridCol w:w="90"/>
        <w:gridCol w:w="90"/>
        <w:gridCol w:w="170"/>
        <w:gridCol w:w="1100"/>
        <w:gridCol w:w="185"/>
        <w:gridCol w:w="90"/>
        <w:gridCol w:w="170"/>
        <w:gridCol w:w="995"/>
        <w:gridCol w:w="135"/>
      </w:tblGrid>
      <w:tr>
        <w:trPr/>
        <w:tc>
          <w:tcPr>
            <w:tcW w:w="28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2800" w:type="dxa"/>
            <w:gridSpan w:val="7"/>
            <w:tcBorders/>
            <w:vAlign w:val="center"/>
          </w:tcPr>
          <w:p>
            <w:pPr>
              <w:pStyle w:val="TableContents"/>
              <w:bidi w:val="0"/>
              <w:spacing w:before="0" w:after="283"/>
              <w:jc w:val="center"/>
              <w:rPr>
                <w:b/>
              </w:rPr>
            </w:pPr>
            <w:r>
              <w:rPr>
                <w:b/>
              </w:rPr>
              <w:t>Fiscal quarter ended</w:t>
            </w:r>
          </w:p>
        </w:tc>
        <w:tc>
          <w:tcPr>
            <w:tcW w:w="90" w:type="dxa"/>
            <w:tcBorders/>
            <w:vAlign w:val="center"/>
          </w:tcPr>
          <w:p>
            <w:pPr>
              <w:pStyle w:val="TableContents"/>
              <w:bidi w:val="0"/>
              <w:spacing w:before="0" w:after="283"/>
              <w:jc w:val="left"/>
              <w:rPr/>
            </w:pPr>
            <w:r>
              <w:rPr/>
              <w:t> </w:t>
            </w:r>
          </w:p>
        </w:tc>
        <w:tc>
          <w:tcPr>
            <w:tcW w:w="2845" w:type="dxa"/>
            <w:gridSpan w:val="7"/>
            <w:tcBorders/>
            <w:vAlign w:val="center"/>
          </w:tcPr>
          <w:p>
            <w:pPr>
              <w:pStyle w:val="TableContents"/>
              <w:bidi w:val="0"/>
              <w:spacing w:before="0" w:after="283"/>
              <w:jc w:val="center"/>
              <w:rPr>
                <w:b/>
              </w:rPr>
            </w:pPr>
            <w:r>
              <w:rPr>
                <w:b/>
              </w:rPr>
              <w:t>Fiscal quarter ended</w:t>
            </w:r>
          </w:p>
        </w:tc>
      </w:tr>
      <w:tr>
        <w:trPr/>
        <w:tc>
          <w:tcPr>
            <w:tcW w:w="2885" w:type="dxa"/>
            <w:tcBorders/>
            <w:vAlign w:val="center"/>
          </w:tcPr>
          <w:p>
            <w:pPr>
              <w:pStyle w:val="TableContents"/>
              <w:bidi w:val="0"/>
              <w:spacing w:before="0" w:after="283"/>
              <w:jc w:val="left"/>
              <w:rPr/>
            </w:pPr>
            <w:r>
              <w:rPr/>
              <w:t> </w:t>
            </w:r>
          </w:p>
        </w:tc>
        <w:tc>
          <w:tcPr>
            <w:tcW w:w="2800" w:type="dxa"/>
            <w:gridSpan w:val="7"/>
            <w:tcBorders/>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2845" w:type="dxa"/>
            <w:gridSpan w:val="7"/>
            <w:tcBorders/>
            <w:vAlign w:val="center"/>
          </w:tcPr>
          <w:p>
            <w:pPr>
              <w:pStyle w:val="TableContents"/>
              <w:bidi w:val="0"/>
              <w:spacing w:before="0" w:after="283"/>
              <w:jc w:val="center"/>
              <w:rPr>
                <w:b/>
              </w:rPr>
            </w:pPr>
            <w:r>
              <w:rPr>
                <w:b/>
              </w:rPr>
              <w:t>June 28, 2025</w:t>
            </w:r>
          </w:p>
        </w:tc>
      </w:tr>
      <w:tr>
        <w:trPr/>
        <w:tc>
          <w:tcPr>
            <w:tcW w:w="28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Non-U.S.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Non-U.S.</w:t>
            </w:r>
          </w:p>
        </w:tc>
        <w:tc>
          <w:tcPr>
            <w:tcW w:w="13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b/>
              </w:rPr>
            </w:pPr>
            <w:r>
              <w:rPr>
                <w:b/>
              </w:rPr>
              <w:t>U.S. Plans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Plans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b/>
              </w:rPr>
            </w:pPr>
            <w:r>
              <w:rPr>
                <w:b/>
              </w:rPr>
              <w:t>U.S. Plans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Plans</w:t>
            </w:r>
          </w:p>
        </w:tc>
        <w:tc>
          <w:tcPr>
            <w:tcW w:w="13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Service cost</w:t>
            </w:r>
          </w:p>
        </w:tc>
        <w:tc>
          <w:tcPr>
            <w:tcW w:w="17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95" w:type="dxa"/>
            <w:tcBorders/>
            <w:shd w:fill="CCEEFF" w:val="clear"/>
            <w:vAlign w:val="center"/>
          </w:tcPr>
          <w:p>
            <w:pPr>
              <w:pStyle w:val="TableContents"/>
              <w:bidi w:val="0"/>
              <w:spacing w:before="0" w:after="283"/>
              <w:jc w:val="right"/>
              <w:rPr>
                <w:b/>
              </w:rPr>
            </w:pPr>
            <w:r>
              <w:rPr>
                <w:b/>
              </w:rPr>
              <w:t>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60</w:t>
            </w:r>
          </w:p>
        </w:tc>
        <w:tc>
          <w:tcPr>
            <w:tcW w:w="13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Interest cost</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60</w:t>
            </w:r>
          </w:p>
        </w:tc>
        <w:tc>
          <w:tcPr>
            <w:tcW w:w="13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Amortization of losses (gains)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(117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CCEEFF" w:val="clear"/>
            <w:tcMar>
              <w:bottom w:w="28" w:type="dxa"/>
            </w:tcMar>
            <w:vAlign w:val="center"/>
          </w:tcPr>
          <w:p>
            <w:pPr>
              <w:pStyle w:val="TableContents"/>
              <w:bidi w:val="0"/>
              <w:spacing w:before="0" w:after="283"/>
              <w:jc w:val="right"/>
              <w:rPr/>
            </w:pPr>
            <w:r>
              <w:rPr/>
              <w:t>(52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pPr>
            <w:r>
              <w:rPr/>
              <w:t>15</w:t>
            </w:r>
          </w:p>
        </w:tc>
        <w:tc>
          <w:tcPr>
            <w:tcW w:w="13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Net periodic benefit cost</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tcMar>
              <w:bottom w:w="28" w:type="dxa"/>
            </w:tcMar>
            <w:vAlign w:val="center"/>
          </w:tcPr>
          <w:p>
            <w:pPr>
              <w:pStyle w:val="TableContents"/>
              <w:bidi w:val="0"/>
              <w:spacing w:before="0" w:after="283"/>
              <w:jc w:val="right"/>
              <w:rPr>
                <w:b/>
              </w:rPr>
            </w:pPr>
            <w:r>
              <w:rPr>
                <w:b/>
              </w:rPr>
              <w:t>(91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119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135</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both"/>
        <w:rPr>
          <w:rFonts w:ascii="Times New Roman" w:hAnsi="Times New Roman"/>
          <w:sz w:val="24"/>
        </w:rPr>
      </w:pPr>
      <w:r>
        <w:rPr>
          <w:rFonts w:ascii="Times New Roman" w:hAnsi="Times New Roman"/>
          <w:sz w:val="24"/>
        </w:rPr>
        <w:t>The following table shows the components of the net periodic pension cost for the six fiscal months ended July 4, 2026 and June 28, 2025 for the Company's other postretirement benefit plans:</w:t>
      </w:r>
    </w:p>
    <w:p>
      <w:pPr>
        <w:pStyle w:val="TextBody"/>
        <w:bidi w:val="0"/>
        <w:spacing w:before="0" w:after="0"/>
        <w:jc w:val="center"/>
        <w:rPr/>
      </w:pPr>
      <w:r>
        <w:rPr/>
        <w:t> </w:t>
      </w:r>
    </w:p>
    <w:tbl>
      <w:tblPr>
        <w:tblW w:w="8620" w:type="dxa"/>
        <w:jc w:val="left"/>
        <w:tblInd w:w="0" w:type="dxa"/>
        <w:tblLayout w:type="fixed"/>
        <w:tblCellMar>
          <w:top w:w="0" w:type="dxa"/>
          <w:left w:w="0" w:type="dxa"/>
          <w:bottom w:w="0" w:type="dxa"/>
          <w:right w:w="0" w:type="dxa"/>
        </w:tblCellMar>
      </w:tblPr>
      <w:tblGrid>
        <w:gridCol w:w="2885"/>
        <w:gridCol w:w="170"/>
        <w:gridCol w:w="1100"/>
        <w:gridCol w:w="185"/>
        <w:gridCol w:w="90"/>
        <w:gridCol w:w="170"/>
        <w:gridCol w:w="995"/>
        <w:gridCol w:w="90"/>
        <w:gridCol w:w="90"/>
        <w:gridCol w:w="170"/>
        <w:gridCol w:w="1100"/>
        <w:gridCol w:w="185"/>
        <w:gridCol w:w="90"/>
        <w:gridCol w:w="170"/>
        <w:gridCol w:w="995"/>
        <w:gridCol w:w="135"/>
      </w:tblGrid>
      <w:tr>
        <w:trPr/>
        <w:tc>
          <w:tcPr>
            <w:tcW w:w="28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2800" w:type="dxa"/>
            <w:gridSpan w:val="7"/>
            <w:tcBorders/>
            <w:vAlign w:val="center"/>
          </w:tcPr>
          <w:p>
            <w:pPr>
              <w:pStyle w:val="TableContents"/>
              <w:bidi w:val="0"/>
              <w:spacing w:before="0" w:after="283"/>
              <w:jc w:val="center"/>
              <w:rPr>
                <w:b/>
              </w:rPr>
            </w:pPr>
            <w:r>
              <w:rPr>
                <w:b/>
              </w:rPr>
              <w:t>Six fiscal months ended</w:t>
            </w:r>
          </w:p>
        </w:tc>
        <w:tc>
          <w:tcPr>
            <w:tcW w:w="90" w:type="dxa"/>
            <w:tcBorders/>
            <w:vAlign w:val="center"/>
          </w:tcPr>
          <w:p>
            <w:pPr>
              <w:pStyle w:val="TableContents"/>
              <w:bidi w:val="0"/>
              <w:spacing w:before="0" w:after="283"/>
              <w:jc w:val="left"/>
              <w:rPr/>
            </w:pPr>
            <w:r>
              <w:rPr/>
              <w:t> </w:t>
            </w:r>
          </w:p>
        </w:tc>
        <w:tc>
          <w:tcPr>
            <w:tcW w:w="2845" w:type="dxa"/>
            <w:gridSpan w:val="7"/>
            <w:tcBorders/>
            <w:vAlign w:val="center"/>
          </w:tcPr>
          <w:p>
            <w:pPr>
              <w:pStyle w:val="TableContents"/>
              <w:bidi w:val="0"/>
              <w:spacing w:before="0" w:after="283"/>
              <w:jc w:val="center"/>
              <w:rPr>
                <w:b/>
              </w:rPr>
            </w:pPr>
            <w:r>
              <w:rPr>
                <w:b/>
              </w:rPr>
              <w:t>Six fiscal months ended</w:t>
            </w:r>
          </w:p>
        </w:tc>
      </w:tr>
      <w:tr>
        <w:trPr/>
        <w:tc>
          <w:tcPr>
            <w:tcW w:w="2885" w:type="dxa"/>
            <w:tcBorders/>
            <w:vAlign w:val="center"/>
          </w:tcPr>
          <w:p>
            <w:pPr>
              <w:pStyle w:val="TableContents"/>
              <w:bidi w:val="0"/>
              <w:spacing w:before="0" w:after="283"/>
              <w:jc w:val="left"/>
              <w:rPr/>
            </w:pPr>
            <w:r>
              <w:rPr/>
              <w:t> </w:t>
            </w:r>
          </w:p>
        </w:tc>
        <w:tc>
          <w:tcPr>
            <w:tcW w:w="2800" w:type="dxa"/>
            <w:gridSpan w:val="7"/>
            <w:tcBorders/>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2845" w:type="dxa"/>
            <w:gridSpan w:val="7"/>
            <w:tcBorders/>
            <w:vAlign w:val="center"/>
          </w:tcPr>
          <w:p>
            <w:pPr>
              <w:pStyle w:val="TableContents"/>
              <w:bidi w:val="0"/>
              <w:spacing w:before="0" w:after="283"/>
              <w:jc w:val="center"/>
              <w:rPr>
                <w:b/>
              </w:rPr>
            </w:pPr>
            <w:r>
              <w:rPr>
                <w:b/>
              </w:rPr>
              <w:t>June 28, 2025</w:t>
            </w:r>
          </w:p>
        </w:tc>
      </w:tr>
      <w:tr>
        <w:trPr/>
        <w:tc>
          <w:tcPr>
            <w:tcW w:w="28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Non-U.S.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Non-U.S.</w:t>
            </w:r>
          </w:p>
        </w:tc>
        <w:tc>
          <w:tcPr>
            <w:tcW w:w="13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b/>
              </w:rPr>
            </w:pPr>
            <w:r>
              <w:rPr>
                <w:b/>
              </w:rPr>
              <w:t>U.S. Plans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Plans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tcMar>
              <w:bottom w:w="28" w:type="dxa"/>
            </w:tcMar>
            <w:vAlign w:val="center"/>
          </w:tcPr>
          <w:p>
            <w:pPr>
              <w:pStyle w:val="TableContents"/>
              <w:bidi w:val="0"/>
              <w:spacing w:before="0" w:after="283"/>
              <w:jc w:val="center"/>
              <w:rPr>
                <w:b/>
              </w:rPr>
            </w:pPr>
            <w:r>
              <w:rPr>
                <w:b/>
              </w:rPr>
              <w:t>U.S. Plans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Plans</w:t>
            </w:r>
          </w:p>
        </w:tc>
        <w:tc>
          <w:tcPr>
            <w:tcW w:w="13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Service cost</w:t>
            </w:r>
          </w:p>
        </w:tc>
        <w:tc>
          <w:tcPr>
            <w:tcW w:w="170" w:type="dxa"/>
            <w:tcBorders/>
            <w:shd w:fill="CCEEFF" w:val="clear"/>
            <w:vAlign w:val="center"/>
          </w:tcPr>
          <w:p>
            <w:pPr>
              <w:pStyle w:val="TableContents"/>
              <w:bidi w:val="0"/>
              <w:spacing w:before="0" w:after="283"/>
              <w:jc w:val="left"/>
              <w:rPr>
                <w:b/>
              </w:rPr>
            </w:pPr>
            <w:r>
              <w:rPr>
                <w:b/>
              </w:rPr>
              <w:t>$</w:t>
            </w:r>
          </w:p>
        </w:tc>
        <w:tc>
          <w:tcPr>
            <w:tcW w:w="1100" w:type="dxa"/>
            <w:tcBorders/>
            <w:shd w:fill="CCEEFF" w:val="clear"/>
            <w:vAlign w:val="center"/>
          </w:tcPr>
          <w:p>
            <w:pPr>
              <w:pStyle w:val="TableContents"/>
              <w:bidi w:val="0"/>
              <w:spacing w:before="0" w:after="283"/>
              <w:jc w:val="right"/>
              <w:rPr>
                <w:b/>
              </w:rPr>
            </w:pPr>
            <w:r>
              <w:rPr>
                <w:b/>
              </w:rPr>
              <w:t>-</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95" w:type="dxa"/>
            <w:tcBorders/>
            <w:shd w:fill="CCEEFF" w:val="clear"/>
            <w:vAlign w:val="center"/>
          </w:tcPr>
          <w:p>
            <w:pPr>
              <w:pStyle w:val="TableContents"/>
              <w:bidi w:val="0"/>
              <w:spacing w:before="0" w:after="283"/>
              <w:jc w:val="right"/>
              <w:rPr>
                <w:b/>
              </w:rPr>
            </w:pPr>
            <w:r>
              <w:rPr>
                <w:b/>
              </w:rPr>
              <w:t>105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95" w:type="dxa"/>
            <w:tcBorders/>
            <w:shd w:fill="CCEEFF" w:val="clear"/>
            <w:vAlign w:val="center"/>
          </w:tcPr>
          <w:p>
            <w:pPr>
              <w:pStyle w:val="TableContents"/>
              <w:bidi w:val="0"/>
              <w:spacing w:before="0" w:after="283"/>
              <w:jc w:val="right"/>
              <w:rPr/>
            </w:pPr>
            <w:r>
              <w:rPr/>
              <w:t>115</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Interest cost</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b/>
              </w:rPr>
            </w:pPr>
            <w:r>
              <w:rPr>
                <w:b/>
              </w:rPr>
              <w:t>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125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116</w:t>
            </w:r>
          </w:p>
        </w:tc>
        <w:tc>
          <w:tcPr>
            <w:tcW w:w="135"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283"/>
              <w:jc w:val="left"/>
              <w:rPr/>
            </w:pPr>
            <w:r>
              <w:rPr/>
              <w:t>Amortization of losses (gains)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(234</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6" w:space="0" w:color="000000"/>
            </w:tcBorders>
            <w:shd w:fill="CCEEFF" w:val="clear"/>
            <w:tcMar>
              <w:bottom w:w="28" w:type="dxa"/>
            </w:tcMar>
            <w:vAlign w:val="center"/>
          </w:tcPr>
          <w:p>
            <w:pPr>
              <w:pStyle w:val="TableContents"/>
              <w:bidi w:val="0"/>
              <w:spacing w:before="0" w:after="283"/>
              <w:jc w:val="right"/>
              <w:rPr/>
            </w:pPr>
            <w:r>
              <w:rPr/>
              <w:t>(104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shd w:fill="CCEEFF" w:val="clear"/>
            <w:tcMar>
              <w:bottom w:w="28" w:type="dxa"/>
            </w:tcMar>
            <w:vAlign w:val="center"/>
          </w:tcPr>
          <w:p>
            <w:pPr>
              <w:pStyle w:val="TableContents"/>
              <w:bidi w:val="0"/>
              <w:spacing w:before="0" w:after="283"/>
              <w:jc w:val="right"/>
              <w:rPr/>
            </w:pPr>
            <w:r>
              <w:rPr/>
              <w:t>29</w:t>
            </w:r>
          </w:p>
        </w:tc>
        <w:tc>
          <w:tcPr>
            <w:tcW w:w="135"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Net periodic benefit cost</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00" w:type="dxa"/>
            <w:tcBorders>
              <w:bottom w:val="double" w:sz="6" w:space="0" w:color="000000"/>
            </w:tcBorders>
            <w:tcMar>
              <w:bottom w:w="28" w:type="dxa"/>
            </w:tcMar>
            <w:vAlign w:val="center"/>
          </w:tcPr>
          <w:p>
            <w:pPr>
              <w:pStyle w:val="TableContents"/>
              <w:bidi w:val="0"/>
              <w:spacing w:before="0" w:after="283"/>
              <w:jc w:val="right"/>
              <w:rPr>
                <w:b/>
              </w:rPr>
            </w:pPr>
            <w:r>
              <w:rPr>
                <w:b/>
              </w:rPr>
              <w:t>(182</w:t>
            </w:r>
          </w:p>
        </w:tc>
        <w:tc>
          <w:tcPr>
            <w:tcW w:w="185" w:type="dxa"/>
            <w:tcBorders/>
            <w:vAlign w:val="center"/>
          </w:tcPr>
          <w:p>
            <w:pPr>
              <w:pStyle w:val="TableContents"/>
              <w:bidi w:val="0"/>
              <w:spacing w:before="0" w:after="283"/>
              <w:jc w:val="left"/>
              <w:rPr>
                <w:b/>
              </w:rPr>
            </w:pPr>
            <w:r>
              <w:rPr>
                <w:b/>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241</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tcMar>
              <w:bottom w:w="28" w:type="dxa"/>
            </w:tcMar>
            <w:vAlign w:val="center"/>
          </w:tcPr>
          <w:p>
            <w:pPr>
              <w:pStyle w:val="TableContents"/>
              <w:bidi w:val="0"/>
              <w:spacing w:before="0" w:after="283"/>
              <w:jc w:val="right"/>
              <w:rPr/>
            </w:pPr>
            <w:r>
              <w:rPr/>
              <w:t>7</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260</w:t>
            </w:r>
          </w:p>
        </w:tc>
        <w:tc>
          <w:tcPr>
            <w:tcW w:w="1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t> </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16</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9 – Stock-Based Compensation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following table summarizes stock-based compensation expense recognized:</w:t>
      </w:r>
    </w:p>
    <w:p>
      <w:pPr>
        <w:pStyle w:val="TextBody"/>
        <w:bidi w:val="0"/>
        <w:spacing w:before="0" w:after="0"/>
        <w:jc w:val="both"/>
        <w:rPr/>
      </w:pPr>
      <w:r>
        <w:rPr/>
        <w:t> </w:t>
      </w:r>
    </w:p>
    <w:p>
      <w:pPr>
        <w:pStyle w:val="TextBody"/>
        <w:bidi w:val="0"/>
        <w:spacing w:before="0" w:after="0"/>
        <w:jc w:val="both"/>
        <w:rPr/>
      </w:pPr>
      <w:r>
        <w:rPr/>
        <w:t> </w:t>
      </w:r>
    </w:p>
    <w:tbl>
      <w:tblPr>
        <w:tblW w:w="9840" w:type="dxa"/>
        <w:jc w:val="left"/>
        <w:tblInd w:w="0" w:type="dxa"/>
        <w:tblLayout w:type="fixed"/>
        <w:tblCellMar>
          <w:top w:w="0" w:type="dxa"/>
          <w:left w:w="0" w:type="dxa"/>
          <w:bottom w:w="0" w:type="dxa"/>
          <w:right w:w="0" w:type="dxa"/>
        </w:tblCellMar>
      </w:tblPr>
      <w:tblGrid>
        <w:gridCol w:w="3065"/>
        <w:gridCol w:w="170"/>
        <w:gridCol w:w="1265"/>
        <w:gridCol w:w="90"/>
        <w:gridCol w:w="90"/>
        <w:gridCol w:w="170"/>
        <w:gridCol w:w="1445"/>
        <w:gridCol w:w="90"/>
        <w:gridCol w:w="90"/>
        <w:gridCol w:w="170"/>
        <w:gridCol w:w="1265"/>
        <w:gridCol w:w="90"/>
        <w:gridCol w:w="90"/>
        <w:gridCol w:w="170"/>
        <w:gridCol w:w="1445"/>
        <w:gridCol w:w="135"/>
      </w:tblGrid>
      <w:tr>
        <w:trPr/>
        <w:tc>
          <w:tcPr>
            <w:tcW w:w="3065" w:type="dxa"/>
            <w:tcBorders/>
            <w:vAlign w:val="center"/>
          </w:tcPr>
          <w:p>
            <w:pPr>
              <w:pStyle w:val="TableContents"/>
              <w:bidi w:val="0"/>
              <w:spacing w:before="0" w:after="283"/>
              <w:jc w:val="left"/>
              <w:rPr/>
            </w:pPr>
            <w:r>
              <w:rPr/>
              <w:t> </w:t>
            </w:r>
          </w:p>
        </w:tc>
        <w:tc>
          <w:tcPr>
            <w:tcW w:w="3320"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365" w:type="dxa"/>
            <w:gridSpan w:val="7"/>
            <w:tcBorders/>
            <w:vAlign w:val="center"/>
          </w:tcPr>
          <w:p>
            <w:pPr>
              <w:pStyle w:val="TableContents"/>
              <w:bidi w:val="0"/>
              <w:spacing w:before="0" w:after="283"/>
              <w:jc w:val="center"/>
              <w:rPr>
                <w:b/>
              </w:rPr>
            </w:pPr>
            <w:r>
              <w:rPr>
                <w:b/>
              </w:rPr>
              <w:t>Six fiscal months ended</w:t>
            </w:r>
          </w:p>
        </w:tc>
      </w:tr>
      <w:tr>
        <w:trPr/>
        <w:tc>
          <w:tcPr>
            <w:tcW w:w="306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35"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Restricted stock units ("RSUs")</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7,783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5,685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19,980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11,653</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Phantom stock units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b/>
              </w:rPr>
            </w:pPr>
            <w:r>
              <w:rPr>
                <w:b/>
              </w:rPr>
              <w:t>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83</w:t>
            </w:r>
          </w:p>
        </w:tc>
        <w:tc>
          <w:tcPr>
            <w:tcW w:w="135"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Total</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7,783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5,685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20,056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pPr>
            <w:r>
              <w:rPr/>
              <w:t>11,736</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following table summarizes unrecognized compensation cost and the weighted average remaining amortization periods at July 4, 2026 </w:t>
      </w:r>
      <w:r>
        <w:rPr>
          <w:rFonts w:ascii="Times New Roman" w:hAnsi="Times New Roman"/>
          <w:i/>
          <w:color w:val="000000"/>
          <w:sz w:val="24"/>
        </w:rPr>
        <w:t>(amortization periods in years)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w:t>
      </w:r>
    </w:p>
    <w:tbl>
      <w:tblPr>
        <w:tblW w:w="5570" w:type="dxa"/>
        <w:jc w:val="left"/>
        <w:tblInd w:w="0" w:type="dxa"/>
        <w:tblLayout w:type="fixed"/>
        <w:tblCellMar>
          <w:top w:w="0" w:type="dxa"/>
          <w:left w:w="0" w:type="dxa"/>
          <w:bottom w:w="0" w:type="dxa"/>
          <w:right w:w="0" w:type="dxa"/>
        </w:tblCellMar>
      </w:tblPr>
      <w:tblGrid>
        <w:gridCol w:w="2075"/>
        <w:gridCol w:w="170"/>
        <w:gridCol w:w="1520"/>
        <w:gridCol w:w="90"/>
        <w:gridCol w:w="90"/>
        <w:gridCol w:w="90"/>
        <w:gridCol w:w="1400"/>
        <w:gridCol w:w="135"/>
      </w:tblGrid>
      <w:tr>
        <w:trPr/>
        <w:tc>
          <w:tcPr>
            <w:tcW w:w="20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0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rPr>
            </w:pPr>
            <w:r>
              <w:rPr>
                <w:b/>
              </w:rPr>
              <w:t>Weighted</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rPr>
            </w:pPr>
            <w:r>
              <w:rPr>
                <w:b/>
              </w:rPr>
              <w:t>Average</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b/>
              </w:rPr>
            </w:pPr>
            <w:r>
              <w:rPr>
                <w:b/>
              </w:rPr>
              <w:t>Unrecognized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rPr>
            </w:pPr>
            <w:r>
              <w:rPr>
                <w:b/>
              </w:rPr>
              <w:t>Remaining</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b/>
              </w:rPr>
            </w:pPr>
            <w:r>
              <w:rPr>
                <w:b/>
              </w:rPr>
              <w:t>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rPr>
            </w:pPr>
            <w:r>
              <w:rPr>
                <w:b/>
              </w:rPr>
              <w:t>Amortization</w:t>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tcBorders>
              <w:bottom w:val="single" w:sz="6" w:space="0" w:color="000000"/>
            </w:tcBorders>
            <w:tcMar>
              <w:bottom w:w="28" w:type="dxa"/>
            </w:tcMar>
            <w:vAlign w:val="center"/>
          </w:tcPr>
          <w:p>
            <w:pPr>
              <w:pStyle w:val="TableContents"/>
              <w:bidi w:val="0"/>
              <w:spacing w:before="0" w:after="283"/>
              <w:jc w:val="center"/>
              <w:rPr>
                <w:b/>
              </w:rPr>
            </w:pPr>
            <w:r>
              <w:rPr>
                <w:b/>
              </w:rPr>
              <w:t>Cost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00" w:type="dxa"/>
            <w:tcBorders>
              <w:bottom w:val="single" w:sz="6" w:space="0" w:color="000000"/>
            </w:tcBorders>
            <w:tcMar>
              <w:bottom w:w="28" w:type="dxa"/>
            </w:tcMar>
            <w:vAlign w:val="center"/>
          </w:tcPr>
          <w:p>
            <w:pPr>
              <w:pStyle w:val="TableContents"/>
              <w:bidi w:val="0"/>
              <w:spacing w:before="0" w:after="283"/>
              <w:jc w:val="center"/>
              <w:rPr>
                <w:b/>
              </w:rPr>
            </w:pPr>
            <w:r>
              <w:rPr>
                <w:b/>
              </w:rPr>
              <w:t>Periods</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Restricted stock units</w:t>
            </w:r>
          </w:p>
        </w:tc>
        <w:tc>
          <w:tcPr>
            <w:tcW w:w="170" w:type="dxa"/>
            <w:tcBorders/>
            <w:shd w:fill="CCEEFF" w:val="clear"/>
            <w:vAlign w:val="center"/>
          </w:tcPr>
          <w:p>
            <w:pPr>
              <w:pStyle w:val="TableContents"/>
              <w:bidi w:val="0"/>
              <w:spacing w:before="0" w:after="283"/>
              <w:jc w:val="left"/>
              <w:rPr>
                <w:b/>
              </w:rPr>
            </w:pPr>
            <w:r>
              <w:rPr>
                <w:b/>
              </w:rPr>
              <w:t>$</w:t>
            </w:r>
          </w:p>
        </w:tc>
        <w:tc>
          <w:tcPr>
            <w:tcW w:w="1520" w:type="dxa"/>
            <w:tcBorders/>
            <w:shd w:fill="CCEEFF" w:val="clear"/>
            <w:vAlign w:val="center"/>
          </w:tcPr>
          <w:p>
            <w:pPr>
              <w:pStyle w:val="TableContents"/>
              <w:bidi w:val="0"/>
              <w:spacing w:before="0" w:after="283"/>
              <w:jc w:val="right"/>
              <w:rPr>
                <w:b/>
              </w:rPr>
            </w:pPr>
            <w:r>
              <w:rPr>
                <w:b/>
              </w:rPr>
              <w:t>67,888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b/>
              </w:rPr>
            </w:pPr>
            <w:r>
              <w:rPr>
                <w:b/>
              </w:rPr>
              <w:t>1.9</w:t>
            </w:r>
          </w:p>
        </w:tc>
        <w:tc>
          <w:tcPr>
            <w:tcW w:w="135" w:type="dxa"/>
            <w:tcBorders/>
            <w:shd w:fill="CCEEFF" w:val="clear"/>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Phantom stock units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20"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b/>
              </w:rPr>
            </w:pPr>
            <w:r>
              <w:rPr>
                <w:b/>
              </w:rPr>
              <w:t>n/a</w:t>
            </w:r>
          </w:p>
        </w:tc>
        <w:tc>
          <w:tcPr>
            <w:tcW w:w="135" w:type="dxa"/>
            <w:tcBorders/>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283"/>
              <w:jc w:val="left"/>
              <w:rPr/>
            </w:pPr>
            <w:r>
              <w:rPr/>
              <w:t>Total</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67,888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17</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i/>
          <w:color w:val="000000"/>
          <w:sz w:val="24"/>
        </w:rPr>
      </w:pPr>
      <w:r>
        <w:rPr>
          <w:rFonts w:ascii="Times New Roman" w:hAnsi="Times New Roman"/>
          <w:i/>
          <w:color w:val="000000"/>
          <w:sz w:val="24"/>
        </w:rPr>
        <w:t>(dollars in thousands, except per share amounts)</w:t>
      </w:r>
    </w:p>
    <w:p>
      <w:pPr>
        <w:pStyle w:val="TextBody"/>
        <w:bidi w:val="0"/>
        <w:spacing w:before="0" w:after="0"/>
        <w:jc w:val="center"/>
        <w:rPr/>
      </w:pPr>
      <w:r>
        <w:rPr/>
        <w:t> </w:t>
      </w:r>
    </w:p>
    <w:p>
      <w:pPr>
        <w:pStyle w:val="TextBody"/>
        <w:bidi w:val="0"/>
        <w:spacing w:before="0" w:after="0"/>
        <w:jc w:val="both"/>
        <w:rPr>
          <w:rFonts w:ascii="Times New Roman" w:hAnsi="Times New Roman"/>
          <w:b/>
          <w:i/>
          <w:color w:val="000000"/>
          <w:sz w:val="24"/>
        </w:rPr>
      </w:pPr>
      <w:r>
        <w:rPr>
          <w:rFonts w:ascii="Times New Roman" w:hAnsi="Times New Roman"/>
          <w:b/>
          <w:i/>
          <w:color w:val="000000"/>
          <w:sz w:val="24"/>
        </w:rPr>
        <w:t xml:space="preserve">Restricted Stock Units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RSU activity as of July 4, 2026 and changes during the six fiscal months then ended are presented below </w:t>
      </w:r>
      <w:r>
        <w:rPr>
          <w:rFonts w:ascii="Times New Roman" w:hAnsi="Times New Roman"/>
          <w:i/>
          <w:color w:val="000000"/>
          <w:sz w:val="24"/>
        </w:rPr>
        <w:t>(number of RSUs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6460" w:type="dxa"/>
        <w:jc w:val="left"/>
        <w:tblInd w:w="0" w:type="dxa"/>
        <w:tblLayout w:type="fixed"/>
        <w:tblCellMar>
          <w:top w:w="0" w:type="dxa"/>
          <w:left w:w="0" w:type="dxa"/>
          <w:bottom w:w="0" w:type="dxa"/>
          <w:right w:w="0" w:type="dxa"/>
        </w:tblCellMar>
      </w:tblPr>
      <w:tblGrid>
        <w:gridCol w:w="3080"/>
        <w:gridCol w:w="90"/>
        <w:gridCol w:w="1160"/>
        <w:gridCol w:w="185"/>
        <w:gridCol w:w="90"/>
        <w:gridCol w:w="170"/>
        <w:gridCol w:w="1550"/>
        <w:gridCol w:w="135"/>
      </w:tblGrid>
      <w:tr>
        <w:trPr/>
        <w:tc>
          <w:tcPr>
            <w:tcW w:w="30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b/>
              </w:rPr>
            </w:pPr>
            <w:r>
              <w:rPr>
                <w:b/>
              </w:rPr>
              <w:t>Weighted</w:t>
            </w:r>
          </w:p>
        </w:tc>
        <w:tc>
          <w:tcPr>
            <w:tcW w:w="13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b/>
              </w:rPr>
            </w:pPr>
            <w:r>
              <w:rPr>
                <w:b/>
              </w:rPr>
              <w:t>Average</w:t>
            </w:r>
          </w:p>
        </w:tc>
        <w:tc>
          <w:tcPr>
            <w:tcW w:w="13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b/>
              </w:rPr>
            </w:pPr>
            <w:r>
              <w:rPr>
                <w:b/>
              </w:rPr>
              <w:t>Grant-date</w:t>
            </w:r>
          </w:p>
        </w:tc>
        <w:tc>
          <w:tcPr>
            <w:tcW w:w="13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Number of</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b/>
              </w:rPr>
            </w:pPr>
            <w:r>
              <w:rPr>
                <w:b/>
              </w:rPr>
              <w:t>Fair Value per</w:t>
            </w:r>
          </w:p>
        </w:tc>
        <w:tc>
          <w:tcPr>
            <w:tcW w:w="13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RSUs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0" w:type="dxa"/>
            <w:tcBorders>
              <w:bottom w:val="single" w:sz="6" w:space="0" w:color="000000"/>
            </w:tcBorders>
            <w:tcMar>
              <w:bottom w:w="28" w:type="dxa"/>
            </w:tcMar>
            <w:vAlign w:val="center"/>
          </w:tcPr>
          <w:p>
            <w:pPr>
              <w:pStyle w:val="TableContents"/>
              <w:bidi w:val="0"/>
              <w:spacing w:before="0" w:after="283"/>
              <w:jc w:val="center"/>
              <w:rPr>
                <w:b/>
              </w:rPr>
            </w:pPr>
            <w:r>
              <w:rPr>
                <w:b/>
              </w:rPr>
              <w:t>Unit</w:t>
            </w:r>
          </w:p>
        </w:tc>
        <w:tc>
          <w:tcPr>
            <w:tcW w:w="135"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b/>
              </w:rPr>
            </w:pPr>
            <w:r>
              <w:rPr>
                <w:b/>
              </w:rPr>
              <w:t>Outstanding:</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January 1, 2026</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b/>
              </w:rPr>
            </w:pPr>
            <w:r>
              <w:rPr>
                <w:b/>
              </w:rPr>
              <w:t>3,485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550" w:type="dxa"/>
            <w:tcBorders/>
            <w:shd w:fill="CCEEFF" w:val="clear"/>
            <w:vAlign w:val="center"/>
          </w:tcPr>
          <w:p>
            <w:pPr>
              <w:pStyle w:val="TableContents"/>
              <w:bidi w:val="0"/>
              <w:spacing w:before="0" w:after="283"/>
              <w:jc w:val="right"/>
              <w:rPr>
                <w:b/>
              </w:rPr>
            </w:pPr>
            <w:r>
              <w:rPr>
                <w:b/>
              </w:rPr>
              <w:t>18.00</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b/>
              </w:rPr>
            </w:pPr>
            <w:r>
              <w:rPr>
                <w:b/>
              </w:rPr>
              <w:t>1,846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right"/>
              <w:rPr>
                <w:b/>
              </w:rPr>
            </w:pPr>
            <w:r>
              <w:rPr>
                <w:b/>
              </w:rPr>
              <w:t>33.31</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b/>
              </w:rPr>
            </w:pPr>
            <w:r>
              <w:rPr>
                <w:b/>
              </w:rPr>
              <w:t>(763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right"/>
              <w:rPr>
                <w:b/>
              </w:rPr>
            </w:pPr>
            <w:r>
              <w:rPr>
                <w:b/>
              </w:rPr>
              <w:t>19.76</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Cancelled or forfeited</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(171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right"/>
              <w:rPr>
                <w:b/>
              </w:rPr>
            </w:pPr>
            <w:r>
              <w:rPr>
                <w:b/>
              </w:rPr>
              <w:t>24.40</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Outstanding at July 4, 2026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4,397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550" w:type="dxa"/>
            <w:tcBorders/>
            <w:shd w:fill="CCEEFF" w:val="clear"/>
            <w:vAlign w:val="center"/>
          </w:tcPr>
          <w:p>
            <w:pPr>
              <w:pStyle w:val="TableContents"/>
              <w:bidi w:val="0"/>
              <w:spacing w:before="0" w:after="283"/>
              <w:jc w:val="right"/>
              <w:rPr>
                <w:b/>
              </w:rPr>
            </w:pPr>
            <w:r>
              <w:rPr>
                <w:b/>
              </w:rPr>
              <w:t>23.87</w:t>
            </w:r>
          </w:p>
        </w:tc>
        <w:tc>
          <w:tcPr>
            <w:tcW w:w="135"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Expected to vest at July 4, 2026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5,872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sz w:val="24"/>
        </w:rPr>
      </w:pPr>
      <w:r>
        <w:rPr>
          <w:rFonts w:ascii="Times New Roman" w:hAnsi="Times New Roman"/>
          <w:b/>
          <w:color w:val="000000"/>
          <w:sz w:val="24"/>
        </w:rPr>
        <w:t>*</w:t>
      </w:r>
      <w:r>
        <w:rPr>
          <w:rFonts w:ascii="Times New Roman" w:hAnsi="Times New Roman"/>
          <w:color w:val="000000"/>
          <w:sz w:val="24"/>
        </w:rPr>
        <w:t xml:space="preserve"> The number of RSUs vested includes shares that the Company withheld on behalf of employees to satisfy the statutory tax withholding requirements.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number of performance-based RSUs that are scheduled to vest increases ratably based on the achievement of defined performance and market criteria between the established target and maximum levels.  RSUs with performance-based and market-based vesting criteria are expected to vest as follows </w:t>
      </w:r>
      <w:r>
        <w:rPr>
          <w:rFonts w:ascii="Times New Roman" w:hAnsi="Times New Roman"/>
          <w:i/>
          <w:color w:val="000000"/>
          <w:sz w:val="24"/>
        </w:rPr>
        <w:t>(number of RSUs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5420" w:type="dxa"/>
        <w:jc w:val="left"/>
        <w:tblInd w:w="0" w:type="dxa"/>
        <w:tblLayout w:type="fixed"/>
        <w:tblCellMar>
          <w:top w:w="0" w:type="dxa"/>
          <w:left w:w="0" w:type="dxa"/>
          <w:bottom w:w="0" w:type="dxa"/>
          <w:right w:w="0" w:type="dxa"/>
        </w:tblCellMar>
      </w:tblPr>
      <w:tblGrid>
        <w:gridCol w:w="1580"/>
        <w:gridCol w:w="90"/>
        <w:gridCol w:w="995"/>
        <w:gridCol w:w="90"/>
        <w:gridCol w:w="90"/>
        <w:gridCol w:w="90"/>
        <w:gridCol w:w="1430"/>
        <w:gridCol w:w="90"/>
        <w:gridCol w:w="90"/>
        <w:gridCol w:w="90"/>
        <w:gridCol w:w="650"/>
        <w:gridCol w:w="135"/>
      </w:tblGrid>
      <w:tr>
        <w:trPr/>
        <w:tc>
          <w:tcPr>
            <w:tcW w:w="15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b/>
              </w:rPr>
            </w:pPr>
            <w:r>
              <w:rPr>
                <w:b/>
              </w:rPr>
              <w:t>Expected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b/>
              </w:rPr>
            </w:pPr>
            <w:r>
              <w:rPr>
                <w:b/>
              </w:rPr>
              <w:t>Not Expected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b/>
              </w:rPr>
            </w:pPr>
            <w:r>
              <w:rPr>
                <w:b/>
              </w:rPr>
              <w:t>Vesting Date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center"/>
              <w:rPr>
                <w:b/>
              </w:rPr>
            </w:pPr>
            <w:r>
              <w:rPr>
                <w:b/>
              </w:rPr>
              <w:t>to Vest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30" w:type="dxa"/>
            <w:tcBorders>
              <w:bottom w:val="single" w:sz="6" w:space="0" w:color="000000"/>
            </w:tcBorders>
            <w:tcMar>
              <w:bottom w:w="28" w:type="dxa"/>
            </w:tcMar>
            <w:vAlign w:val="center"/>
          </w:tcPr>
          <w:p>
            <w:pPr>
              <w:pStyle w:val="TableContents"/>
              <w:bidi w:val="0"/>
              <w:spacing w:before="0" w:after="283"/>
              <w:jc w:val="center"/>
              <w:rPr>
                <w:b/>
              </w:rPr>
            </w:pPr>
            <w:r>
              <w:rPr>
                <w:b/>
              </w:rPr>
              <w:t>to Vest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650" w:type="dxa"/>
            <w:tcBorders>
              <w:bottom w:val="single" w:sz="6" w:space="0" w:color="000000"/>
            </w:tcBorders>
            <w:tcMar>
              <w:bottom w:w="28" w:type="dxa"/>
            </w:tcMar>
            <w:vAlign w:val="center"/>
          </w:tcPr>
          <w:p>
            <w:pPr>
              <w:pStyle w:val="TableContents"/>
              <w:bidi w:val="0"/>
              <w:spacing w:before="0" w:after="283"/>
              <w:jc w:val="center"/>
              <w:rPr>
                <w:b/>
              </w:rPr>
            </w:pPr>
            <w:r>
              <w:rPr>
                <w:b/>
              </w:rPr>
              <w:t xml:space="preserve">Total </w:t>
            </w:r>
          </w:p>
        </w:tc>
        <w:tc>
          <w:tcPr>
            <w:tcW w:w="13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center"/>
              <w:rPr/>
            </w:pPr>
            <w:r>
              <w:rPr/>
              <w:t>January 1, 2027</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877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877</w:t>
            </w:r>
          </w:p>
        </w:tc>
        <w:tc>
          <w:tcPr>
            <w:tcW w:w="13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January 1, 2028</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1,484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1,484</w:t>
            </w:r>
          </w:p>
        </w:tc>
        <w:tc>
          <w:tcPr>
            <w:tcW w:w="13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center"/>
              <w:rPr/>
            </w:pPr>
            <w:r>
              <w:rPr/>
              <w:t>January 1, 2029</w:t>
            </w:r>
          </w:p>
        </w:tc>
        <w:tc>
          <w:tcPr>
            <w:tcW w:w="90"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1,535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1,535</w:t>
            </w:r>
          </w:p>
        </w:tc>
        <w:tc>
          <w:tcPr>
            <w:tcW w:w="13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March 1, 2029</w:t>
            </w:r>
          </w:p>
        </w:tc>
        <w:tc>
          <w:tcPr>
            <w:tcW w:w="9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175</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i/>
          <w:color w:val="000000"/>
          <w:sz w:val="24"/>
        </w:rPr>
        <w:t>Phantom Stock Units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following table summarizes the Company's phantom stock units activity </w:t>
      </w:r>
      <w:r>
        <w:rPr>
          <w:rFonts w:ascii="Times New Roman" w:hAnsi="Times New Roman"/>
          <w:i/>
          <w:color w:val="000000"/>
          <w:sz w:val="24"/>
        </w:rPr>
        <w:t>(number of phantom stock units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6005" w:type="dxa"/>
        <w:jc w:val="left"/>
        <w:tblInd w:w="0" w:type="dxa"/>
        <w:tblLayout w:type="fixed"/>
        <w:tblCellMar>
          <w:top w:w="0" w:type="dxa"/>
          <w:left w:w="0" w:type="dxa"/>
          <w:bottom w:w="0" w:type="dxa"/>
          <w:right w:w="0" w:type="dxa"/>
        </w:tblCellMar>
      </w:tblPr>
      <w:tblGrid>
        <w:gridCol w:w="2720"/>
        <w:gridCol w:w="90"/>
        <w:gridCol w:w="1160"/>
        <w:gridCol w:w="90"/>
        <w:gridCol w:w="90"/>
        <w:gridCol w:w="170"/>
        <w:gridCol w:w="1550"/>
        <w:gridCol w:w="135"/>
      </w:tblGrid>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b/>
              </w:rPr>
            </w:pPr>
            <w:r>
              <w:rPr>
                <w:b/>
              </w:rPr>
              <w:t>Grant-date</w:t>
            </w:r>
          </w:p>
        </w:tc>
        <w:tc>
          <w:tcPr>
            <w:tcW w:w="13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rPr>
            </w:pPr>
            <w:r>
              <w:rPr>
                <w:b/>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b/>
              </w:rPr>
            </w:pPr>
            <w:r>
              <w:rPr>
                <w:b/>
              </w:rPr>
              <w:t>Fair Value per</w:t>
            </w:r>
          </w:p>
        </w:tc>
        <w:tc>
          <w:tcPr>
            <w:tcW w:w="13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units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50" w:type="dxa"/>
            <w:tcBorders>
              <w:bottom w:val="single" w:sz="6" w:space="0" w:color="000000"/>
            </w:tcBorders>
            <w:tcMar>
              <w:bottom w:w="28" w:type="dxa"/>
            </w:tcMar>
            <w:vAlign w:val="center"/>
          </w:tcPr>
          <w:p>
            <w:pPr>
              <w:pStyle w:val="TableContents"/>
              <w:bidi w:val="0"/>
              <w:spacing w:before="0" w:after="283"/>
              <w:jc w:val="center"/>
              <w:rPr>
                <w:b/>
              </w:rPr>
            </w:pPr>
            <w:r>
              <w:rPr>
                <w:b/>
              </w:rPr>
              <w:t>Unit</w:t>
            </w:r>
          </w:p>
        </w:tc>
        <w:tc>
          <w:tcPr>
            <w:tcW w:w="135"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b/>
              </w:rPr>
            </w:pPr>
            <w:r>
              <w:rPr>
                <w:b/>
              </w:rPr>
              <w:t>Outstanding:</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January 1, 2026</w:t>
            </w:r>
          </w:p>
        </w:tc>
        <w:tc>
          <w:tcPr>
            <w:tcW w:w="9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b/>
              </w:rPr>
            </w:pPr>
            <w:r>
              <w:rPr>
                <w:b/>
              </w:rPr>
              <w:t>136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b/>
              </w:rPr>
            </w:pPr>
            <w:r>
              <w:rPr>
                <w:b/>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50" w:type="dxa"/>
            <w:tcBorders/>
            <w:vAlign w:val="center"/>
          </w:tcPr>
          <w:p>
            <w:pPr>
              <w:pStyle w:val="TableContents"/>
              <w:bidi w:val="0"/>
              <w:spacing w:before="0" w:after="283"/>
              <w:jc w:val="right"/>
              <w:rPr>
                <w:b/>
              </w:rPr>
            </w:pPr>
            <w:r>
              <w:rPr>
                <w:b/>
              </w:rPr>
              <w:t>15.29</w:t>
            </w:r>
          </w:p>
        </w:tc>
        <w:tc>
          <w:tcPr>
            <w:tcW w:w="135" w:type="dxa"/>
            <w:tcBorders/>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283"/>
              <w:jc w:val="left"/>
              <w:rPr/>
            </w:pPr>
            <w:r>
              <w:rPr/>
              <w:t>Dividend equivalents issued</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5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Outstanding at July 4, 2026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60" w:type="dxa"/>
            <w:tcBorders>
              <w:bottom w:val="double" w:sz="6" w:space="0" w:color="000000"/>
            </w:tcBorders>
            <w:tcMar>
              <w:bottom w:w="28" w:type="dxa"/>
            </w:tcMar>
            <w:vAlign w:val="center"/>
          </w:tcPr>
          <w:p>
            <w:pPr>
              <w:pStyle w:val="TableContents"/>
              <w:bidi w:val="0"/>
              <w:spacing w:before="0" w:after="283"/>
              <w:jc w:val="right"/>
              <w:rPr>
                <w:b/>
              </w:rPr>
            </w:pPr>
            <w:r>
              <w:rPr>
                <w:b/>
              </w:rPr>
              <w:t>142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18</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10 – Segment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following tables set forth reportable business segment information:</w:t>
      </w:r>
      <w:r>
        <w:rPr>
          <w:rFonts w:ascii="Times New Roman" w:hAnsi="Times New Roman"/>
          <w:sz w:val="24"/>
        </w:rPr>
        <w:t xml:space="preserve"> </w:t>
      </w:r>
    </w:p>
    <w:p>
      <w:pPr>
        <w:pStyle w:val="TextBody"/>
        <w:bidi w:val="0"/>
        <w:spacing w:before="0" w:after="0"/>
        <w:jc w:val="both"/>
        <w:rPr/>
      </w:pPr>
      <w:r>
        <w:rPr/>
        <w:t xml:space="preserve">  </w:t>
      </w:r>
    </w:p>
    <w:tbl>
      <w:tblPr>
        <w:tblW w:w="12980" w:type="dxa"/>
        <w:jc w:val="left"/>
        <w:tblInd w:w="0" w:type="dxa"/>
        <w:tblLayout w:type="fixed"/>
        <w:tblCellMar>
          <w:top w:w="0" w:type="dxa"/>
          <w:left w:w="0" w:type="dxa"/>
          <w:bottom w:w="0" w:type="dxa"/>
          <w:right w:w="0" w:type="dxa"/>
        </w:tblCellMar>
      </w:tblPr>
      <w:tblGrid>
        <w:gridCol w:w="1280"/>
        <w:gridCol w:w="170"/>
        <w:gridCol w:w="1160"/>
        <w:gridCol w:w="185"/>
        <w:gridCol w:w="90"/>
        <w:gridCol w:w="170"/>
        <w:gridCol w:w="830"/>
        <w:gridCol w:w="90"/>
        <w:gridCol w:w="90"/>
        <w:gridCol w:w="170"/>
        <w:gridCol w:w="1535"/>
        <w:gridCol w:w="90"/>
        <w:gridCol w:w="90"/>
        <w:gridCol w:w="170"/>
        <w:gridCol w:w="965"/>
        <w:gridCol w:w="90"/>
        <w:gridCol w:w="90"/>
        <w:gridCol w:w="170"/>
        <w:gridCol w:w="1040"/>
        <w:gridCol w:w="90"/>
        <w:gridCol w:w="90"/>
        <w:gridCol w:w="170"/>
        <w:gridCol w:w="1160"/>
        <w:gridCol w:w="90"/>
        <w:gridCol w:w="90"/>
        <w:gridCol w:w="170"/>
        <w:gridCol w:w="1115"/>
        <w:gridCol w:w="125"/>
        <w:gridCol w:w="90"/>
        <w:gridCol w:w="170"/>
        <w:gridCol w:w="1010"/>
        <w:gridCol w:w="135"/>
      </w:tblGrid>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116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535" w:type="dxa"/>
            <w:tcBorders/>
            <w:vAlign w:val="center"/>
          </w:tcPr>
          <w:p>
            <w:pPr>
              <w:pStyle w:val="TableContents"/>
              <w:bidi w:val="0"/>
              <w:spacing w:before="0" w:after="283"/>
              <w:jc w:val="center"/>
              <w:rPr>
                <w:b/>
              </w:rPr>
            </w:pPr>
            <w:r>
              <w:rPr>
                <w:b/>
              </w:rPr>
              <w:t>Optoelectronic</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96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115" w:type="dxa"/>
            <w:tcBorders/>
            <w:vAlign w:val="center"/>
          </w:tcPr>
          <w:p>
            <w:pPr>
              <w:pStyle w:val="TableContents"/>
              <w:bidi w:val="0"/>
              <w:spacing w:before="0" w:after="283"/>
              <w:jc w:val="center"/>
              <w:rPr>
                <w:b/>
              </w:rPr>
            </w:pPr>
            <w:r>
              <w:rPr>
                <w:b/>
              </w:rPr>
              <w:t>Corporate/</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1010" w:type="dxa"/>
            <w:tcBorders/>
            <w:vAlign w:val="center"/>
          </w:tcPr>
          <w:p>
            <w:pPr>
              <w:pStyle w:val="TableContents"/>
              <w:bidi w:val="0"/>
              <w:spacing w:before="0" w:after="283"/>
              <w:jc w:val="center"/>
              <w:rPr/>
            </w:pPr>
            <w:r>
              <w:rPr/>
              <w:t> </w:t>
            </w:r>
          </w:p>
        </w:tc>
        <w:tc>
          <w:tcPr>
            <w:tcW w:w="135" w:type="dxa"/>
            <w:tcBorders/>
            <w:vAlign w:val="center"/>
          </w:tcPr>
          <w:p>
            <w:pPr>
              <w:pStyle w:val="TableContents"/>
              <w:bidi w:val="0"/>
              <w:spacing w:before="0" w:after="283"/>
              <w:jc w:val="center"/>
              <w:rPr/>
            </w:pPr>
            <w:r>
              <w:rPr/>
              <w:t> </w:t>
            </w:r>
          </w:p>
        </w:tc>
      </w:tr>
      <w:tr>
        <w:trPr/>
        <w:tc>
          <w:tcPr>
            <w:tcW w:w="128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MOSFETs</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Diodes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535" w:type="dxa"/>
            <w:tcBorders>
              <w:bottom w:val="single" w:sz="6" w:space="0" w:color="000000"/>
            </w:tcBorders>
            <w:tcMar>
              <w:bottom w:w="28" w:type="dxa"/>
            </w:tcMar>
            <w:vAlign w:val="center"/>
          </w:tcPr>
          <w:p>
            <w:pPr>
              <w:pStyle w:val="TableContents"/>
              <w:bidi w:val="0"/>
              <w:spacing w:before="0" w:after="283"/>
              <w:jc w:val="center"/>
              <w:rPr>
                <w:b/>
              </w:rPr>
            </w:pPr>
            <w:r>
              <w:rPr>
                <w:b/>
              </w:rPr>
              <w:t>Components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b/>
              </w:rPr>
            </w:pPr>
            <w:r>
              <w:rPr>
                <w:b/>
              </w:rPr>
              <w:t>Resistors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b/>
              </w:rPr>
            </w:pPr>
            <w:r>
              <w:rPr>
                <w:b/>
              </w:rPr>
              <w:t>Inductors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Capacitors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center"/>
              <w:rPr/>
            </w:pPr>
            <w:r>
              <w:rPr/>
              <w:t> </w:t>
            </w:r>
          </w:p>
        </w:tc>
      </w:tr>
      <w:tr>
        <w:trPr/>
        <w:tc>
          <w:tcPr>
            <w:tcW w:w="1280" w:type="dxa"/>
            <w:tcBorders/>
            <w:vAlign w:val="center"/>
          </w:tcPr>
          <w:p>
            <w:pPr>
              <w:pStyle w:val="TableContents"/>
              <w:bidi w:val="0"/>
              <w:spacing w:before="0" w:after="283"/>
              <w:jc w:val="left"/>
              <w:rPr>
                <w:u w:val="single"/>
              </w:rPr>
            </w:pPr>
            <w:r>
              <w:rPr>
                <w:u w:val="single"/>
              </w:rPr>
              <w:t>Fiscal quarter ended July 4, 2026:</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188,926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186,965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535" w:type="dxa"/>
            <w:tcBorders/>
            <w:shd w:fill="CCEEFF" w:val="clear"/>
            <w:vAlign w:val="center"/>
          </w:tcPr>
          <w:p>
            <w:pPr>
              <w:pStyle w:val="TableContents"/>
              <w:bidi w:val="0"/>
              <w:spacing w:before="0" w:after="283"/>
              <w:jc w:val="right"/>
              <w:rPr>
                <w:b/>
              </w:rPr>
            </w:pPr>
            <w:r>
              <w:rPr>
                <w:b/>
              </w:rPr>
              <w:t>70,076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65" w:type="dxa"/>
            <w:tcBorders/>
            <w:shd w:fill="CCEEFF" w:val="clear"/>
            <w:vAlign w:val="center"/>
          </w:tcPr>
          <w:p>
            <w:pPr>
              <w:pStyle w:val="TableContents"/>
              <w:bidi w:val="0"/>
              <w:spacing w:before="0" w:after="283"/>
              <w:jc w:val="right"/>
              <w:rPr>
                <w:b/>
              </w:rPr>
            </w:pPr>
            <w:r>
              <w:rPr>
                <w:b/>
              </w:rPr>
              <w:t>215,028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40" w:type="dxa"/>
            <w:tcBorders/>
            <w:shd w:fill="CCEEFF" w:val="clear"/>
            <w:vAlign w:val="center"/>
          </w:tcPr>
          <w:p>
            <w:pPr>
              <w:pStyle w:val="TableContents"/>
              <w:bidi w:val="0"/>
              <w:spacing w:before="0" w:after="283"/>
              <w:jc w:val="right"/>
              <w:rPr>
                <w:b/>
              </w:rPr>
            </w:pPr>
            <w:r>
              <w:rPr>
                <w:b/>
              </w:rPr>
              <w:t>104,189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153,399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15" w:type="dxa"/>
            <w:tcBorders/>
            <w:shd w:fill="CCEEFF" w:val="clear"/>
            <w:vAlign w:val="center"/>
          </w:tcPr>
          <w:p>
            <w:pPr>
              <w:pStyle w:val="TableContents"/>
              <w:bidi w:val="0"/>
              <w:spacing w:before="0" w:after="283"/>
              <w:jc w:val="right"/>
              <w:rPr>
                <w:b/>
              </w:rPr>
            </w:pPr>
            <w:r>
              <w:rPr>
                <w:b/>
              </w:rPr>
              <w:t>(30,008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888,575</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Cost of products sold (excluding depreciation)</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148,666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129,512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535" w:type="dxa"/>
            <w:tcBorders/>
            <w:shd w:fill="CCEEFF" w:val="clear"/>
            <w:vAlign w:val="center"/>
          </w:tcPr>
          <w:p>
            <w:pPr>
              <w:pStyle w:val="TableContents"/>
              <w:bidi w:val="0"/>
              <w:spacing w:before="0" w:after="283"/>
              <w:jc w:val="right"/>
              <w:rPr>
                <w:b/>
              </w:rPr>
            </w:pPr>
            <w:r>
              <w:rPr>
                <w:b/>
              </w:rPr>
              <w:t>50,262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65" w:type="dxa"/>
            <w:tcBorders/>
            <w:shd w:fill="CCEEFF" w:val="clear"/>
            <w:vAlign w:val="center"/>
          </w:tcPr>
          <w:p>
            <w:pPr>
              <w:pStyle w:val="TableContents"/>
              <w:bidi w:val="0"/>
              <w:spacing w:before="0" w:after="283"/>
              <w:jc w:val="right"/>
              <w:rPr>
                <w:b/>
              </w:rPr>
            </w:pPr>
            <w:r>
              <w:rPr>
                <w:b/>
              </w:rPr>
              <w:t>156,530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40" w:type="dxa"/>
            <w:tcBorders/>
            <w:shd w:fill="CCEEFF" w:val="clear"/>
            <w:vAlign w:val="center"/>
          </w:tcPr>
          <w:p>
            <w:pPr>
              <w:pStyle w:val="TableContents"/>
              <w:bidi w:val="0"/>
              <w:spacing w:before="0" w:after="283"/>
              <w:jc w:val="right"/>
              <w:rPr>
                <w:b/>
              </w:rPr>
            </w:pPr>
            <w:r>
              <w:rPr>
                <w:b/>
              </w:rPr>
              <w:t>67,788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109,279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15" w:type="dxa"/>
            <w:tcBorders/>
            <w:shd w:fill="CCEEFF" w:val="clear"/>
            <w:vAlign w:val="center"/>
          </w:tcPr>
          <w:p>
            <w:pPr>
              <w:pStyle w:val="TableContents"/>
              <w:bidi w:val="0"/>
              <w:spacing w:before="0" w:after="283"/>
              <w:jc w:val="right"/>
              <w:rPr>
                <w:b/>
              </w:rPr>
            </w:pPr>
            <w:r>
              <w:rPr>
                <w:b/>
              </w:rPr>
              <w:t>(30,008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632,029</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Depreciation expense in costs of products sold</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14,121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b/>
              </w:rPr>
            </w:pPr>
            <w:r>
              <w:rPr>
                <w:b/>
              </w:rPr>
              <w:t>11,750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b/>
              </w:rPr>
            </w:pPr>
            <w:r>
              <w:rPr>
                <w:b/>
              </w:rPr>
              <w:t>3,835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b/>
              </w:rPr>
            </w:pPr>
            <w:r>
              <w:rPr>
                <w:b/>
              </w:rPr>
              <w:t>11,013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right"/>
              <w:rPr>
                <w:b/>
              </w:rPr>
            </w:pPr>
            <w:r>
              <w:rPr>
                <w:b/>
              </w:rPr>
              <w:t>4,025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4,420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b/>
              </w:rPr>
            </w:pPr>
            <w:r>
              <w:rPr>
                <w:b/>
              </w:rPr>
              <w:t>49,164</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costs of products sold</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162,787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141,262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3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54,097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167,543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71,813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113,699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(30,008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681,193</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Gross profit</w:t>
            </w:r>
          </w:p>
        </w:tc>
        <w:tc>
          <w:tcPr>
            <w:tcW w:w="170" w:type="dxa"/>
            <w:tcBorders/>
            <w:vAlign w:val="center"/>
          </w:tcPr>
          <w:p>
            <w:pPr>
              <w:pStyle w:val="TableContents"/>
              <w:bidi w:val="0"/>
              <w:spacing w:before="0" w:after="283"/>
              <w:jc w:val="left"/>
              <w:rPr>
                <w:b/>
              </w:rPr>
            </w:pPr>
            <w:r>
              <w:rPr>
                <w:b/>
              </w:rPr>
              <w:t>$</w:t>
            </w:r>
          </w:p>
        </w:tc>
        <w:tc>
          <w:tcPr>
            <w:tcW w:w="1160" w:type="dxa"/>
            <w:tcBorders/>
            <w:vAlign w:val="center"/>
          </w:tcPr>
          <w:p>
            <w:pPr>
              <w:pStyle w:val="TableContents"/>
              <w:bidi w:val="0"/>
              <w:spacing w:before="0" w:after="283"/>
              <w:jc w:val="right"/>
              <w:rPr>
                <w:b/>
              </w:rPr>
            </w:pPr>
            <w:r>
              <w:rPr>
                <w:b/>
              </w:rPr>
              <w:t>26,139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45,703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35" w:type="dxa"/>
            <w:tcBorders/>
            <w:vAlign w:val="center"/>
          </w:tcPr>
          <w:p>
            <w:pPr>
              <w:pStyle w:val="TableContents"/>
              <w:bidi w:val="0"/>
              <w:spacing w:before="0" w:after="283"/>
              <w:jc w:val="right"/>
              <w:rPr>
                <w:b/>
              </w:rPr>
            </w:pPr>
            <w:r>
              <w:rPr>
                <w:b/>
              </w:rPr>
              <w:t>15,979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65" w:type="dxa"/>
            <w:tcBorders/>
            <w:vAlign w:val="center"/>
          </w:tcPr>
          <w:p>
            <w:pPr>
              <w:pStyle w:val="TableContents"/>
              <w:bidi w:val="0"/>
              <w:spacing w:before="0" w:after="283"/>
              <w:jc w:val="right"/>
              <w:rPr>
                <w:b/>
              </w:rPr>
            </w:pPr>
            <w:r>
              <w:rPr>
                <w:b/>
              </w:rPr>
              <w:t>47,485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40" w:type="dxa"/>
            <w:tcBorders/>
            <w:vAlign w:val="center"/>
          </w:tcPr>
          <w:p>
            <w:pPr>
              <w:pStyle w:val="TableContents"/>
              <w:bidi w:val="0"/>
              <w:spacing w:before="0" w:after="283"/>
              <w:jc w:val="right"/>
              <w:rPr>
                <w:b/>
              </w:rPr>
            </w:pPr>
            <w:r>
              <w:rPr>
                <w:b/>
              </w:rPr>
              <w:t>32,376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60" w:type="dxa"/>
            <w:tcBorders/>
            <w:vAlign w:val="center"/>
          </w:tcPr>
          <w:p>
            <w:pPr>
              <w:pStyle w:val="TableContents"/>
              <w:bidi w:val="0"/>
              <w:spacing w:before="0" w:after="283"/>
              <w:jc w:val="right"/>
              <w:rPr>
                <w:b/>
              </w:rPr>
            </w:pPr>
            <w:r>
              <w:rPr>
                <w:b/>
              </w:rPr>
              <w:t>39,700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1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207,382</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Segment operating expenses</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23,587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6" w:space="0" w:color="000000"/>
            </w:tcBorders>
            <w:tcMar>
              <w:bottom w:w="28" w:type="dxa"/>
            </w:tcMar>
            <w:vAlign w:val="center"/>
          </w:tcPr>
          <w:p>
            <w:pPr>
              <w:pStyle w:val="TableContents"/>
              <w:bidi w:val="0"/>
              <w:spacing w:before="0" w:after="283"/>
              <w:jc w:val="right"/>
              <w:rPr>
                <w:b/>
              </w:rPr>
            </w:pPr>
            <w:r>
              <w:rPr>
                <w:b/>
              </w:rPr>
              <w:t>9,008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535" w:type="dxa"/>
            <w:tcBorders>
              <w:bottom w:val="single" w:sz="6" w:space="0" w:color="000000"/>
            </w:tcBorders>
            <w:tcMar>
              <w:bottom w:w="28" w:type="dxa"/>
            </w:tcMar>
            <w:vAlign w:val="center"/>
          </w:tcPr>
          <w:p>
            <w:pPr>
              <w:pStyle w:val="TableContents"/>
              <w:bidi w:val="0"/>
              <w:spacing w:before="0" w:after="283"/>
              <w:jc w:val="right"/>
              <w:rPr>
                <w:b/>
              </w:rPr>
            </w:pPr>
            <w:r>
              <w:rPr>
                <w:b/>
              </w:rPr>
              <w:t>6,460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965" w:type="dxa"/>
            <w:tcBorders>
              <w:bottom w:val="single" w:sz="6" w:space="0" w:color="000000"/>
            </w:tcBorders>
            <w:tcMar>
              <w:bottom w:w="28" w:type="dxa"/>
            </w:tcMar>
            <w:vAlign w:val="center"/>
          </w:tcPr>
          <w:p>
            <w:pPr>
              <w:pStyle w:val="TableContents"/>
              <w:bidi w:val="0"/>
              <w:spacing w:before="0" w:after="283"/>
              <w:jc w:val="right"/>
              <w:rPr>
                <w:b/>
              </w:rPr>
            </w:pPr>
            <w:r>
              <w:rPr>
                <w:b/>
              </w:rPr>
              <w:t>10,757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040" w:type="dxa"/>
            <w:tcBorders>
              <w:bottom w:val="single" w:sz="6" w:space="0" w:color="000000"/>
            </w:tcBorders>
            <w:tcMar>
              <w:bottom w:w="28" w:type="dxa"/>
            </w:tcMar>
            <w:vAlign w:val="center"/>
          </w:tcPr>
          <w:p>
            <w:pPr>
              <w:pStyle w:val="TableContents"/>
              <w:bidi w:val="0"/>
              <w:spacing w:before="0" w:after="283"/>
              <w:jc w:val="right"/>
              <w:rPr>
                <w:b/>
              </w:rPr>
            </w:pPr>
            <w:r>
              <w:rPr>
                <w:b/>
              </w:rPr>
              <w:t>4,129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6,891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115"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6" w:space="0" w:color="000000"/>
            </w:tcBorders>
            <w:tcMar>
              <w:bottom w:w="28" w:type="dxa"/>
            </w:tcMar>
            <w:vAlign w:val="center"/>
          </w:tcPr>
          <w:p>
            <w:pPr>
              <w:pStyle w:val="TableContents"/>
              <w:bidi w:val="0"/>
              <w:spacing w:before="0" w:after="283"/>
              <w:jc w:val="right"/>
              <w:rPr>
                <w:b/>
              </w:rPr>
            </w:pPr>
            <w:r>
              <w:rPr>
                <w:b/>
              </w:rPr>
              <w:t>60,832</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Segment operating income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36,695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9,519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36,728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28,247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32,809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146,550</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depreciation expense</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14,926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12,101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535" w:type="dxa"/>
            <w:tcBorders/>
            <w:shd w:fill="CCEEFF" w:val="clear"/>
            <w:vAlign w:val="center"/>
          </w:tcPr>
          <w:p>
            <w:pPr>
              <w:pStyle w:val="TableContents"/>
              <w:bidi w:val="0"/>
              <w:spacing w:before="0" w:after="283"/>
              <w:jc w:val="right"/>
              <w:rPr>
                <w:b/>
              </w:rPr>
            </w:pPr>
            <w:r>
              <w:rPr>
                <w:b/>
              </w:rPr>
              <w:t>3,945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65" w:type="dxa"/>
            <w:tcBorders/>
            <w:shd w:fill="CCEEFF" w:val="clear"/>
            <w:vAlign w:val="center"/>
          </w:tcPr>
          <w:p>
            <w:pPr>
              <w:pStyle w:val="TableContents"/>
              <w:bidi w:val="0"/>
              <w:spacing w:before="0" w:after="283"/>
              <w:jc w:val="right"/>
              <w:rPr>
                <w:b/>
              </w:rPr>
            </w:pPr>
            <w:r>
              <w:rPr>
                <w:b/>
              </w:rPr>
              <w:t>11,190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40" w:type="dxa"/>
            <w:tcBorders/>
            <w:shd w:fill="CCEEFF" w:val="clear"/>
            <w:vAlign w:val="center"/>
          </w:tcPr>
          <w:p>
            <w:pPr>
              <w:pStyle w:val="TableContents"/>
              <w:bidi w:val="0"/>
              <w:spacing w:before="0" w:after="283"/>
              <w:jc w:val="right"/>
              <w:rPr>
                <w:b/>
              </w:rPr>
            </w:pPr>
            <w:r>
              <w:rPr>
                <w:b/>
              </w:rPr>
              <w:t>4,117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4,469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15" w:type="dxa"/>
            <w:tcBorders/>
            <w:shd w:fill="CCEEFF" w:val="clear"/>
            <w:vAlign w:val="center"/>
          </w:tcPr>
          <w:p>
            <w:pPr>
              <w:pStyle w:val="TableContents"/>
              <w:bidi w:val="0"/>
              <w:spacing w:before="0" w:after="283"/>
              <w:jc w:val="right"/>
              <w:rPr>
                <w:b/>
              </w:rPr>
            </w:pPr>
            <w:r>
              <w:rPr>
                <w:b/>
              </w:rPr>
              <w:t>2,097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52,845</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Capital expenditures</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b/>
              </w:rPr>
            </w:pPr>
            <w:r>
              <w:rPr>
                <w:b/>
              </w:rPr>
              <w:t>77,696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4,835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b/>
              </w:rPr>
            </w:pPr>
            <w:r>
              <w:rPr>
                <w:b/>
              </w:rPr>
              <w:t>787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b/>
              </w:rPr>
            </w:pPr>
            <w:r>
              <w:rPr>
                <w:b/>
              </w:rPr>
              <w:t>4,052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rPr>
            </w:pPr>
            <w:r>
              <w:rPr>
                <w:b/>
              </w:rPr>
              <w:t>1,977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b/>
              </w:rPr>
            </w:pPr>
            <w:r>
              <w:rPr>
                <w:b/>
              </w:rPr>
              <w:t>4,791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b/>
              </w:rPr>
            </w:pPr>
            <w:r>
              <w:rPr>
                <w:b/>
              </w:rPr>
              <w:t>1,063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95,201</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Total assets as of July 4, 2026:</w:t>
            </w:r>
          </w:p>
        </w:tc>
        <w:tc>
          <w:tcPr>
            <w:tcW w:w="170" w:type="dxa"/>
            <w:tcBorders/>
            <w:vAlign w:val="center"/>
          </w:tcPr>
          <w:p>
            <w:pPr>
              <w:pStyle w:val="TableContents"/>
              <w:bidi w:val="0"/>
              <w:spacing w:before="0" w:after="283"/>
              <w:jc w:val="left"/>
              <w:rPr>
                <w:b/>
              </w:rPr>
            </w:pPr>
            <w:r>
              <w:rPr>
                <w:b/>
              </w:rPr>
              <w:t>$</w:t>
            </w:r>
          </w:p>
        </w:tc>
        <w:tc>
          <w:tcPr>
            <w:tcW w:w="1160" w:type="dxa"/>
            <w:tcBorders/>
            <w:vAlign w:val="center"/>
          </w:tcPr>
          <w:p>
            <w:pPr>
              <w:pStyle w:val="TableContents"/>
              <w:bidi w:val="0"/>
              <w:spacing w:before="0" w:after="283"/>
              <w:jc w:val="right"/>
              <w:rPr>
                <w:b/>
              </w:rPr>
            </w:pPr>
            <w:r>
              <w:rPr>
                <w:b/>
              </w:rPr>
              <w:t>1,298,043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712,059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35" w:type="dxa"/>
            <w:tcBorders/>
            <w:vAlign w:val="center"/>
          </w:tcPr>
          <w:p>
            <w:pPr>
              <w:pStyle w:val="TableContents"/>
              <w:bidi w:val="0"/>
              <w:spacing w:before="0" w:after="283"/>
              <w:jc w:val="right"/>
              <w:rPr>
                <w:b/>
              </w:rPr>
            </w:pPr>
            <w:r>
              <w:rPr>
                <w:b/>
              </w:rPr>
              <w:t>351,750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65" w:type="dxa"/>
            <w:tcBorders/>
            <w:vAlign w:val="center"/>
          </w:tcPr>
          <w:p>
            <w:pPr>
              <w:pStyle w:val="TableContents"/>
              <w:bidi w:val="0"/>
              <w:spacing w:before="0" w:after="283"/>
              <w:jc w:val="right"/>
              <w:rPr>
                <w:b/>
              </w:rPr>
            </w:pPr>
            <w:r>
              <w:rPr>
                <w:b/>
              </w:rPr>
              <w:t>907,412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40" w:type="dxa"/>
            <w:tcBorders/>
            <w:vAlign w:val="center"/>
          </w:tcPr>
          <w:p>
            <w:pPr>
              <w:pStyle w:val="TableContents"/>
              <w:bidi w:val="0"/>
              <w:spacing w:before="0" w:after="283"/>
              <w:jc w:val="right"/>
              <w:rPr>
                <w:b/>
              </w:rPr>
            </w:pPr>
            <w:r>
              <w:rPr>
                <w:b/>
              </w:rPr>
              <w:t>309,329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60" w:type="dxa"/>
            <w:tcBorders/>
            <w:vAlign w:val="center"/>
          </w:tcPr>
          <w:p>
            <w:pPr>
              <w:pStyle w:val="TableContents"/>
              <w:bidi w:val="0"/>
              <w:spacing w:before="0" w:after="283"/>
              <w:jc w:val="right"/>
              <w:rPr>
                <w:b/>
              </w:rPr>
            </w:pPr>
            <w:r>
              <w:rPr>
                <w:b/>
              </w:rPr>
              <w:t>510,983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15" w:type="dxa"/>
            <w:tcBorders/>
            <w:vAlign w:val="center"/>
          </w:tcPr>
          <w:p>
            <w:pPr>
              <w:pStyle w:val="TableContents"/>
              <w:bidi w:val="0"/>
              <w:spacing w:before="0" w:after="283"/>
              <w:jc w:val="right"/>
              <w:rPr>
                <w:b/>
              </w:rPr>
            </w:pPr>
            <w:r>
              <w:rPr>
                <w:b/>
              </w:rPr>
              <w:t>1,066,790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5,156,366</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u w:val="single"/>
              </w:rPr>
            </w:pPr>
            <w:r>
              <w:rPr>
                <w:u w:val="single"/>
              </w:rPr>
              <w:t>Fiscal quarter ended June 28, 2025:</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148,633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147,942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54,119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194,769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95,675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121,112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762,250</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Cost of products sold (excluding depreciation)</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125,546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106,770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37,596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139,330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64,594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90,643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564,479</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Depreciation expense in cost of products sold</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pPr>
            <w:r>
              <w:rPr/>
              <w:t>13,708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11,634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3,965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pPr>
            <w:r>
              <w:rPr/>
              <w:t>11,109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right"/>
              <w:rPr/>
            </w:pPr>
            <w:r>
              <w:rPr/>
              <w:t>4,245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pPr>
            <w:r>
              <w:rPr/>
              <w:t>4,427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49,088</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cost of products sold</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pPr>
            <w:r>
              <w:rPr/>
              <w:t>139,254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118,404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single" w:sz="6" w:space="0" w:color="000000"/>
            </w:tcBorders>
            <w:shd w:fill="CCEEFF" w:val="clear"/>
            <w:tcMar>
              <w:bottom w:w="28" w:type="dxa"/>
            </w:tcMar>
            <w:vAlign w:val="center"/>
          </w:tcPr>
          <w:p>
            <w:pPr>
              <w:pStyle w:val="TableContents"/>
              <w:bidi w:val="0"/>
              <w:spacing w:before="0" w:after="283"/>
              <w:jc w:val="right"/>
              <w:rPr/>
            </w:pPr>
            <w:r>
              <w:rPr/>
              <w:t>41,561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pPr>
            <w:r>
              <w:rPr/>
              <w:t>150,439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shd w:fill="CCEEFF" w:val="clear"/>
            <w:tcMar>
              <w:bottom w:w="28" w:type="dxa"/>
            </w:tcMar>
            <w:vAlign w:val="center"/>
          </w:tcPr>
          <w:p>
            <w:pPr>
              <w:pStyle w:val="TableContents"/>
              <w:bidi w:val="0"/>
              <w:spacing w:before="0" w:after="283"/>
              <w:jc w:val="right"/>
              <w:rPr/>
            </w:pPr>
            <w:r>
              <w:rPr/>
              <w:t>68,839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pPr>
            <w:r>
              <w:rPr/>
              <w:t>95,070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613,567</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Gross profit</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9,379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29,538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12,558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44,330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26,836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26,042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148,683</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Segment operating expenses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160" w:type="dxa"/>
            <w:tcBorders>
              <w:bottom w:val="single" w:sz="6" w:space="0" w:color="000000"/>
            </w:tcBorders>
            <w:tcMar>
              <w:bottom w:w="28" w:type="dxa"/>
            </w:tcMar>
            <w:vAlign w:val="center"/>
          </w:tcPr>
          <w:p>
            <w:pPr>
              <w:pStyle w:val="TableContents"/>
              <w:bidi w:val="0"/>
              <w:spacing w:before="0" w:after="283"/>
              <w:jc w:val="right"/>
              <w:rPr/>
            </w:pPr>
            <w:r>
              <w:rPr/>
              <w:t>23,859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830" w:type="dxa"/>
            <w:tcBorders>
              <w:bottom w:val="single" w:sz="6" w:space="0" w:color="000000"/>
            </w:tcBorders>
            <w:tcMar>
              <w:bottom w:w="28" w:type="dxa"/>
            </w:tcMar>
            <w:vAlign w:val="center"/>
          </w:tcPr>
          <w:p>
            <w:pPr>
              <w:pStyle w:val="TableContents"/>
              <w:bidi w:val="0"/>
              <w:spacing w:before="0" w:after="283"/>
              <w:jc w:val="right"/>
              <w:rPr/>
            </w:pPr>
            <w:r>
              <w:rPr/>
              <w:t>7,353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5,743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965" w:type="dxa"/>
            <w:tcBorders>
              <w:bottom w:val="single" w:sz="6" w:space="0" w:color="000000"/>
            </w:tcBorders>
            <w:tcMar>
              <w:bottom w:w="28" w:type="dxa"/>
            </w:tcMar>
            <w:vAlign w:val="center"/>
          </w:tcPr>
          <w:p>
            <w:pPr>
              <w:pStyle w:val="TableContents"/>
              <w:bidi w:val="0"/>
              <w:spacing w:before="0" w:after="283"/>
              <w:jc w:val="right"/>
              <w:rPr/>
            </w:pPr>
            <w:r>
              <w:rPr/>
              <w:t>9,421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28" w:type="dxa"/>
            </w:tcMar>
            <w:vAlign w:val="center"/>
          </w:tcPr>
          <w:p>
            <w:pPr>
              <w:pStyle w:val="TableContents"/>
              <w:bidi w:val="0"/>
              <w:spacing w:before="0" w:after="283"/>
              <w:jc w:val="right"/>
              <w:rPr/>
            </w:pPr>
            <w:r>
              <w:rPr/>
              <w:t>3,887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160" w:type="dxa"/>
            <w:tcBorders>
              <w:bottom w:val="single" w:sz="6" w:space="0" w:color="000000"/>
            </w:tcBorders>
            <w:tcMar>
              <w:bottom w:w="28" w:type="dxa"/>
            </w:tcMar>
            <w:vAlign w:val="center"/>
          </w:tcPr>
          <w:p>
            <w:pPr>
              <w:pStyle w:val="TableContents"/>
              <w:bidi w:val="0"/>
              <w:spacing w:before="0" w:after="283"/>
              <w:jc w:val="right"/>
              <w:rPr/>
            </w:pPr>
            <w:r>
              <w:rPr/>
              <w:t>6,357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56,620</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Segment operating income (loss)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(14,480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22,185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double" w:sz="6" w:space="0" w:color="000000"/>
            </w:tcBorders>
            <w:shd w:fill="CCEEFF" w:val="clear"/>
            <w:tcMar>
              <w:bottom w:w="28" w:type="dxa"/>
            </w:tcMar>
            <w:vAlign w:val="center"/>
          </w:tcPr>
          <w:p>
            <w:pPr>
              <w:pStyle w:val="TableContents"/>
              <w:bidi w:val="0"/>
              <w:spacing w:before="0" w:after="283"/>
              <w:jc w:val="right"/>
              <w:rPr/>
            </w:pPr>
            <w:r>
              <w:rPr/>
              <w:t>6,815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jc w:val="right"/>
              <w:rPr/>
            </w:pPr>
            <w:r>
              <w:rPr/>
              <w:t>34,909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pPr>
            <w:r>
              <w:rPr/>
              <w:t>22,949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19,685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92,063</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depreciation expense</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14,342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11,917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4,081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11,308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4,291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4,472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2,268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52,679</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Capital expenditures</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46,002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3,809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4,043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5,644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1,021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3,024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1,055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64,598</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Total assets as of June 28, 2025:</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1,123,514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725,548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360,008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967,976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328,726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462,490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15" w:type="dxa"/>
            <w:tcBorders/>
            <w:vAlign w:val="center"/>
          </w:tcPr>
          <w:p>
            <w:pPr>
              <w:pStyle w:val="TableContents"/>
              <w:bidi w:val="0"/>
              <w:spacing w:before="0" w:after="283"/>
              <w:jc w:val="right"/>
              <w:rPr/>
            </w:pPr>
            <w:r>
              <w:rPr/>
              <w:t>253,393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4,221,655</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19</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pacing w:val="0"/>
          <w:sz w:val="24"/>
        </w:rPr>
      </w:pPr>
      <w:r>
        <w:rPr>
          <w:rFonts w:ascii="Times New Roman" w:hAnsi="Times New Roman"/>
          <w:spacing w:val="0"/>
          <w:sz w:val="24"/>
        </w:rPr>
        <w:t>NOTES TO THE CONSOLIDATED CONDENSED FINANCIAL STATEMENTS</w:t>
      </w:r>
    </w:p>
    <w:p>
      <w:pPr>
        <w:pStyle w:val="TextBody"/>
        <w:bidi w:val="0"/>
        <w:spacing w:before="0" w:after="0"/>
        <w:jc w:val="center"/>
        <w:rPr>
          <w:rFonts w:ascii="Times New Roman" w:hAnsi="Times New Roman"/>
          <w:i/>
          <w:spacing w:val="0"/>
          <w:sz w:val="24"/>
        </w:rPr>
      </w:pPr>
      <w:r>
        <w:rPr>
          <w:rFonts w:ascii="Times New Roman" w:hAnsi="Times New Roman"/>
          <w:i/>
          <w:spacing w:val="0"/>
          <w:sz w:val="24"/>
        </w:rPr>
        <w:t>(dollars in thousands, except per share amounts)</w:t>
      </w:r>
    </w:p>
    <w:p>
      <w:pPr>
        <w:pStyle w:val="TextBody"/>
        <w:bidi w:val="0"/>
        <w:spacing w:before="0" w:after="0"/>
        <w:jc w:val="both"/>
        <w:rPr/>
      </w:pPr>
      <w:r>
        <w:rPr/>
        <w:t> </w:t>
      </w:r>
    </w:p>
    <w:p>
      <w:pPr>
        <w:pStyle w:val="TextBody"/>
        <w:bidi w:val="0"/>
        <w:spacing w:before="0" w:after="0"/>
        <w:jc w:val="both"/>
        <w:rPr/>
      </w:pPr>
      <w:r>
        <w:rPr/>
        <w:t> </w:t>
      </w:r>
    </w:p>
    <w:tbl>
      <w:tblPr>
        <w:tblW w:w="12920" w:type="dxa"/>
        <w:jc w:val="left"/>
        <w:tblInd w:w="0" w:type="dxa"/>
        <w:tblLayout w:type="fixed"/>
        <w:tblCellMar>
          <w:top w:w="0" w:type="dxa"/>
          <w:left w:w="0" w:type="dxa"/>
          <w:bottom w:w="0" w:type="dxa"/>
          <w:right w:w="0" w:type="dxa"/>
        </w:tblCellMar>
      </w:tblPr>
      <w:tblGrid>
        <w:gridCol w:w="1280"/>
        <w:gridCol w:w="170"/>
        <w:gridCol w:w="1160"/>
        <w:gridCol w:w="125"/>
        <w:gridCol w:w="90"/>
        <w:gridCol w:w="170"/>
        <w:gridCol w:w="830"/>
        <w:gridCol w:w="90"/>
        <w:gridCol w:w="90"/>
        <w:gridCol w:w="170"/>
        <w:gridCol w:w="1535"/>
        <w:gridCol w:w="90"/>
        <w:gridCol w:w="90"/>
        <w:gridCol w:w="170"/>
        <w:gridCol w:w="965"/>
        <w:gridCol w:w="90"/>
        <w:gridCol w:w="90"/>
        <w:gridCol w:w="170"/>
        <w:gridCol w:w="1040"/>
        <w:gridCol w:w="90"/>
        <w:gridCol w:w="90"/>
        <w:gridCol w:w="170"/>
        <w:gridCol w:w="1160"/>
        <w:gridCol w:w="90"/>
        <w:gridCol w:w="90"/>
        <w:gridCol w:w="170"/>
        <w:gridCol w:w="1115"/>
        <w:gridCol w:w="125"/>
        <w:gridCol w:w="90"/>
        <w:gridCol w:w="170"/>
        <w:gridCol w:w="1010"/>
        <w:gridCol w:w="135"/>
      </w:tblGrid>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rPr>
            </w:pPr>
            <w:r>
              <w:rPr>
                <w:b/>
              </w:rPr>
              <w:t>Optoelectronic</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b/>
              </w:rPr>
            </w:pPr>
            <w:r>
              <w:rPr>
                <w:b/>
              </w:rPr>
              <w:t>Corporate/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MOSFETs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center"/>
              <w:rPr>
                <w:b/>
              </w:rPr>
            </w:pPr>
            <w:r>
              <w:rPr>
                <w:b/>
              </w:rPr>
              <w:t>Diodes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center"/>
              <w:rPr>
                <w:b/>
              </w:rPr>
            </w:pPr>
            <w:r>
              <w:rPr>
                <w:b/>
              </w:rPr>
              <w:t>Components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center"/>
              <w:rPr>
                <w:b/>
              </w:rPr>
            </w:pPr>
            <w:r>
              <w:rPr>
                <w:b/>
              </w:rPr>
              <w:t>Resistors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center"/>
              <w:rPr>
                <w:b/>
              </w:rPr>
            </w:pPr>
            <w:r>
              <w:rPr>
                <w:b/>
              </w:rPr>
              <w:t>Inductors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center"/>
              <w:rPr>
                <w:b/>
              </w:rPr>
            </w:pPr>
            <w:r>
              <w:rPr>
                <w:b/>
              </w:rPr>
              <w:t>Capacitors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center"/>
              <w:rPr>
                <w:b/>
              </w:rPr>
            </w:pPr>
            <w:r>
              <w:rPr>
                <w:b/>
              </w:rPr>
              <w:t>Other</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u w:val="single"/>
              </w:rPr>
            </w:pPr>
            <w:r>
              <w:rPr>
                <w:u w:val="single"/>
              </w:rPr>
              <w:t>Six fiscal months ended July 4, 2026:</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362,917</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350,634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535" w:type="dxa"/>
            <w:tcBorders/>
            <w:shd w:fill="CCEEFF" w:val="clear"/>
            <w:vAlign w:val="center"/>
          </w:tcPr>
          <w:p>
            <w:pPr>
              <w:pStyle w:val="TableContents"/>
              <w:bidi w:val="0"/>
              <w:spacing w:before="0" w:after="283"/>
              <w:jc w:val="right"/>
              <w:rPr>
                <w:b/>
              </w:rPr>
            </w:pPr>
            <w:r>
              <w:rPr>
                <w:b/>
              </w:rPr>
              <w:t>128,951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65" w:type="dxa"/>
            <w:tcBorders/>
            <w:shd w:fill="CCEEFF" w:val="clear"/>
            <w:vAlign w:val="center"/>
          </w:tcPr>
          <w:p>
            <w:pPr>
              <w:pStyle w:val="TableContents"/>
              <w:bidi w:val="0"/>
              <w:spacing w:before="0" w:after="283"/>
              <w:jc w:val="right"/>
              <w:rPr>
                <w:b/>
              </w:rPr>
            </w:pPr>
            <w:r>
              <w:rPr>
                <w:b/>
              </w:rPr>
              <w:t>418,771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40" w:type="dxa"/>
            <w:tcBorders/>
            <w:shd w:fill="CCEEFF" w:val="clear"/>
            <w:vAlign w:val="center"/>
          </w:tcPr>
          <w:p>
            <w:pPr>
              <w:pStyle w:val="TableContents"/>
              <w:bidi w:val="0"/>
              <w:spacing w:before="0" w:after="283"/>
              <w:jc w:val="right"/>
              <w:rPr>
                <w:b/>
              </w:rPr>
            </w:pPr>
            <w:r>
              <w:rPr>
                <w:b/>
              </w:rPr>
              <w:t>196,414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300,138</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15" w:type="dxa"/>
            <w:tcBorders/>
            <w:shd w:fill="CCEEFF" w:val="clear"/>
            <w:vAlign w:val="center"/>
          </w:tcPr>
          <w:p>
            <w:pPr>
              <w:pStyle w:val="TableContents"/>
              <w:bidi w:val="0"/>
              <w:spacing w:before="0" w:after="283"/>
              <w:jc w:val="right"/>
              <w:rPr>
                <w:b/>
              </w:rPr>
            </w:pPr>
            <w:r>
              <w:rPr>
                <w:b/>
              </w:rPr>
              <w:t>(30,008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1,727,817</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Cost of products sold (excluding depreciation)</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286,720</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246,471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535" w:type="dxa"/>
            <w:tcBorders/>
            <w:shd w:fill="CCEEFF" w:val="clear"/>
            <w:vAlign w:val="center"/>
          </w:tcPr>
          <w:p>
            <w:pPr>
              <w:pStyle w:val="TableContents"/>
              <w:bidi w:val="0"/>
              <w:spacing w:before="0" w:after="283"/>
              <w:jc w:val="right"/>
              <w:rPr>
                <w:b/>
              </w:rPr>
            </w:pPr>
            <w:r>
              <w:rPr>
                <w:b/>
              </w:rPr>
              <w:t>94,333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65" w:type="dxa"/>
            <w:tcBorders/>
            <w:shd w:fill="CCEEFF" w:val="clear"/>
            <w:vAlign w:val="center"/>
          </w:tcPr>
          <w:p>
            <w:pPr>
              <w:pStyle w:val="TableContents"/>
              <w:bidi w:val="0"/>
              <w:spacing w:before="0" w:after="283"/>
              <w:jc w:val="right"/>
              <w:rPr>
                <w:b/>
              </w:rPr>
            </w:pPr>
            <w:r>
              <w:rPr>
                <w:b/>
              </w:rPr>
              <w:t>304,404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40" w:type="dxa"/>
            <w:tcBorders/>
            <w:shd w:fill="CCEEFF" w:val="clear"/>
            <w:vAlign w:val="center"/>
          </w:tcPr>
          <w:p>
            <w:pPr>
              <w:pStyle w:val="TableContents"/>
              <w:bidi w:val="0"/>
              <w:spacing w:before="0" w:after="283"/>
              <w:jc w:val="right"/>
              <w:rPr>
                <w:b/>
              </w:rPr>
            </w:pPr>
            <w:r>
              <w:rPr>
                <w:b/>
              </w:rPr>
              <w:t>126,575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215,081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15" w:type="dxa"/>
            <w:tcBorders/>
            <w:shd w:fill="CCEEFF" w:val="clear"/>
            <w:vAlign w:val="center"/>
          </w:tcPr>
          <w:p>
            <w:pPr>
              <w:pStyle w:val="TableContents"/>
              <w:bidi w:val="0"/>
              <w:spacing w:before="0" w:after="283"/>
              <w:jc w:val="right"/>
              <w:rPr>
                <w:b/>
              </w:rPr>
            </w:pPr>
            <w:r>
              <w:rPr>
                <w:b/>
              </w:rPr>
              <w:t>(30,008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1,243,576</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Depreciation expense in costs of products sold</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27,681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b/>
              </w:rPr>
            </w:pPr>
            <w:r>
              <w:rPr>
                <w:b/>
              </w:rPr>
              <w:t>23,629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b/>
              </w:rPr>
            </w:pPr>
            <w:r>
              <w:rPr>
                <w:b/>
              </w:rPr>
              <w:t>7,692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b/>
              </w:rPr>
            </w:pPr>
            <w:r>
              <w:rPr>
                <w:b/>
              </w:rPr>
              <w:t>22,086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right"/>
              <w:rPr>
                <w:b/>
              </w:rPr>
            </w:pPr>
            <w:r>
              <w:rPr>
                <w:b/>
              </w:rPr>
              <w:t>8,105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11,054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5"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b/>
              </w:rPr>
            </w:pPr>
            <w:r>
              <w:rPr>
                <w:b/>
              </w:rPr>
              <w:t>100,247</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costs of products sold</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314,401</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270,100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3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102,025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326,490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134,680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226,135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(30,008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1,343,823</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Gross profit</w:t>
            </w:r>
          </w:p>
        </w:tc>
        <w:tc>
          <w:tcPr>
            <w:tcW w:w="170" w:type="dxa"/>
            <w:tcBorders/>
            <w:vAlign w:val="center"/>
          </w:tcPr>
          <w:p>
            <w:pPr>
              <w:pStyle w:val="TableContents"/>
              <w:bidi w:val="0"/>
              <w:spacing w:before="0" w:after="283"/>
              <w:jc w:val="left"/>
              <w:rPr>
                <w:b/>
              </w:rPr>
            </w:pPr>
            <w:r>
              <w:rPr>
                <w:b/>
              </w:rPr>
              <w:t>$</w:t>
            </w:r>
          </w:p>
        </w:tc>
        <w:tc>
          <w:tcPr>
            <w:tcW w:w="1160" w:type="dxa"/>
            <w:tcBorders/>
            <w:vAlign w:val="center"/>
          </w:tcPr>
          <w:p>
            <w:pPr>
              <w:pStyle w:val="TableContents"/>
              <w:bidi w:val="0"/>
              <w:spacing w:before="0" w:after="283"/>
              <w:jc w:val="right"/>
              <w:rPr>
                <w:b/>
              </w:rPr>
            </w:pPr>
            <w:r>
              <w:rPr>
                <w:b/>
              </w:rPr>
              <w:t>48,516</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830" w:type="dxa"/>
            <w:tcBorders/>
            <w:vAlign w:val="center"/>
          </w:tcPr>
          <w:p>
            <w:pPr>
              <w:pStyle w:val="TableContents"/>
              <w:bidi w:val="0"/>
              <w:spacing w:before="0" w:after="283"/>
              <w:jc w:val="right"/>
              <w:rPr>
                <w:b/>
              </w:rPr>
            </w:pPr>
            <w:r>
              <w:rPr>
                <w:b/>
              </w:rPr>
              <w:t>80,534</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35" w:type="dxa"/>
            <w:tcBorders/>
            <w:vAlign w:val="center"/>
          </w:tcPr>
          <w:p>
            <w:pPr>
              <w:pStyle w:val="TableContents"/>
              <w:bidi w:val="0"/>
              <w:spacing w:before="0" w:after="283"/>
              <w:jc w:val="right"/>
              <w:rPr>
                <w:b/>
              </w:rPr>
            </w:pPr>
            <w:r>
              <w:rPr>
                <w:b/>
              </w:rPr>
              <w:t>26,926</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965" w:type="dxa"/>
            <w:tcBorders/>
            <w:vAlign w:val="center"/>
          </w:tcPr>
          <w:p>
            <w:pPr>
              <w:pStyle w:val="TableContents"/>
              <w:bidi w:val="0"/>
              <w:spacing w:before="0" w:after="283"/>
              <w:jc w:val="right"/>
              <w:rPr>
                <w:b/>
              </w:rPr>
            </w:pPr>
            <w:r>
              <w:rPr>
                <w:b/>
              </w:rPr>
              <w:t>92,281</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40" w:type="dxa"/>
            <w:tcBorders/>
            <w:vAlign w:val="center"/>
          </w:tcPr>
          <w:p>
            <w:pPr>
              <w:pStyle w:val="TableContents"/>
              <w:bidi w:val="0"/>
              <w:spacing w:before="0" w:after="283"/>
              <w:jc w:val="right"/>
              <w:rPr>
                <w:b/>
              </w:rPr>
            </w:pPr>
            <w:r>
              <w:rPr>
                <w:b/>
              </w:rPr>
              <w:t>61,734</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60" w:type="dxa"/>
            <w:tcBorders/>
            <w:vAlign w:val="center"/>
          </w:tcPr>
          <w:p>
            <w:pPr>
              <w:pStyle w:val="TableContents"/>
              <w:bidi w:val="0"/>
              <w:spacing w:before="0" w:after="283"/>
              <w:jc w:val="right"/>
              <w:rPr>
                <w:b/>
              </w:rPr>
            </w:pPr>
            <w:r>
              <w:rPr>
                <w:b/>
              </w:rPr>
              <w:t>74,003</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115" w:type="dxa"/>
            <w:tcBorders/>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10" w:type="dxa"/>
            <w:tcBorders/>
            <w:vAlign w:val="center"/>
          </w:tcPr>
          <w:p>
            <w:pPr>
              <w:pStyle w:val="TableContents"/>
              <w:bidi w:val="0"/>
              <w:spacing w:before="0" w:after="283"/>
              <w:jc w:val="right"/>
              <w:rPr>
                <w:b/>
              </w:rPr>
            </w:pPr>
            <w:r>
              <w:rPr>
                <w:b/>
              </w:rPr>
              <w:t>383,994</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Segment operating expenses</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44,657</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830" w:type="dxa"/>
            <w:tcBorders>
              <w:bottom w:val="single" w:sz="6" w:space="0" w:color="000000"/>
            </w:tcBorders>
            <w:tcMar>
              <w:bottom w:w="28" w:type="dxa"/>
            </w:tcMar>
            <w:vAlign w:val="center"/>
          </w:tcPr>
          <w:p>
            <w:pPr>
              <w:pStyle w:val="TableContents"/>
              <w:bidi w:val="0"/>
              <w:spacing w:before="0" w:after="283"/>
              <w:jc w:val="right"/>
              <w:rPr>
                <w:b/>
              </w:rPr>
            </w:pPr>
            <w:r>
              <w:rPr>
                <w:b/>
              </w:rPr>
              <w:t>17,909</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535" w:type="dxa"/>
            <w:tcBorders>
              <w:bottom w:val="single" w:sz="6" w:space="0" w:color="000000"/>
            </w:tcBorders>
            <w:tcMar>
              <w:bottom w:w="28" w:type="dxa"/>
            </w:tcMar>
            <w:vAlign w:val="center"/>
          </w:tcPr>
          <w:p>
            <w:pPr>
              <w:pStyle w:val="TableContents"/>
              <w:bidi w:val="0"/>
              <w:spacing w:before="0" w:after="283"/>
              <w:jc w:val="right"/>
              <w:rPr>
                <w:b/>
              </w:rPr>
            </w:pPr>
            <w:r>
              <w:rPr>
                <w:b/>
              </w:rPr>
              <w:t>12,683</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965" w:type="dxa"/>
            <w:tcBorders>
              <w:bottom w:val="single" w:sz="6" w:space="0" w:color="000000"/>
            </w:tcBorders>
            <w:tcMar>
              <w:bottom w:w="28" w:type="dxa"/>
            </w:tcMar>
            <w:vAlign w:val="center"/>
          </w:tcPr>
          <w:p>
            <w:pPr>
              <w:pStyle w:val="TableContents"/>
              <w:bidi w:val="0"/>
              <w:spacing w:before="0" w:after="283"/>
              <w:jc w:val="right"/>
              <w:rPr>
                <w:b/>
              </w:rPr>
            </w:pPr>
            <w:r>
              <w:rPr>
                <w:b/>
              </w:rPr>
              <w:t>21,400</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040" w:type="dxa"/>
            <w:tcBorders>
              <w:bottom w:val="single" w:sz="6" w:space="0" w:color="000000"/>
            </w:tcBorders>
            <w:tcMar>
              <w:bottom w:w="28" w:type="dxa"/>
            </w:tcMar>
            <w:vAlign w:val="center"/>
          </w:tcPr>
          <w:p>
            <w:pPr>
              <w:pStyle w:val="TableContents"/>
              <w:bidi w:val="0"/>
              <w:spacing w:before="0" w:after="283"/>
              <w:jc w:val="right"/>
              <w:rPr>
                <w:b/>
              </w:rPr>
            </w:pPr>
            <w:r>
              <w:rPr>
                <w:b/>
              </w:rPr>
              <w:t>8,189</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160" w:type="dxa"/>
            <w:tcBorders>
              <w:bottom w:val="single" w:sz="6" w:space="0" w:color="000000"/>
            </w:tcBorders>
            <w:tcMar>
              <w:bottom w:w="28" w:type="dxa"/>
            </w:tcMar>
            <w:vAlign w:val="center"/>
          </w:tcPr>
          <w:p>
            <w:pPr>
              <w:pStyle w:val="TableContents"/>
              <w:bidi w:val="0"/>
              <w:spacing w:before="0" w:after="283"/>
              <w:jc w:val="right"/>
              <w:rPr>
                <w:b/>
              </w:rPr>
            </w:pPr>
            <w:r>
              <w:rPr>
                <w:b/>
              </w:rPr>
              <w:t>13,812</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115" w:type="dxa"/>
            <w:tcBorders>
              <w:bottom w:val="single" w:sz="6" w:space="0" w:color="000000"/>
            </w:tcBorders>
            <w:tcMar>
              <w:bottom w:w="28" w:type="dxa"/>
            </w:tcMar>
            <w:vAlign w:val="center"/>
          </w:tcPr>
          <w:p>
            <w:pPr>
              <w:pStyle w:val="TableContents"/>
              <w:bidi w:val="0"/>
              <w:spacing w:before="0" w:after="283"/>
              <w:jc w:val="right"/>
              <w:rPr>
                <w:b/>
              </w:rPr>
            </w:pPr>
            <w:r>
              <w:rPr>
                <w:b/>
              </w:rPr>
              <w:t>-</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010" w:type="dxa"/>
            <w:tcBorders>
              <w:bottom w:val="single" w:sz="6" w:space="0" w:color="000000"/>
            </w:tcBorders>
            <w:tcMar>
              <w:bottom w:w="28" w:type="dxa"/>
            </w:tcMar>
            <w:vAlign w:val="center"/>
          </w:tcPr>
          <w:p>
            <w:pPr>
              <w:pStyle w:val="TableContents"/>
              <w:bidi w:val="0"/>
              <w:spacing w:before="0" w:after="283"/>
              <w:jc w:val="right"/>
              <w:rPr>
                <w:b/>
              </w:rPr>
            </w:pPr>
            <w:r>
              <w:rPr>
                <w:b/>
              </w:rPr>
              <w:t>118,650</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283"/>
              <w:jc w:val="left"/>
              <w:rPr/>
            </w:pPr>
            <w:r>
              <w:rPr/>
              <w:t>Segment operating income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3,859</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62,625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53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14,243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70,881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53,545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60,191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265,344</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depreciation expense</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29,270</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830" w:type="dxa"/>
            <w:tcBorders/>
            <w:shd w:fill="CCEEFF" w:val="clear"/>
            <w:vAlign w:val="center"/>
          </w:tcPr>
          <w:p>
            <w:pPr>
              <w:pStyle w:val="TableContents"/>
              <w:bidi w:val="0"/>
              <w:spacing w:before="0" w:after="283"/>
              <w:jc w:val="right"/>
              <w:rPr>
                <w:b/>
              </w:rPr>
            </w:pPr>
            <w:r>
              <w:rPr>
                <w:b/>
              </w:rPr>
              <w:t>24,431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535" w:type="dxa"/>
            <w:tcBorders/>
            <w:shd w:fill="CCEEFF" w:val="clear"/>
            <w:vAlign w:val="center"/>
          </w:tcPr>
          <w:p>
            <w:pPr>
              <w:pStyle w:val="TableContents"/>
              <w:bidi w:val="0"/>
              <w:spacing w:before="0" w:after="283"/>
              <w:jc w:val="right"/>
              <w:rPr>
                <w:b/>
              </w:rPr>
            </w:pPr>
            <w:r>
              <w:rPr>
                <w:b/>
              </w:rPr>
              <w:t>7,921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965" w:type="dxa"/>
            <w:tcBorders/>
            <w:shd w:fill="CCEEFF" w:val="clear"/>
            <w:vAlign w:val="center"/>
          </w:tcPr>
          <w:p>
            <w:pPr>
              <w:pStyle w:val="TableContents"/>
              <w:bidi w:val="0"/>
              <w:spacing w:before="0" w:after="283"/>
              <w:jc w:val="right"/>
              <w:rPr>
                <w:b/>
              </w:rPr>
            </w:pPr>
            <w:r>
              <w:rPr>
                <w:b/>
              </w:rPr>
              <w:t>22,454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40" w:type="dxa"/>
            <w:tcBorders/>
            <w:shd w:fill="CCEEFF" w:val="clear"/>
            <w:vAlign w:val="center"/>
          </w:tcPr>
          <w:p>
            <w:pPr>
              <w:pStyle w:val="TableContents"/>
              <w:bidi w:val="0"/>
              <w:spacing w:before="0" w:after="283"/>
              <w:jc w:val="right"/>
              <w:rPr>
                <w:b/>
              </w:rPr>
            </w:pPr>
            <w:r>
              <w:rPr>
                <w:b/>
              </w:rPr>
              <w:t>8,231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60" w:type="dxa"/>
            <w:tcBorders/>
            <w:shd w:fill="CCEEFF" w:val="clear"/>
            <w:vAlign w:val="center"/>
          </w:tcPr>
          <w:p>
            <w:pPr>
              <w:pStyle w:val="TableContents"/>
              <w:bidi w:val="0"/>
              <w:spacing w:before="0" w:after="283"/>
              <w:jc w:val="right"/>
              <w:rPr>
                <w:b/>
              </w:rPr>
            </w:pPr>
            <w:r>
              <w:rPr>
                <w:b/>
              </w:rPr>
              <w:t>11,153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15" w:type="dxa"/>
            <w:tcBorders/>
            <w:shd w:fill="CCEEFF" w:val="clear"/>
            <w:vAlign w:val="center"/>
          </w:tcPr>
          <w:p>
            <w:pPr>
              <w:pStyle w:val="TableContents"/>
              <w:bidi w:val="0"/>
              <w:spacing w:before="0" w:after="283"/>
              <w:jc w:val="right"/>
              <w:rPr>
                <w:b/>
              </w:rPr>
            </w:pPr>
            <w:r>
              <w:rPr>
                <w:b/>
              </w:rPr>
              <w:t>4,361</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0" w:type="dxa"/>
            <w:tcBorders/>
            <w:shd w:fill="CCEEFF" w:val="clear"/>
            <w:vAlign w:val="center"/>
          </w:tcPr>
          <w:p>
            <w:pPr>
              <w:pStyle w:val="TableContents"/>
              <w:bidi w:val="0"/>
              <w:spacing w:before="0" w:after="283"/>
              <w:jc w:val="right"/>
              <w:rPr>
                <w:b/>
              </w:rPr>
            </w:pPr>
            <w:r>
              <w:rPr>
                <w:b/>
              </w:rPr>
              <w:t>107,821</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Capital expenditures</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b/>
              </w:rPr>
            </w:pPr>
            <w:r>
              <w:rPr>
                <w:b/>
              </w:rPr>
              <w:t>172,378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b/>
              </w:rPr>
            </w:pPr>
            <w:r>
              <w:rPr>
                <w:b/>
              </w:rPr>
              <w:t>9,096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b/>
              </w:rPr>
            </w:pPr>
            <w:r>
              <w:rPr>
                <w:b/>
              </w:rPr>
              <w:t>840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b/>
              </w:rPr>
            </w:pPr>
            <w:r>
              <w:rPr>
                <w:b/>
              </w:rPr>
              <w:t>6,386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b/>
              </w:rPr>
            </w:pPr>
            <w:r>
              <w:rPr>
                <w:b/>
              </w:rPr>
              <w:t>2,950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b/>
              </w:rPr>
            </w:pPr>
            <w:r>
              <w:rPr>
                <w:b/>
              </w:rPr>
              <w:t>12,619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b/>
              </w:rPr>
            </w:pPr>
            <w:r>
              <w:rPr>
                <w:b/>
              </w:rPr>
              <w:t>1,593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b/>
              </w:rPr>
            </w:pPr>
            <w:r>
              <w:rPr>
                <w:b/>
              </w:rPr>
              <w:t>205,862</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u w:val="single"/>
              </w:rPr>
            </w:pPr>
            <w:r>
              <w:rPr>
                <w:u w:val="single"/>
              </w:rPr>
              <w:t>Six fiscal months ended June 28, 2025:</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290,746</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288,905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105,287</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374,269</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179,796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238,483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1,477,486</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Cost of products sold (excluding depreciation)</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243,053</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208,599</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74,254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267,802</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126,876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176,597</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1,097,181</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Depreciation expense in cost of products sold</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pPr>
            <w:r>
              <w:rPr/>
              <w:t>26,708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830" w:type="dxa"/>
            <w:tcBorders>
              <w:bottom w:val="single" w:sz="6" w:space="0" w:color="000000"/>
            </w:tcBorders>
            <w:tcMar>
              <w:bottom w:w="28" w:type="dxa"/>
            </w:tcMar>
            <w:vAlign w:val="center"/>
          </w:tcPr>
          <w:p>
            <w:pPr>
              <w:pStyle w:val="TableContents"/>
              <w:bidi w:val="0"/>
              <w:spacing w:before="0" w:after="283"/>
              <w:jc w:val="right"/>
              <w:rPr/>
            </w:pPr>
            <w:r>
              <w:rPr/>
              <w:t>22,746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7,775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65" w:type="dxa"/>
            <w:tcBorders>
              <w:bottom w:val="single" w:sz="6" w:space="0" w:color="000000"/>
            </w:tcBorders>
            <w:tcMar>
              <w:bottom w:w="28" w:type="dxa"/>
            </w:tcMar>
            <w:vAlign w:val="center"/>
          </w:tcPr>
          <w:p>
            <w:pPr>
              <w:pStyle w:val="TableContents"/>
              <w:bidi w:val="0"/>
              <w:spacing w:before="0" w:after="283"/>
              <w:jc w:val="right"/>
              <w:rPr/>
            </w:pPr>
            <w:r>
              <w:rPr/>
              <w:t>21,783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40" w:type="dxa"/>
            <w:tcBorders>
              <w:bottom w:val="single" w:sz="6" w:space="0" w:color="000000"/>
            </w:tcBorders>
            <w:tcMar>
              <w:bottom w:w="28" w:type="dxa"/>
            </w:tcMar>
            <w:vAlign w:val="center"/>
          </w:tcPr>
          <w:p>
            <w:pPr>
              <w:pStyle w:val="TableContents"/>
              <w:bidi w:val="0"/>
              <w:spacing w:before="0" w:after="283"/>
              <w:jc w:val="right"/>
              <w:rPr/>
            </w:pPr>
            <w:r>
              <w:rPr/>
              <w:t>8,487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283"/>
              <w:jc w:val="right"/>
              <w:rPr/>
            </w:pPr>
            <w:r>
              <w:rPr/>
              <w:t>8,569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96,068</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cost of products sold</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pPr>
            <w:r>
              <w:rPr/>
              <w:t>269,761</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6" w:space="0" w:color="000000"/>
            </w:tcBorders>
            <w:shd w:fill="CCEEFF" w:val="clear"/>
            <w:tcMar>
              <w:bottom w:w="28" w:type="dxa"/>
            </w:tcMar>
            <w:vAlign w:val="center"/>
          </w:tcPr>
          <w:p>
            <w:pPr>
              <w:pStyle w:val="TableContents"/>
              <w:bidi w:val="0"/>
              <w:spacing w:before="0" w:after="283"/>
              <w:jc w:val="right"/>
              <w:rPr/>
            </w:pPr>
            <w:r>
              <w:rPr/>
              <w:t>231,345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single" w:sz="6" w:space="0" w:color="000000"/>
            </w:tcBorders>
            <w:shd w:fill="CCEEFF" w:val="clear"/>
            <w:tcMar>
              <w:bottom w:w="28" w:type="dxa"/>
            </w:tcMar>
            <w:vAlign w:val="center"/>
          </w:tcPr>
          <w:p>
            <w:pPr>
              <w:pStyle w:val="TableContents"/>
              <w:bidi w:val="0"/>
              <w:spacing w:before="0" w:after="283"/>
              <w:jc w:val="right"/>
              <w:rPr/>
            </w:pPr>
            <w:r>
              <w:rPr/>
              <w:t>82,029</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965" w:type="dxa"/>
            <w:tcBorders>
              <w:bottom w:val="single" w:sz="6" w:space="0" w:color="000000"/>
            </w:tcBorders>
            <w:shd w:fill="CCEEFF" w:val="clear"/>
            <w:tcMar>
              <w:bottom w:w="28" w:type="dxa"/>
            </w:tcMar>
            <w:vAlign w:val="center"/>
          </w:tcPr>
          <w:p>
            <w:pPr>
              <w:pStyle w:val="TableContents"/>
              <w:bidi w:val="0"/>
              <w:spacing w:before="0" w:after="283"/>
              <w:jc w:val="right"/>
              <w:rPr/>
            </w:pPr>
            <w:r>
              <w:rPr/>
              <w:t>289,585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shd w:fill="CCEEFF" w:val="clear"/>
            <w:tcMar>
              <w:bottom w:w="28" w:type="dxa"/>
            </w:tcMar>
            <w:vAlign w:val="center"/>
          </w:tcPr>
          <w:p>
            <w:pPr>
              <w:pStyle w:val="TableContents"/>
              <w:bidi w:val="0"/>
              <w:spacing w:before="0" w:after="283"/>
              <w:jc w:val="right"/>
              <w:rPr/>
            </w:pPr>
            <w:r>
              <w:rPr/>
              <w:t>135,363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single" w:sz="6" w:space="0" w:color="000000"/>
            </w:tcBorders>
            <w:shd w:fill="CCEEFF" w:val="clear"/>
            <w:tcMar>
              <w:bottom w:w="28" w:type="dxa"/>
            </w:tcMar>
            <w:vAlign w:val="center"/>
          </w:tcPr>
          <w:p>
            <w:pPr>
              <w:pStyle w:val="TableContents"/>
              <w:bidi w:val="0"/>
              <w:spacing w:before="0" w:after="283"/>
              <w:jc w:val="right"/>
              <w:rPr/>
            </w:pPr>
            <w:r>
              <w:rPr/>
              <w:t>185,166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single" w:sz="6" w:space="0" w:color="000000"/>
            </w:tcBorders>
            <w:shd w:fill="CCEEFF" w:val="clear"/>
            <w:tcMar>
              <w:bottom w:w="28" w:type="dxa"/>
            </w:tcMar>
            <w:vAlign w:val="center"/>
          </w:tcPr>
          <w:p>
            <w:pPr>
              <w:pStyle w:val="TableContents"/>
              <w:bidi w:val="0"/>
              <w:spacing w:before="0" w:after="283"/>
              <w:jc w:val="right"/>
              <w:rPr/>
            </w:pPr>
            <w:r>
              <w:rPr/>
              <w:t>1,193,249</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Gross profit</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20,985</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57,560</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35" w:type="dxa"/>
            <w:tcBorders/>
            <w:vAlign w:val="center"/>
          </w:tcPr>
          <w:p>
            <w:pPr>
              <w:pStyle w:val="TableContents"/>
              <w:bidi w:val="0"/>
              <w:spacing w:before="0" w:after="283"/>
              <w:jc w:val="right"/>
              <w:rPr/>
            </w:pPr>
            <w:r>
              <w:rPr/>
              <w:t>23,258</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5" w:type="dxa"/>
            <w:tcBorders/>
            <w:vAlign w:val="center"/>
          </w:tcPr>
          <w:p>
            <w:pPr>
              <w:pStyle w:val="TableContents"/>
              <w:bidi w:val="0"/>
              <w:spacing w:before="0" w:after="283"/>
              <w:jc w:val="right"/>
              <w:rPr/>
            </w:pPr>
            <w:r>
              <w:rPr/>
              <w:t>84,684</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283"/>
              <w:jc w:val="right"/>
              <w:rPr/>
            </w:pPr>
            <w:r>
              <w:rPr/>
              <w:t>44,433</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0" w:type="dxa"/>
            <w:tcBorders/>
            <w:vAlign w:val="center"/>
          </w:tcPr>
          <w:p>
            <w:pPr>
              <w:pStyle w:val="TableContents"/>
              <w:bidi w:val="0"/>
              <w:spacing w:before="0" w:after="283"/>
              <w:jc w:val="right"/>
              <w:rPr/>
            </w:pPr>
            <w:r>
              <w:rPr/>
              <w:t>53,317</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284,237</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53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280" w:type="dxa"/>
            <w:tcBorders/>
            <w:vAlign w:val="center"/>
          </w:tcPr>
          <w:p>
            <w:pPr>
              <w:pStyle w:val="TableContents"/>
              <w:bidi w:val="0"/>
              <w:spacing w:before="0" w:after="283"/>
              <w:jc w:val="left"/>
              <w:rPr/>
            </w:pPr>
            <w:r>
              <w:rPr/>
              <w:t>Segment operating expenses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160" w:type="dxa"/>
            <w:tcBorders>
              <w:bottom w:val="single" w:sz="6" w:space="0" w:color="000000"/>
            </w:tcBorders>
            <w:tcMar>
              <w:bottom w:w="28" w:type="dxa"/>
            </w:tcMar>
            <w:vAlign w:val="center"/>
          </w:tcPr>
          <w:p>
            <w:pPr>
              <w:pStyle w:val="TableContents"/>
              <w:bidi w:val="0"/>
              <w:spacing w:before="0" w:after="283"/>
              <w:jc w:val="right"/>
              <w:rPr/>
            </w:pPr>
            <w:r>
              <w:rPr/>
              <w:t>44,204</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830" w:type="dxa"/>
            <w:tcBorders>
              <w:bottom w:val="single" w:sz="6" w:space="0" w:color="000000"/>
            </w:tcBorders>
            <w:tcMar>
              <w:bottom w:w="28" w:type="dxa"/>
            </w:tcMar>
            <w:vAlign w:val="center"/>
          </w:tcPr>
          <w:p>
            <w:pPr>
              <w:pStyle w:val="TableContents"/>
              <w:bidi w:val="0"/>
              <w:spacing w:before="0" w:after="283"/>
              <w:jc w:val="right"/>
              <w:rPr/>
            </w:pPr>
            <w:r>
              <w:rPr/>
              <w:t>14,178</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535" w:type="dxa"/>
            <w:tcBorders>
              <w:bottom w:val="single" w:sz="6" w:space="0" w:color="000000"/>
            </w:tcBorders>
            <w:tcMar>
              <w:bottom w:w="28" w:type="dxa"/>
            </w:tcMar>
            <w:vAlign w:val="center"/>
          </w:tcPr>
          <w:p>
            <w:pPr>
              <w:pStyle w:val="TableContents"/>
              <w:bidi w:val="0"/>
              <w:spacing w:before="0" w:after="283"/>
              <w:jc w:val="right"/>
              <w:rPr/>
            </w:pPr>
            <w:r>
              <w:rPr/>
              <w:t>11,024</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965" w:type="dxa"/>
            <w:tcBorders>
              <w:bottom w:val="single" w:sz="6" w:space="0" w:color="000000"/>
            </w:tcBorders>
            <w:tcMar>
              <w:bottom w:w="28" w:type="dxa"/>
            </w:tcMar>
            <w:vAlign w:val="center"/>
          </w:tcPr>
          <w:p>
            <w:pPr>
              <w:pStyle w:val="TableContents"/>
              <w:bidi w:val="0"/>
              <w:spacing w:before="0" w:after="283"/>
              <w:jc w:val="right"/>
              <w:rPr/>
            </w:pPr>
            <w:r>
              <w:rPr/>
              <w:t>18,624</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040" w:type="dxa"/>
            <w:tcBorders>
              <w:bottom w:val="single" w:sz="6" w:space="0" w:color="000000"/>
            </w:tcBorders>
            <w:tcMar>
              <w:bottom w:w="28" w:type="dxa"/>
            </w:tcMar>
            <w:vAlign w:val="center"/>
          </w:tcPr>
          <w:p>
            <w:pPr>
              <w:pStyle w:val="TableContents"/>
              <w:bidi w:val="0"/>
              <w:spacing w:before="0" w:after="283"/>
              <w:jc w:val="right"/>
              <w:rPr/>
            </w:pPr>
            <w:r>
              <w:rPr/>
              <w:t>7,582</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160" w:type="dxa"/>
            <w:tcBorders>
              <w:bottom w:val="single" w:sz="6" w:space="0" w:color="000000"/>
            </w:tcBorders>
            <w:tcMar>
              <w:bottom w:w="28" w:type="dxa"/>
            </w:tcMar>
            <w:vAlign w:val="center"/>
          </w:tcPr>
          <w:p>
            <w:pPr>
              <w:pStyle w:val="TableContents"/>
              <w:bidi w:val="0"/>
              <w:spacing w:before="0" w:after="283"/>
              <w:jc w:val="right"/>
              <w:rPr/>
            </w:pPr>
            <w:r>
              <w:rPr/>
              <w:t>13,058</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w:t>
            </w:r>
          </w:p>
        </w:tc>
        <w:tc>
          <w:tcPr>
            <w:tcW w:w="1010" w:type="dxa"/>
            <w:tcBorders>
              <w:bottom w:val="single" w:sz="6" w:space="0" w:color="000000"/>
            </w:tcBorders>
            <w:tcMar>
              <w:bottom w:w="28" w:type="dxa"/>
            </w:tcMar>
            <w:vAlign w:val="center"/>
          </w:tcPr>
          <w:p>
            <w:pPr>
              <w:pStyle w:val="TableContents"/>
              <w:bidi w:val="0"/>
              <w:spacing w:before="0" w:after="283"/>
              <w:jc w:val="right"/>
              <w:rPr/>
            </w:pPr>
            <w:r>
              <w:rPr/>
              <w:t>108,670</w:t>
            </w:r>
          </w:p>
        </w:tc>
        <w:tc>
          <w:tcPr>
            <w:tcW w:w="135"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CCEEFF" w:val="clear"/>
            <w:vAlign w:val="center"/>
          </w:tcPr>
          <w:p>
            <w:pPr>
              <w:pStyle w:val="TableContents"/>
              <w:bidi w:val="0"/>
              <w:spacing w:before="0" w:after="283"/>
              <w:jc w:val="left"/>
              <w:rPr/>
            </w:pPr>
            <w:r>
              <w:rPr/>
              <w:t>Segment operating income (loss)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(23,219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43,382</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35" w:type="dxa"/>
            <w:tcBorders>
              <w:bottom w:val="double" w:sz="6" w:space="0" w:color="000000"/>
            </w:tcBorders>
            <w:shd w:fill="CCEEFF" w:val="clear"/>
            <w:tcMar>
              <w:bottom w:w="28" w:type="dxa"/>
            </w:tcMar>
            <w:vAlign w:val="center"/>
          </w:tcPr>
          <w:p>
            <w:pPr>
              <w:pStyle w:val="TableContents"/>
              <w:bidi w:val="0"/>
              <w:spacing w:before="0" w:after="283"/>
              <w:jc w:val="right"/>
              <w:rPr/>
            </w:pPr>
            <w:r>
              <w:rPr/>
              <w:t>12,234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65" w:type="dxa"/>
            <w:tcBorders>
              <w:bottom w:val="double" w:sz="6" w:space="0" w:color="000000"/>
            </w:tcBorders>
            <w:shd w:fill="CCEEFF" w:val="clear"/>
            <w:tcMar>
              <w:bottom w:w="28" w:type="dxa"/>
            </w:tcMar>
            <w:vAlign w:val="center"/>
          </w:tcPr>
          <w:p>
            <w:pPr>
              <w:pStyle w:val="TableContents"/>
              <w:bidi w:val="0"/>
              <w:spacing w:before="0" w:after="283"/>
              <w:jc w:val="right"/>
              <w:rPr/>
            </w:pPr>
            <w:r>
              <w:rPr/>
              <w:t>66,060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pPr>
            <w:r>
              <w:rPr/>
              <w:t>36,851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40,259</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pPr>
            <w:r>
              <w:rPr/>
              <w:t>175,567</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280" w:type="dxa"/>
            <w:tcBorders/>
            <w:shd w:fill="CCEEFF" w:val="clear"/>
            <w:vAlign w:val="center"/>
          </w:tcPr>
          <w:p>
            <w:pPr>
              <w:pStyle w:val="TableContents"/>
              <w:bidi w:val="0"/>
              <w:spacing w:before="0" w:after="283"/>
              <w:jc w:val="left"/>
              <w:rPr/>
            </w:pPr>
            <w:r>
              <w:rPr/>
              <w:t>Total depreciation expense</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27,914</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23,400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35" w:type="dxa"/>
            <w:tcBorders/>
            <w:shd w:fill="CCEEFF" w:val="clear"/>
            <w:vAlign w:val="center"/>
          </w:tcPr>
          <w:p>
            <w:pPr>
              <w:pStyle w:val="TableContents"/>
              <w:bidi w:val="0"/>
              <w:spacing w:before="0" w:after="283"/>
              <w:jc w:val="right"/>
              <w:rPr/>
            </w:pPr>
            <w:r>
              <w:rPr/>
              <w:t>7,998</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65" w:type="dxa"/>
            <w:tcBorders/>
            <w:shd w:fill="CCEEFF" w:val="clear"/>
            <w:vAlign w:val="center"/>
          </w:tcPr>
          <w:p>
            <w:pPr>
              <w:pStyle w:val="TableContents"/>
              <w:bidi w:val="0"/>
              <w:spacing w:before="0" w:after="283"/>
              <w:jc w:val="right"/>
              <w:rPr/>
            </w:pPr>
            <w:r>
              <w:rPr/>
              <w:t>22,172</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8,574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8,656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4,483</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103,197</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before="0" w:after="283"/>
              <w:jc w:val="left"/>
              <w:rPr/>
            </w:pPr>
            <w:r>
              <w:rPr/>
              <w:t>Capital expenditures</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92,305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8,138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right"/>
              <w:rPr/>
            </w:pPr>
            <w:r>
              <w:rPr/>
              <w:t>4,755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8,691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1,605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pPr>
            <w:r>
              <w:rPr/>
              <w:t>8,999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1,674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126,167</w:t>
            </w:r>
          </w:p>
        </w:tc>
        <w:tc>
          <w:tcPr>
            <w:tcW w:w="135"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20</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899"/>
        <w:gridCol w:w="170"/>
        <w:gridCol w:w="1079"/>
        <w:gridCol w:w="185"/>
        <w:gridCol w:w="90"/>
        <w:gridCol w:w="170"/>
        <w:gridCol w:w="1163"/>
        <w:gridCol w:w="185"/>
        <w:gridCol w:w="90"/>
        <w:gridCol w:w="170"/>
        <w:gridCol w:w="1111"/>
        <w:gridCol w:w="185"/>
        <w:gridCol w:w="90"/>
        <w:gridCol w:w="170"/>
        <w:gridCol w:w="1215"/>
        <w:gridCol w:w="233"/>
      </w:tblGrid>
      <w:tr>
        <w:trPr/>
        <w:tc>
          <w:tcPr>
            <w:tcW w:w="3899" w:type="dxa"/>
            <w:tcBorders/>
            <w:vAlign w:val="center"/>
          </w:tcPr>
          <w:p>
            <w:pPr>
              <w:pStyle w:val="TableContents"/>
              <w:bidi w:val="0"/>
              <w:spacing w:before="0" w:after="283"/>
              <w:jc w:val="left"/>
              <w:rPr/>
            </w:pPr>
            <w:r>
              <w:rPr/>
              <w:t> </w:t>
            </w:r>
          </w:p>
        </w:tc>
        <w:tc>
          <w:tcPr>
            <w:tcW w:w="3042"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174" w:type="dxa"/>
            <w:gridSpan w:val="7"/>
            <w:tcBorders/>
            <w:vAlign w:val="center"/>
          </w:tcPr>
          <w:p>
            <w:pPr>
              <w:pStyle w:val="TableContents"/>
              <w:bidi w:val="0"/>
              <w:spacing w:before="0" w:after="283"/>
              <w:jc w:val="center"/>
              <w:rPr>
                <w:b/>
              </w:rPr>
            </w:pPr>
            <w:r>
              <w:rPr>
                <w:b/>
              </w:rPr>
              <w:t>Six fiscal months ended</w:t>
            </w:r>
          </w:p>
        </w:tc>
      </w:tr>
      <w:tr>
        <w:trPr/>
        <w:tc>
          <w:tcPr>
            <w:tcW w:w="3899"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9"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3"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1"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33" w:type="dxa"/>
            <w:tcBorders/>
            <w:vAlign w:val="center"/>
          </w:tcPr>
          <w:p>
            <w:pPr>
              <w:pStyle w:val="TableContents"/>
              <w:bidi w:val="0"/>
              <w:spacing w:before="0" w:after="283"/>
              <w:jc w:val="left"/>
              <w:rPr/>
            </w:pPr>
            <w:r>
              <w:rPr/>
              <w:t> </w:t>
            </w:r>
          </w:p>
        </w:tc>
      </w:tr>
      <w:tr>
        <w:trPr/>
        <w:tc>
          <w:tcPr>
            <w:tcW w:w="3899" w:type="dxa"/>
            <w:tcBorders/>
            <w:vAlign w:val="center"/>
          </w:tcPr>
          <w:p>
            <w:pPr>
              <w:pStyle w:val="TableContents"/>
              <w:bidi w:val="0"/>
              <w:spacing w:before="0" w:after="283"/>
              <w:jc w:val="left"/>
              <w:rPr>
                <w:b/>
              </w:rPr>
            </w:pPr>
            <w:r>
              <w:rPr>
                <w:b/>
              </w:rPr>
              <w:t>Reconciliation:</w:t>
            </w:r>
          </w:p>
        </w:tc>
        <w:tc>
          <w:tcPr>
            <w:tcW w:w="170"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1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 </w:t>
            </w:r>
          </w:p>
        </w:tc>
      </w:tr>
      <w:tr>
        <w:trPr/>
        <w:tc>
          <w:tcPr>
            <w:tcW w:w="3899" w:type="dxa"/>
            <w:tcBorders/>
            <w:shd w:fill="CCEEFF" w:val="clear"/>
            <w:vAlign w:val="center"/>
          </w:tcPr>
          <w:p>
            <w:pPr>
              <w:pStyle w:val="TableContents"/>
              <w:bidi w:val="0"/>
              <w:spacing w:before="0" w:after="283"/>
              <w:jc w:val="left"/>
              <w:rPr/>
            </w:pPr>
            <w:r>
              <w:rPr/>
              <w:t>Segment Operating Income</w:t>
            </w:r>
          </w:p>
        </w:tc>
        <w:tc>
          <w:tcPr>
            <w:tcW w:w="170" w:type="dxa"/>
            <w:tcBorders/>
            <w:shd w:fill="CCEEFF" w:val="clear"/>
            <w:vAlign w:val="center"/>
          </w:tcPr>
          <w:p>
            <w:pPr>
              <w:pStyle w:val="TableContents"/>
              <w:bidi w:val="0"/>
              <w:spacing w:before="0" w:after="283"/>
              <w:jc w:val="left"/>
              <w:rPr>
                <w:b/>
              </w:rPr>
            </w:pPr>
            <w:r>
              <w:rPr>
                <w:b/>
              </w:rPr>
              <w:t>$</w:t>
            </w:r>
          </w:p>
        </w:tc>
        <w:tc>
          <w:tcPr>
            <w:tcW w:w="1079" w:type="dxa"/>
            <w:tcBorders/>
            <w:shd w:fill="CCEEFF" w:val="clear"/>
            <w:vAlign w:val="center"/>
          </w:tcPr>
          <w:p>
            <w:pPr>
              <w:pStyle w:val="TableContents"/>
              <w:bidi w:val="0"/>
              <w:spacing w:before="0" w:after="283"/>
              <w:jc w:val="right"/>
              <w:rPr>
                <w:b/>
              </w:rPr>
            </w:pPr>
            <w:r>
              <w:rPr>
                <w:b/>
              </w:rPr>
              <w:t>146,550</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92,063</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11" w:type="dxa"/>
            <w:tcBorders/>
            <w:shd w:fill="CCEEFF" w:val="clear"/>
            <w:vAlign w:val="center"/>
          </w:tcPr>
          <w:p>
            <w:pPr>
              <w:pStyle w:val="TableContents"/>
              <w:bidi w:val="0"/>
              <w:spacing w:before="0" w:after="283"/>
              <w:jc w:val="right"/>
              <w:rPr>
                <w:b/>
              </w:rPr>
            </w:pPr>
            <w:r>
              <w:rPr>
                <w:b/>
              </w:rPr>
              <w:t>265,344</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15" w:type="dxa"/>
            <w:tcBorders/>
            <w:shd w:fill="CCEEFF" w:val="clear"/>
            <w:vAlign w:val="center"/>
          </w:tcPr>
          <w:p>
            <w:pPr>
              <w:pStyle w:val="TableContents"/>
              <w:bidi w:val="0"/>
              <w:spacing w:before="0" w:after="283"/>
              <w:jc w:val="right"/>
              <w:rPr/>
            </w:pPr>
            <w:r>
              <w:rPr/>
              <w:t>175,567</w:t>
            </w:r>
          </w:p>
        </w:tc>
        <w:tc>
          <w:tcPr>
            <w:tcW w:w="233" w:type="dxa"/>
            <w:tcBorders/>
            <w:shd w:fill="CCEEFF" w:val="clear"/>
            <w:vAlign w:val="center"/>
          </w:tcPr>
          <w:p>
            <w:pPr>
              <w:pStyle w:val="TableContents"/>
              <w:bidi w:val="0"/>
              <w:spacing w:before="0" w:after="283"/>
              <w:jc w:val="left"/>
              <w:rPr>
                <w:sz w:val="4"/>
                <w:szCs w:val="4"/>
              </w:rPr>
            </w:pPr>
            <w:r>
              <w:rPr>
                <w:sz w:val="4"/>
                <w:szCs w:val="4"/>
              </w:rPr>
            </w:r>
          </w:p>
        </w:tc>
      </w:tr>
      <w:tr>
        <w:trPr/>
        <w:tc>
          <w:tcPr>
            <w:tcW w:w="3899" w:type="dxa"/>
            <w:tcBorders/>
            <w:vAlign w:val="center"/>
          </w:tcPr>
          <w:p>
            <w:pPr>
              <w:pStyle w:val="TableContents"/>
              <w:bidi w:val="0"/>
              <w:spacing w:before="0" w:after="283"/>
              <w:jc w:val="left"/>
              <w:rPr/>
            </w:pPr>
            <w:r>
              <w:rPr/>
              <w:t>Unallocated Selling, General, and Administrative Expenses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9" w:type="dxa"/>
            <w:tcBorders>
              <w:bottom w:val="single" w:sz="6" w:space="0" w:color="000000"/>
            </w:tcBorders>
            <w:tcMar>
              <w:bottom w:w="28" w:type="dxa"/>
            </w:tcMar>
            <w:vAlign w:val="center"/>
          </w:tcPr>
          <w:p>
            <w:pPr>
              <w:pStyle w:val="TableContents"/>
              <w:bidi w:val="0"/>
              <w:spacing w:before="0" w:after="283"/>
              <w:jc w:val="right"/>
              <w:rPr>
                <w:b/>
              </w:rPr>
            </w:pPr>
            <w:r>
              <w:rPr>
                <w:b/>
              </w:rPr>
              <w:t>(93,024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3" w:type="dxa"/>
            <w:tcBorders>
              <w:bottom w:val="single" w:sz="6" w:space="0" w:color="000000"/>
            </w:tcBorders>
            <w:tcMar>
              <w:bottom w:w="28" w:type="dxa"/>
            </w:tcMar>
            <w:vAlign w:val="center"/>
          </w:tcPr>
          <w:p>
            <w:pPr>
              <w:pStyle w:val="TableContents"/>
              <w:bidi w:val="0"/>
              <w:spacing w:before="0" w:after="283"/>
              <w:jc w:val="right"/>
              <w:rPr/>
            </w:pPr>
            <w:r>
              <w:rPr/>
              <w:t>(69,945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1" w:type="dxa"/>
            <w:tcBorders>
              <w:bottom w:val="single" w:sz="6" w:space="0" w:color="000000"/>
            </w:tcBorders>
            <w:tcMar>
              <w:bottom w:w="28" w:type="dxa"/>
            </w:tcMar>
            <w:vAlign w:val="center"/>
          </w:tcPr>
          <w:p>
            <w:pPr>
              <w:pStyle w:val="TableContents"/>
              <w:bidi w:val="0"/>
              <w:spacing w:before="0" w:after="283"/>
              <w:jc w:val="right"/>
              <w:rPr>
                <w:b/>
              </w:rPr>
            </w:pPr>
            <w:r>
              <w:rPr>
                <w:b/>
              </w:rPr>
              <w:t>(189,694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5" w:type="dxa"/>
            <w:tcBorders>
              <w:bottom w:val="single" w:sz="6" w:space="0" w:color="000000"/>
            </w:tcBorders>
            <w:tcMar>
              <w:bottom w:w="28" w:type="dxa"/>
            </w:tcMar>
            <w:vAlign w:val="center"/>
          </w:tcPr>
          <w:p>
            <w:pPr>
              <w:pStyle w:val="TableContents"/>
              <w:bidi w:val="0"/>
              <w:spacing w:before="0" w:after="283"/>
              <w:jc w:val="right"/>
              <w:rPr/>
            </w:pPr>
            <w:r>
              <w:rPr/>
              <w:t>(152,634</w:t>
            </w:r>
          </w:p>
        </w:tc>
        <w:tc>
          <w:tcPr>
            <w:tcW w:w="233" w:type="dxa"/>
            <w:tcBorders/>
            <w:vAlign w:val="center"/>
          </w:tcPr>
          <w:p>
            <w:pPr>
              <w:pStyle w:val="TableContents"/>
              <w:bidi w:val="0"/>
              <w:spacing w:before="0" w:after="283"/>
              <w:jc w:val="left"/>
              <w:rPr/>
            </w:pPr>
            <w:r>
              <w:rPr/>
              <w:t>) </w:t>
            </w:r>
          </w:p>
        </w:tc>
      </w:tr>
      <w:tr>
        <w:trPr/>
        <w:tc>
          <w:tcPr>
            <w:tcW w:w="3899" w:type="dxa"/>
            <w:tcBorders/>
            <w:shd w:fill="CCEEFF" w:val="clear"/>
            <w:vAlign w:val="center"/>
          </w:tcPr>
          <w:p>
            <w:pPr>
              <w:pStyle w:val="TableContents"/>
              <w:bidi w:val="0"/>
              <w:spacing w:before="0" w:after="283"/>
              <w:jc w:val="left"/>
              <w:rPr/>
            </w:pPr>
            <w:r>
              <w:rPr/>
              <w:t>Consolidated Operating Income</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79"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53,526</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single" w:sz="6" w:space="0" w:color="000000"/>
            </w:tcBorders>
            <w:shd w:fill="CCEEFF" w:val="clear"/>
            <w:tcMar>
              <w:bottom w:w="28" w:type="dxa"/>
            </w:tcMar>
            <w:vAlign w:val="center"/>
          </w:tcPr>
          <w:p>
            <w:pPr>
              <w:pStyle w:val="TableContents"/>
              <w:bidi w:val="0"/>
              <w:spacing w:before="0" w:after="283"/>
              <w:jc w:val="right"/>
              <w:rPr/>
            </w:pPr>
            <w:r>
              <w:rPr/>
              <w:t>22,118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75,650</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single" w:sz="6" w:space="0" w:color="000000"/>
            </w:tcBorders>
            <w:shd w:fill="CCEEFF" w:val="clear"/>
            <w:tcMar>
              <w:bottom w:w="28" w:type="dxa"/>
            </w:tcMar>
            <w:vAlign w:val="center"/>
          </w:tcPr>
          <w:p>
            <w:pPr>
              <w:pStyle w:val="TableContents"/>
              <w:bidi w:val="0"/>
              <w:spacing w:before="0" w:after="283"/>
              <w:jc w:val="right"/>
              <w:rPr/>
            </w:pPr>
            <w:r>
              <w:rPr/>
              <w:t>22,933</w:t>
            </w:r>
          </w:p>
        </w:tc>
        <w:tc>
          <w:tcPr>
            <w:tcW w:w="233" w:type="dxa"/>
            <w:tcBorders/>
            <w:shd w:fill="CCEEFF" w:val="clear"/>
            <w:vAlign w:val="center"/>
          </w:tcPr>
          <w:p>
            <w:pPr>
              <w:pStyle w:val="TableContents"/>
              <w:bidi w:val="0"/>
              <w:spacing w:before="0" w:after="283"/>
              <w:jc w:val="left"/>
              <w:rPr>
                <w:sz w:val="4"/>
                <w:szCs w:val="4"/>
              </w:rPr>
            </w:pPr>
            <w:r>
              <w:rPr>
                <w:sz w:val="4"/>
                <w:szCs w:val="4"/>
              </w:rPr>
            </w:r>
          </w:p>
        </w:tc>
      </w:tr>
      <w:tr>
        <w:trPr/>
        <w:tc>
          <w:tcPr>
            <w:tcW w:w="3899" w:type="dxa"/>
            <w:tcBorders/>
            <w:vAlign w:val="center"/>
          </w:tcPr>
          <w:p>
            <w:pPr>
              <w:pStyle w:val="TableContents"/>
              <w:bidi w:val="0"/>
              <w:spacing w:before="0" w:after="283"/>
              <w:jc w:val="left"/>
              <w:rPr/>
            </w:pPr>
            <w:r>
              <w:rPr/>
              <w:t>Unallocated Other Income (Expense)</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79" w:type="dxa"/>
            <w:tcBorders>
              <w:bottom w:val="single" w:sz="6" w:space="0" w:color="000000"/>
            </w:tcBorders>
            <w:tcMar>
              <w:bottom w:w="28" w:type="dxa"/>
            </w:tcMar>
            <w:vAlign w:val="center"/>
          </w:tcPr>
          <w:p>
            <w:pPr>
              <w:pStyle w:val="TableContents"/>
              <w:bidi w:val="0"/>
              <w:spacing w:before="0" w:after="283"/>
              <w:jc w:val="right"/>
              <w:rPr>
                <w:b/>
              </w:rPr>
            </w:pPr>
            <w:r>
              <w:rPr>
                <w:b/>
              </w:rPr>
              <w:t>(11,127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3" w:type="dxa"/>
            <w:tcBorders>
              <w:bottom w:val="single" w:sz="6" w:space="0" w:color="000000"/>
            </w:tcBorders>
            <w:tcMar>
              <w:bottom w:w="28" w:type="dxa"/>
            </w:tcMar>
            <w:vAlign w:val="center"/>
          </w:tcPr>
          <w:p>
            <w:pPr>
              <w:pStyle w:val="TableContents"/>
              <w:bidi w:val="0"/>
              <w:spacing w:before="0" w:after="283"/>
              <w:jc w:val="right"/>
              <w:rPr/>
            </w:pPr>
            <w:r>
              <w:rPr/>
              <w:t>(9,841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11" w:type="dxa"/>
            <w:tcBorders>
              <w:bottom w:val="single" w:sz="6" w:space="0" w:color="000000"/>
            </w:tcBorders>
            <w:tcMar>
              <w:bottom w:w="28" w:type="dxa"/>
            </w:tcMar>
            <w:vAlign w:val="center"/>
          </w:tcPr>
          <w:p>
            <w:pPr>
              <w:pStyle w:val="TableContents"/>
              <w:bidi w:val="0"/>
              <w:spacing w:before="0" w:after="283"/>
              <w:jc w:val="right"/>
              <w:rPr>
                <w:b/>
              </w:rPr>
            </w:pPr>
            <w:r>
              <w:rPr>
                <w:b/>
              </w:rPr>
              <w:t>(20,399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5" w:type="dxa"/>
            <w:tcBorders>
              <w:bottom w:val="single" w:sz="6" w:space="0" w:color="000000"/>
            </w:tcBorders>
            <w:tcMar>
              <w:bottom w:w="28" w:type="dxa"/>
            </w:tcMar>
            <w:vAlign w:val="center"/>
          </w:tcPr>
          <w:p>
            <w:pPr>
              <w:pStyle w:val="TableContents"/>
              <w:bidi w:val="0"/>
              <w:spacing w:before="0" w:after="283"/>
              <w:jc w:val="right"/>
              <w:rPr/>
            </w:pPr>
            <w:r>
              <w:rPr/>
              <w:t>(14,884</w:t>
            </w:r>
          </w:p>
        </w:tc>
        <w:tc>
          <w:tcPr>
            <w:tcW w:w="233" w:type="dxa"/>
            <w:tcBorders/>
            <w:vAlign w:val="center"/>
          </w:tcPr>
          <w:p>
            <w:pPr>
              <w:pStyle w:val="TableContents"/>
              <w:bidi w:val="0"/>
              <w:spacing w:before="0" w:after="283"/>
              <w:jc w:val="left"/>
              <w:rPr/>
            </w:pPr>
            <w:r>
              <w:rPr/>
              <w:t>) </w:t>
            </w:r>
          </w:p>
        </w:tc>
      </w:tr>
      <w:tr>
        <w:trPr/>
        <w:tc>
          <w:tcPr>
            <w:tcW w:w="3899" w:type="dxa"/>
            <w:tcBorders/>
            <w:shd w:fill="CCEEFF" w:val="clear"/>
            <w:vAlign w:val="center"/>
          </w:tcPr>
          <w:p>
            <w:pPr>
              <w:pStyle w:val="TableContents"/>
              <w:bidi w:val="0"/>
              <w:spacing w:before="0" w:after="283"/>
              <w:jc w:val="left"/>
              <w:rPr/>
            </w:pPr>
            <w:r>
              <w:rPr/>
              <w:t>Consolidated Income Before Taxes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42,399</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3" w:type="dxa"/>
            <w:tcBorders>
              <w:bottom w:val="double" w:sz="6" w:space="0" w:color="000000"/>
            </w:tcBorders>
            <w:shd w:fill="CCEEFF" w:val="clear"/>
            <w:tcMar>
              <w:bottom w:w="28" w:type="dxa"/>
            </w:tcMar>
            <w:vAlign w:val="center"/>
          </w:tcPr>
          <w:p>
            <w:pPr>
              <w:pStyle w:val="TableContents"/>
              <w:bidi w:val="0"/>
              <w:spacing w:before="0" w:after="283"/>
              <w:jc w:val="right"/>
              <w:rPr/>
            </w:pPr>
            <w:r>
              <w:rPr/>
              <w:t>12,277</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1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55,251</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15" w:type="dxa"/>
            <w:tcBorders>
              <w:bottom w:val="double" w:sz="6" w:space="0" w:color="000000"/>
            </w:tcBorders>
            <w:shd w:fill="CCEEFF" w:val="clear"/>
            <w:tcMar>
              <w:bottom w:w="28" w:type="dxa"/>
            </w:tcMar>
            <w:vAlign w:val="center"/>
          </w:tcPr>
          <w:p>
            <w:pPr>
              <w:pStyle w:val="TableContents"/>
              <w:bidi w:val="0"/>
              <w:spacing w:before="0" w:after="283"/>
              <w:jc w:val="right"/>
              <w:rPr/>
            </w:pPr>
            <w:r>
              <w:rPr/>
              <w:t>8,049</w:t>
            </w:r>
          </w:p>
        </w:tc>
        <w:tc>
          <w:tcPr>
            <w:tcW w:w="233"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Company has a broad line of products that it sells to OEMs, EMS companies, and independent distributors. The distribution of sales by customer type is shown below:</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560"/>
        <w:gridCol w:w="170"/>
        <w:gridCol w:w="1184"/>
        <w:gridCol w:w="185"/>
        <w:gridCol w:w="90"/>
        <w:gridCol w:w="170"/>
        <w:gridCol w:w="1331"/>
        <w:gridCol w:w="90"/>
        <w:gridCol w:w="90"/>
        <w:gridCol w:w="170"/>
        <w:gridCol w:w="1217"/>
        <w:gridCol w:w="185"/>
        <w:gridCol w:w="90"/>
        <w:gridCol w:w="170"/>
        <w:gridCol w:w="1364"/>
        <w:gridCol w:w="139"/>
      </w:tblGrid>
      <w:tr>
        <w:trPr/>
        <w:tc>
          <w:tcPr>
            <w:tcW w:w="3560" w:type="dxa"/>
            <w:tcBorders/>
            <w:vAlign w:val="center"/>
          </w:tcPr>
          <w:p>
            <w:pPr>
              <w:pStyle w:val="TableContents"/>
              <w:bidi w:val="0"/>
              <w:spacing w:before="0" w:after="283"/>
              <w:jc w:val="left"/>
              <w:rPr/>
            </w:pPr>
            <w:r>
              <w:rPr/>
              <w:t> </w:t>
            </w:r>
          </w:p>
        </w:tc>
        <w:tc>
          <w:tcPr>
            <w:tcW w:w="3220"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335" w:type="dxa"/>
            <w:gridSpan w:val="7"/>
            <w:tcBorders/>
            <w:vAlign w:val="center"/>
          </w:tcPr>
          <w:p>
            <w:pPr>
              <w:pStyle w:val="TableContents"/>
              <w:bidi w:val="0"/>
              <w:spacing w:before="0" w:after="283"/>
              <w:jc w:val="center"/>
              <w:rPr>
                <w:b/>
              </w:rPr>
            </w:pPr>
            <w:r>
              <w:rPr>
                <w:b/>
              </w:rPr>
              <w:t>Six fiscal months ended</w:t>
            </w:r>
          </w:p>
        </w:tc>
      </w:tr>
      <w:tr>
        <w:trPr/>
        <w:tc>
          <w:tcPr>
            <w:tcW w:w="356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4"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1"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7"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4"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39"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Distributors</w:t>
            </w:r>
          </w:p>
        </w:tc>
        <w:tc>
          <w:tcPr>
            <w:tcW w:w="170" w:type="dxa"/>
            <w:tcBorders/>
            <w:shd w:fill="CCEEFF" w:val="clear"/>
            <w:vAlign w:val="center"/>
          </w:tcPr>
          <w:p>
            <w:pPr>
              <w:pStyle w:val="TableContents"/>
              <w:bidi w:val="0"/>
              <w:spacing w:before="0" w:after="283"/>
              <w:jc w:val="left"/>
              <w:rPr>
                <w:b/>
              </w:rPr>
            </w:pPr>
            <w:r>
              <w:rPr>
                <w:b/>
              </w:rPr>
              <w:t>$</w:t>
            </w:r>
          </w:p>
        </w:tc>
        <w:tc>
          <w:tcPr>
            <w:tcW w:w="1184" w:type="dxa"/>
            <w:tcBorders/>
            <w:shd w:fill="CCEEFF" w:val="clear"/>
            <w:vAlign w:val="center"/>
          </w:tcPr>
          <w:p>
            <w:pPr>
              <w:pStyle w:val="TableContents"/>
              <w:bidi w:val="0"/>
              <w:spacing w:before="0" w:after="283"/>
              <w:jc w:val="right"/>
              <w:rPr>
                <w:b/>
              </w:rPr>
            </w:pPr>
            <w:r>
              <w:rPr>
                <w:b/>
              </w:rPr>
              <w:t>534,045</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430,159</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17" w:type="dxa"/>
            <w:tcBorders/>
            <w:shd w:fill="CCEEFF" w:val="clear"/>
            <w:vAlign w:val="center"/>
          </w:tcPr>
          <w:p>
            <w:pPr>
              <w:pStyle w:val="TableContents"/>
              <w:bidi w:val="0"/>
              <w:spacing w:before="0" w:after="283"/>
              <w:jc w:val="right"/>
              <w:rPr>
                <w:b/>
              </w:rPr>
            </w:pPr>
            <w:r>
              <w:rPr>
                <w:b/>
              </w:rPr>
              <w:t>995,892</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64" w:type="dxa"/>
            <w:tcBorders/>
            <w:shd w:fill="CCEEFF" w:val="clear"/>
            <w:vAlign w:val="center"/>
          </w:tcPr>
          <w:p>
            <w:pPr>
              <w:pStyle w:val="TableContents"/>
              <w:bidi w:val="0"/>
              <w:spacing w:before="0" w:after="283"/>
              <w:jc w:val="right"/>
              <w:rPr/>
            </w:pPr>
            <w:r>
              <w:rPr/>
              <w:t>818,652</w:t>
            </w:r>
          </w:p>
        </w:tc>
        <w:tc>
          <w:tcPr>
            <w:tcW w:w="139"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pPr>
            <w:r>
              <w:rPr/>
              <w:t>OEMs</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rPr>
            </w:pPr>
            <w:r>
              <w:rPr>
                <w:b/>
              </w:rPr>
              <w:t>323,794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277,255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b/>
              </w:rPr>
            </w:pPr>
            <w:r>
              <w:rPr>
                <w:b/>
              </w:rPr>
              <w:t>642,327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555,601</w:t>
            </w:r>
          </w:p>
        </w:tc>
        <w:tc>
          <w:tcPr>
            <w:tcW w:w="139"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EMS companies</w:t>
            </w:r>
          </w:p>
        </w:tc>
        <w:tc>
          <w:tcPr>
            <w:tcW w:w="17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b/>
              </w:rPr>
            </w:pPr>
            <w:r>
              <w:rPr>
                <w:b/>
              </w:rPr>
              <w:t>60,744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54,836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b/>
              </w:rPr>
            </w:pPr>
            <w:r>
              <w:rPr>
                <w:b/>
              </w:rPr>
              <w:t>119,606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103,233</w:t>
            </w:r>
          </w:p>
        </w:tc>
        <w:tc>
          <w:tcPr>
            <w:tcW w:w="139"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Tariff refunds passed through to customers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4" w:type="dxa"/>
            <w:tcBorders>
              <w:bottom w:val="single" w:sz="6" w:space="0" w:color="000000"/>
            </w:tcBorders>
            <w:tcMar>
              <w:bottom w:w="28" w:type="dxa"/>
            </w:tcMar>
            <w:vAlign w:val="center"/>
          </w:tcPr>
          <w:p>
            <w:pPr>
              <w:pStyle w:val="TableContents"/>
              <w:bidi w:val="0"/>
              <w:spacing w:before="0" w:after="283"/>
              <w:jc w:val="right"/>
              <w:rPr>
                <w:b/>
              </w:rPr>
            </w:pPr>
            <w:r>
              <w:rPr>
                <w:b/>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1"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7" w:type="dxa"/>
            <w:tcBorders>
              <w:bottom w:val="single" w:sz="6" w:space="0" w:color="000000"/>
            </w:tcBorders>
            <w:tcMar>
              <w:bottom w:w="28" w:type="dxa"/>
            </w:tcMar>
            <w:vAlign w:val="center"/>
          </w:tcPr>
          <w:p>
            <w:pPr>
              <w:pStyle w:val="TableContents"/>
              <w:bidi w:val="0"/>
              <w:spacing w:before="0" w:after="283"/>
              <w:jc w:val="right"/>
              <w:rPr>
                <w:b/>
              </w:rPr>
            </w:pPr>
            <w:r>
              <w:rPr>
                <w:b/>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4" w:type="dxa"/>
            <w:tcBorders>
              <w:bottom w:val="single" w:sz="6" w:space="0" w:color="000000"/>
            </w:tcBorders>
            <w:tcMar>
              <w:bottom w:w="28" w:type="dxa"/>
            </w:tcMar>
            <w:vAlign w:val="center"/>
          </w:tcPr>
          <w:p>
            <w:pPr>
              <w:pStyle w:val="TableContents"/>
              <w:bidi w:val="0"/>
              <w:spacing w:before="0" w:after="283"/>
              <w:jc w:val="right"/>
              <w:rPr/>
            </w:pPr>
            <w:r>
              <w:rPr/>
              <w:t>-</w:t>
            </w:r>
          </w:p>
        </w:tc>
        <w:tc>
          <w:tcPr>
            <w:tcW w:w="139"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 Revenue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888,575</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pPr>
            <w:r>
              <w:rPr/>
              <w:t>762,250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1,727,817</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pPr>
            <w:r>
              <w:rPr/>
              <w:t>1,477,486</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Net revenues were attributable to customers in the following regions:</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549"/>
        <w:gridCol w:w="170"/>
        <w:gridCol w:w="1187"/>
        <w:gridCol w:w="185"/>
        <w:gridCol w:w="90"/>
        <w:gridCol w:w="170"/>
        <w:gridCol w:w="1335"/>
        <w:gridCol w:w="90"/>
        <w:gridCol w:w="90"/>
        <w:gridCol w:w="170"/>
        <w:gridCol w:w="1219"/>
        <w:gridCol w:w="185"/>
        <w:gridCol w:w="90"/>
        <w:gridCol w:w="170"/>
        <w:gridCol w:w="1367"/>
        <w:gridCol w:w="138"/>
      </w:tblGrid>
      <w:tr>
        <w:trPr/>
        <w:tc>
          <w:tcPr>
            <w:tcW w:w="3549" w:type="dxa"/>
            <w:tcBorders/>
            <w:vAlign w:val="center"/>
          </w:tcPr>
          <w:p>
            <w:pPr>
              <w:pStyle w:val="TableContents"/>
              <w:bidi w:val="0"/>
              <w:spacing w:before="0" w:after="283"/>
              <w:jc w:val="left"/>
              <w:rPr/>
            </w:pPr>
            <w:r>
              <w:rPr/>
              <w:t> </w:t>
            </w:r>
          </w:p>
        </w:tc>
        <w:tc>
          <w:tcPr>
            <w:tcW w:w="3227"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339" w:type="dxa"/>
            <w:gridSpan w:val="7"/>
            <w:tcBorders/>
            <w:vAlign w:val="center"/>
          </w:tcPr>
          <w:p>
            <w:pPr>
              <w:pStyle w:val="TableContents"/>
              <w:bidi w:val="0"/>
              <w:spacing w:before="0" w:after="283"/>
              <w:jc w:val="center"/>
              <w:rPr>
                <w:b/>
              </w:rPr>
            </w:pPr>
            <w:r>
              <w:rPr>
                <w:b/>
              </w:rPr>
              <w:t>Six fiscal months ended</w:t>
            </w:r>
          </w:p>
        </w:tc>
      </w:tr>
      <w:tr>
        <w:trPr/>
        <w:tc>
          <w:tcPr>
            <w:tcW w:w="3549"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67"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38" w:type="dxa"/>
            <w:tcBorders/>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Asia</w:t>
            </w:r>
          </w:p>
        </w:tc>
        <w:tc>
          <w:tcPr>
            <w:tcW w:w="170" w:type="dxa"/>
            <w:tcBorders/>
            <w:shd w:fill="CCEEFF" w:val="clear"/>
            <w:vAlign w:val="center"/>
          </w:tcPr>
          <w:p>
            <w:pPr>
              <w:pStyle w:val="TableContents"/>
              <w:bidi w:val="0"/>
              <w:spacing w:before="0" w:after="283"/>
              <w:jc w:val="left"/>
              <w:rPr>
                <w:b/>
              </w:rPr>
            </w:pPr>
            <w:r>
              <w:rPr>
                <w:b/>
              </w:rPr>
              <w:t>$</w:t>
            </w:r>
          </w:p>
        </w:tc>
        <w:tc>
          <w:tcPr>
            <w:tcW w:w="1187" w:type="dxa"/>
            <w:tcBorders/>
            <w:shd w:fill="CCEEFF" w:val="clear"/>
            <w:vAlign w:val="center"/>
          </w:tcPr>
          <w:p>
            <w:pPr>
              <w:pStyle w:val="TableContents"/>
              <w:bidi w:val="0"/>
              <w:spacing w:before="0" w:after="283"/>
              <w:jc w:val="right"/>
              <w:rPr>
                <w:b/>
              </w:rPr>
            </w:pPr>
            <w:r>
              <w:rPr>
                <w:b/>
              </w:rPr>
              <w:t>377,115</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35" w:type="dxa"/>
            <w:tcBorders/>
            <w:shd w:fill="CCEEFF" w:val="clear"/>
            <w:vAlign w:val="center"/>
          </w:tcPr>
          <w:p>
            <w:pPr>
              <w:pStyle w:val="TableContents"/>
              <w:bidi w:val="0"/>
              <w:spacing w:before="0" w:after="283"/>
              <w:jc w:val="right"/>
              <w:rPr/>
            </w:pPr>
            <w:r>
              <w:rPr/>
              <w:t>317,479</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19" w:type="dxa"/>
            <w:tcBorders/>
            <w:shd w:fill="CCEEFF" w:val="clear"/>
            <w:vAlign w:val="center"/>
          </w:tcPr>
          <w:p>
            <w:pPr>
              <w:pStyle w:val="TableContents"/>
              <w:bidi w:val="0"/>
              <w:spacing w:before="0" w:after="283"/>
              <w:jc w:val="right"/>
              <w:rPr>
                <w:b/>
              </w:rPr>
            </w:pPr>
            <w:r>
              <w:rPr>
                <w:b/>
              </w:rPr>
              <w:t>712,254</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67" w:type="dxa"/>
            <w:tcBorders/>
            <w:shd w:fill="CCEEFF" w:val="clear"/>
            <w:vAlign w:val="center"/>
          </w:tcPr>
          <w:p>
            <w:pPr>
              <w:pStyle w:val="TableContents"/>
              <w:bidi w:val="0"/>
              <w:spacing w:before="0" w:after="283"/>
              <w:jc w:val="right"/>
              <w:rPr/>
            </w:pPr>
            <w:r>
              <w:rPr/>
              <w:t>602,058</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r>
        <w:trPr/>
        <w:tc>
          <w:tcPr>
            <w:tcW w:w="3549" w:type="dxa"/>
            <w:tcBorders/>
            <w:vAlign w:val="center"/>
          </w:tcPr>
          <w:p>
            <w:pPr>
              <w:pStyle w:val="TableContents"/>
              <w:bidi w:val="0"/>
              <w:spacing w:before="0" w:after="283"/>
              <w:jc w:val="left"/>
              <w:rPr/>
            </w:pPr>
            <w:r>
              <w:rPr/>
              <w:t>Europe</w:t>
            </w:r>
          </w:p>
        </w:tc>
        <w:tc>
          <w:tcPr>
            <w:tcW w:w="170"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b/>
              </w:rPr>
            </w:pPr>
            <w:r>
              <w:rPr>
                <w:b/>
              </w:rPr>
              <w:t>305,042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256,489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9" w:type="dxa"/>
            <w:tcBorders/>
            <w:vAlign w:val="center"/>
          </w:tcPr>
          <w:p>
            <w:pPr>
              <w:pStyle w:val="TableContents"/>
              <w:bidi w:val="0"/>
              <w:spacing w:before="0" w:after="283"/>
              <w:jc w:val="right"/>
              <w:rPr>
                <w:b/>
              </w:rPr>
            </w:pPr>
            <w:r>
              <w:rPr>
                <w:b/>
              </w:rPr>
              <w:t>601,858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67" w:type="dxa"/>
            <w:tcBorders/>
            <w:vAlign w:val="center"/>
          </w:tcPr>
          <w:p>
            <w:pPr>
              <w:pStyle w:val="TableContents"/>
              <w:bidi w:val="0"/>
              <w:spacing w:before="0" w:after="283"/>
              <w:jc w:val="right"/>
              <w:rPr/>
            </w:pPr>
            <w:r>
              <w:rPr/>
              <w:t>511,820</w:t>
            </w:r>
          </w:p>
        </w:tc>
        <w:tc>
          <w:tcPr>
            <w:tcW w:w="138" w:type="dxa"/>
            <w:tcBorders/>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Americas</w:t>
            </w:r>
          </w:p>
        </w:tc>
        <w:tc>
          <w:tcPr>
            <w:tcW w:w="170"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b/>
              </w:rPr>
            </w:pPr>
            <w:r>
              <w:rPr>
                <w:b/>
              </w:rPr>
              <w:t>236,426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r>
              <w:rPr/>
              <w:t>188,282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b/>
              </w:rPr>
            </w:pPr>
            <w:r>
              <w:rPr>
                <w:b/>
              </w:rPr>
              <w:t>443,713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67" w:type="dxa"/>
            <w:tcBorders/>
            <w:shd w:fill="CCEEFF" w:val="clear"/>
            <w:vAlign w:val="center"/>
          </w:tcPr>
          <w:p>
            <w:pPr>
              <w:pStyle w:val="TableContents"/>
              <w:bidi w:val="0"/>
              <w:spacing w:before="0" w:after="283"/>
              <w:jc w:val="right"/>
              <w:rPr/>
            </w:pPr>
            <w:r>
              <w:rPr/>
              <w:t>363,608</w:t>
            </w:r>
          </w:p>
        </w:tc>
        <w:tc>
          <w:tcPr>
            <w:tcW w:w="138" w:type="dxa"/>
            <w:tcBorders/>
            <w:shd w:fill="CCEEFF" w:val="clear"/>
            <w:vAlign w:val="center"/>
          </w:tcPr>
          <w:p>
            <w:pPr>
              <w:pStyle w:val="TableContents"/>
              <w:bidi w:val="0"/>
              <w:spacing w:before="0" w:after="283"/>
              <w:jc w:val="left"/>
              <w:rPr/>
            </w:pPr>
            <w:r>
              <w:rPr/>
              <w:t> </w:t>
            </w:r>
          </w:p>
        </w:tc>
      </w:tr>
      <w:tr>
        <w:trPr/>
        <w:tc>
          <w:tcPr>
            <w:tcW w:w="3549" w:type="dxa"/>
            <w:tcBorders/>
            <w:vAlign w:val="center"/>
          </w:tcPr>
          <w:p>
            <w:pPr>
              <w:pStyle w:val="TableContents"/>
              <w:bidi w:val="0"/>
              <w:spacing w:before="0" w:after="283"/>
              <w:jc w:val="left"/>
              <w:rPr/>
            </w:pPr>
            <w:r>
              <w:rPr/>
              <w:t>Tariff refunds passed through to customers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87" w:type="dxa"/>
            <w:tcBorders>
              <w:bottom w:val="single" w:sz="2" w:space="0" w:color="000000"/>
            </w:tcBorders>
            <w:tcMar>
              <w:bottom w:w="28" w:type="dxa"/>
            </w:tcMar>
            <w:vAlign w:val="center"/>
          </w:tcPr>
          <w:p>
            <w:pPr>
              <w:pStyle w:val="TableContents"/>
              <w:bidi w:val="0"/>
              <w:spacing w:before="0" w:after="283"/>
              <w:jc w:val="right"/>
              <w:rPr>
                <w:b/>
              </w:rPr>
            </w:pPr>
            <w:r>
              <w:rPr>
                <w:b/>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19" w:type="dxa"/>
            <w:tcBorders>
              <w:bottom w:val="single" w:sz="2" w:space="0" w:color="000000"/>
            </w:tcBorders>
            <w:tcMar>
              <w:bottom w:w="28" w:type="dxa"/>
            </w:tcMar>
            <w:vAlign w:val="center"/>
          </w:tcPr>
          <w:p>
            <w:pPr>
              <w:pStyle w:val="TableContents"/>
              <w:bidi w:val="0"/>
              <w:spacing w:before="0" w:after="283"/>
              <w:jc w:val="right"/>
              <w:rPr>
                <w:b/>
              </w:rPr>
            </w:pPr>
            <w:r>
              <w:rPr>
                <w:b/>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67" w:type="dxa"/>
            <w:tcBorders>
              <w:bottom w:val="single" w:sz="2" w:space="0" w:color="000000"/>
            </w:tcBorders>
            <w:tcMar>
              <w:bottom w:w="28" w:type="dxa"/>
            </w:tcMar>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jc w:val="left"/>
              <w:rPr/>
            </w:pPr>
            <w:r>
              <w:rPr/>
              <w:t> </w:t>
            </w:r>
          </w:p>
        </w:tc>
      </w:tr>
      <w:tr>
        <w:trPr/>
        <w:tc>
          <w:tcPr>
            <w:tcW w:w="3549" w:type="dxa"/>
            <w:tcBorders/>
            <w:shd w:fill="CCEEFF" w:val="clear"/>
            <w:vAlign w:val="center"/>
          </w:tcPr>
          <w:p>
            <w:pPr>
              <w:pStyle w:val="TableContents"/>
              <w:bidi w:val="0"/>
              <w:spacing w:before="0" w:after="283"/>
              <w:jc w:val="left"/>
              <w:rPr/>
            </w:pPr>
            <w:r>
              <w:rPr/>
              <w:t>Total Revenue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888,575</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5" w:type="dxa"/>
            <w:tcBorders>
              <w:bottom w:val="double" w:sz="6" w:space="0" w:color="000000"/>
            </w:tcBorders>
            <w:shd w:fill="CCEEFF" w:val="clear"/>
            <w:tcMar>
              <w:bottom w:w="28" w:type="dxa"/>
            </w:tcMar>
            <w:vAlign w:val="center"/>
          </w:tcPr>
          <w:p>
            <w:pPr>
              <w:pStyle w:val="TableContents"/>
              <w:bidi w:val="0"/>
              <w:spacing w:before="0" w:after="283"/>
              <w:jc w:val="right"/>
              <w:rPr/>
            </w:pPr>
            <w:r>
              <w:rPr/>
              <w:t>762,250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1,727,817</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7" w:type="dxa"/>
            <w:tcBorders>
              <w:bottom w:val="double" w:sz="6" w:space="0" w:color="000000"/>
            </w:tcBorders>
            <w:shd w:fill="CCEEFF" w:val="clear"/>
            <w:tcMar>
              <w:bottom w:w="28" w:type="dxa"/>
            </w:tcMar>
            <w:vAlign w:val="center"/>
          </w:tcPr>
          <w:p>
            <w:pPr>
              <w:pStyle w:val="TableContents"/>
              <w:bidi w:val="0"/>
              <w:spacing w:before="0" w:after="283"/>
              <w:jc w:val="right"/>
              <w:rPr/>
            </w:pPr>
            <w:r>
              <w:rPr/>
              <w:t>1,477,486</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Company generates substantially all of its revenue from product sales to end customers in the industrial, automotive, military and aerospace, healthcare, power supplies, telecommunications, consumer products, and computing end markets.  Sales by end market are presented below:</w:t>
      </w:r>
    </w:p>
    <w:p>
      <w:pPr>
        <w:pStyle w:val="TextBody"/>
        <w:bidi w:val="0"/>
        <w:spacing w:before="0" w:after="0"/>
        <w:jc w:val="both"/>
        <w:rPr/>
      </w:pPr>
      <w:r>
        <w:rPr/>
        <w:t>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561"/>
        <w:gridCol w:w="170"/>
        <w:gridCol w:w="1184"/>
        <w:gridCol w:w="185"/>
        <w:gridCol w:w="90"/>
        <w:gridCol w:w="170"/>
        <w:gridCol w:w="1331"/>
        <w:gridCol w:w="90"/>
        <w:gridCol w:w="90"/>
        <w:gridCol w:w="170"/>
        <w:gridCol w:w="1217"/>
        <w:gridCol w:w="185"/>
        <w:gridCol w:w="90"/>
        <w:gridCol w:w="170"/>
        <w:gridCol w:w="1364"/>
        <w:gridCol w:w="138"/>
      </w:tblGrid>
      <w:tr>
        <w:trPr/>
        <w:tc>
          <w:tcPr>
            <w:tcW w:w="3561" w:type="dxa"/>
            <w:tcBorders/>
            <w:vAlign w:val="center"/>
          </w:tcPr>
          <w:p>
            <w:pPr>
              <w:pStyle w:val="TableContents"/>
              <w:bidi w:val="0"/>
              <w:spacing w:before="0" w:after="283"/>
              <w:jc w:val="left"/>
              <w:rPr/>
            </w:pPr>
            <w:r>
              <w:rPr/>
              <w:t> </w:t>
            </w:r>
          </w:p>
        </w:tc>
        <w:tc>
          <w:tcPr>
            <w:tcW w:w="3220"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334" w:type="dxa"/>
            <w:gridSpan w:val="7"/>
            <w:tcBorders/>
            <w:vAlign w:val="center"/>
          </w:tcPr>
          <w:p>
            <w:pPr>
              <w:pStyle w:val="TableContents"/>
              <w:bidi w:val="0"/>
              <w:spacing w:before="0" w:after="283"/>
              <w:jc w:val="center"/>
              <w:rPr>
                <w:b/>
              </w:rPr>
            </w:pPr>
            <w:r>
              <w:rPr>
                <w:b/>
              </w:rPr>
              <w:t>Six fiscal months ended</w:t>
            </w:r>
          </w:p>
        </w:tc>
      </w:tr>
      <w:tr>
        <w:trPr/>
        <w:tc>
          <w:tcPr>
            <w:tcW w:w="3561"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4"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1"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7"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4"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38" w:type="dxa"/>
            <w:tcBorders/>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283"/>
              <w:jc w:val="left"/>
              <w:rPr/>
            </w:pPr>
            <w:r>
              <w:rPr/>
              <w:t>Industrial</w:t>
            </w:r>
          </w:p>
        </w:tc>
        <w:tc>
          <w:tcPr>
            <w:tcW w:w="170" w:type="dxa"/>
            <w:tcBorders/>
            <w:shd w:fill="CCEEFF" w:val="clear"/>
            <w:vAlign w:val="center"/>
          </w:tcPr>
          <w:p>
            <w:pPr>
              <w:pStyle w:val="TableContents"/>
              <w:bidi w:val="0"/>
              <w:spacing w:before="0" w:after="283"/>
              <w:jc w:val="left"/>
              <w:rPr>
                <w:b/>
              </w:rPr>
            </w:pPr>
            <w:r>
              <w:rPr>
                <w:b/>
              </w:rPr>
              <w:t>$</w:t>
            </w:r>
          </w:p>
        </w:tc>
        <w:tc>
          <w:tcPr>
            <w:tcW w:w="1184" w:type="dxa"/>
            <w:tcBorders/>
            <w:shd w:fill="CCEEFF" w:val="clear"/>
            <w:vAlign w:val="center"/>
          </w:tcPr>
          <w:p>
            <w:pPr>
              <w:pStyle w:val="TableContents"/>
              <w:bidi w:val="0"/>
              <w:spacing w:before="0" w:after="283"/>
              <w:jc w:val="right"/>
              <w:rPr>
                <w:b/>
              </w:rPr>
            </w:pPr>
            <w:r>
              <w:rPr>
                <w:b/>
              </w:rPr>
              <w:t>347,290</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267,028</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217" w:type="dxa"/>
            <w:tcBorders/>
            <w:shd w:fill="CCEEFF" w:val="clear"/>
            <w:vAlign w:val="center"/>
          </w:tcPr>
          <w:p>
            <w:pPr>
              <w:pStyle w:val="TableContents"/>
              <w:bidi w:val="0"/>
              <w:spacing w:before="0" w:after="283"/>
              <w:jc w:val="right"/>
              <w:rPr>
                <w:b/>
              </w:rPr>
            </w:pPr>
            <w:r>
              <w:rPr>
                <w:b/>
              </w:rPr>
              <w:t>646,193</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64" w:type="dxa"/>
            <w:tcBorders/>
            <w:shd w:fill="CCEEFF" w:val="clear"/>
            <w:vAlign w:val="center"/>
          </w:tcPr>
          <w:p>
            <w:pPr>
              <w:pStyle w:val="TableContents"/>
              <w:bidi w:val="0"/>
              <w:spacing w:before="0" w:after="283"/>
              <w:jc w:val="right"/>
              <w:rPr/>
            </w:pPr>
            <w:r>
              <w:rPr/>
              <w:t>511,954</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r>
        <w:trPr/>
        <w:tc>
          <w:tcPr>
            <w:tcW w:w="3561" w:type="dxa"/>
            <w:tcBorders/>
            <w:vAlign w:val="center"/>
          </w:tcPr>
          <w:p>
            <w:pPr>
              <w:pStyle w:val="TableContents"/>
              <w:bidi w:val="0"/>
              <w:spacing w:before="0" w:after="283"/>
              <w:jc w:val="left"/>
              <w:rPr/>
            </w:pPr>
            <w:r>
              <w:rPr/>
              <w:t>Automotive</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rPr>
            </w:pPr>
            <w:r>
              <w:rPr>
                <w:b/>
              </w:rPr>
              <w:t>294,424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267,423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b/>
              </w:rPr>
            </w:pPr>
            <w:r>
              <w:rPr>
                <w:b/>
              </w:rPr>
              <w:t>578,715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524,535</w:t>
            </w:r>
          </w:p>
        </w:tc>
        <w:tc>
          <w:tcPr>
            <w:tcW w:w="138" w:type="dxa"/>
            <w:tcBorders/>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283"/>
              <w:jc w:val="left"/>
              <w:rPr/>
            </w:pPr>
            <w:r>
              <w:rPr/>
              <w:t>Military and Aerospace</w:t>
            </w:r>
          </w:p>
        </w:tc>
        <w:tc>
          <w:tcPr>
            <w:tcW w:w="17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b/>
              </w:rPr>
            </w:pPr>
            <w:r>
              <w:rPr>
                <w:b/>
              </w:rPr>
              <w:t>92,882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80,488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b/>
              </w:rPr>
            </w:pPr>
            <w:r>
              <w:rPr>
                <w:b/>
              </w:rPr>
              <w:t>182,055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156,805</w:t>
            </w:r>
          </w:p>
        </w:tc>
        <w:tc>
          <w:tcPr>
            <w:tcW w:w="138" w:type="dxa"/>
            <w:tcBorders/>
            <w:shd w:fill="CCEEFF" w:val="clear"/>
            <w:vAlign w:val="center"/>
          </w:tcPr>
          <w:p>
            <w:pPr>
              <w:pStyle w:val="TableContents"/>
              <w:bidi w:val="0"/>
              <w:spacing w:before="0" w:after="283"/>
              <w:jc w:val="left"/>
              <w:rPr/>
            </w:pPr>
            <w:r>
              <w:rPr/>
              <w:t> </w:t>
            </w:r>
          </w:p>
        </w:tc>
      </w:tr>
      <w:tr>
        <w:trPr/>
        <w:tc>
          <w:tcPr>
            <w:tcW w:w="3561" w:type="dxa"/>
            <w:tcBorders/>
            <w:vAlign w:val="center"/>
          </w:tcPr>
          <w:p>
            <w:pPr>
              <w:pStyle w:val="TableContents"/>
              <w:bidi w:val="0"/>
              <w:spacing w:before="0" w:after="283"/>
              <w:jc w:val="left"/>
              <w:rPr/>
            </w:pPr>
            <w:r>
              <w:rPr/>
              <w:t>Healthcare</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right"/>
              <w:rPr>
                <w:b/>
              </w:rPr>
            </w:pPr>
            <w:r>
              <w:rPr>
                <w:b/>
              </w:rPr>
              <w:t>43,452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37,899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7" w:type="dxa"/>
            <w:tcBorders/>
            <w:vAlign w:val="center"/>
          </w:tcPr>
          <w:p>
            <w:pPr>
              <w:pStyle w:val="TableContents"/>
              <w:bidi w:val="0"/>
              <w:spacing w:before="0" w:after="283"/>
              <w:jc w:val="right"/>
              <w:rPr>
                <w:b/>
              </w:rPr>
            </w:pPr>
            <w:r>
              <w:rPr>
                <w:b/>
              </w:rPr>
              <w:t>84,044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64" w:type="dxa"/>
            <w:tcBorders/>
            <w:vAlign w:val="center"/>
          </w:tcPr>
          <w:p>
            <w:pPr>
              <w:pStyle w:val="TableContents"/>
              <w:bidi w:val="0"/>
              <w:spacing w:before="0" w:after="283"/>
              <w:jc w:val="right"/>
              <w:rPr/>
            </w:pPr>
            <w:r>
              <w:rPr/>
              <w:t>74,431</w:t>
            </w:r>
          </w:p>
        </w:tc>
        <w:tc>
          <w:tcPr>
            <w:tcW w:w="138" w:type="dxa"/>
            <w:tcBorders/>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283"/>
              <w:jc w:val="left"/>
              <w:rPr/>
            </w:pPr>
            <w:r>
              <w:rPr/>
              <w:t>Other*</w:t>
            </w:r>
          </w:p>
        </w:tc>
        <w:tc>
          <w:tcPr>
            <w:tcW w:w="17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b/>
              </w:rPr>
            </w:pPr>
            <w:r>
              <w:rPr>
                <w:b/>
              </w:rPr>
              <w:t>140,535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109,412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7" w:type="dxa"/>
            <w:tcBorders/>
            <w:shd w:fill="CCEEFF" w:val="clear"/>
            <w:vAlign w:val="center"/>
          </w:tcPr>
          <w:p>
            <w:pPr>
              <w:pStyle w:val="TableContents"/>
              <w:bidi w:val="0"/>
              <w:spacing w:before="0" w:after="283"/>
              <w:jc w:val="right"/>
              <w:rPr>
                <w:b/>
              </w:rPr>
            </w:pPr>
            <w:r>
              <w:rPr>
                <w:b/>
              </w:rPr>
              <w:t>266,818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209,761</w:t>
            </w:r>
          </w:p>
        </w:tc>
        <w:tc>
          <w:tcPr>
            <w:tcW w:w="138" w:type="dxa"/>
            <w:tcBorders/>
            <w:shd w:fill="CCEEFF" w:val="clear"/>
            <w:vAlign w:val="center"/>
          </w:tcPr>
          <w:p>
            <w:pPr>
              <w:pStyle w:val="TableContents"/>
              <w:bidi w:val="0"/>
              <w:spacing w:before="0" w:after="283"/>
              <w:jc w:val="left"/>
              <w:rPr/>
            </w:pPr>
            <w:r>
              <w:rPr/>
              <w:t> </w:t>
            </w:r>
          </w:p>
        </w:tc>
      </w:tr>
      <w:tr>
        <w:trPr/>
        <w:tc>
          <w:tcPr>
            <w:tcW w:w="3561" w:type="dxa"/>
            <w:tcBorders/>
            <w:vAlign w:val="center"/>
          </w:tcPr>
          <w:p>
            <w:pPr>
              <w:pStyle w:val="TableContents"/>
              <w:bidi w:val="0"/>
              <w:spacing w:before="0" w:after="283"/>
              <w:jc w:val="left"/>
              <w:rPr/>
            </w:pPr>
            <w:r>
              <w:rPr/>
              <w:t>Tariff refunds passed through to customers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84" w:type="dxa"/>
            <w:tcBorders>
              <w:bottom w:val="single" w:sz="6" w:space="0" w:color="000000"/>
            </w:tcBorders>
            <w:tcMar>
              <w:bottom w:w="28" w:type="dxa"/>
            </w:tcMar>
            <w:vAlign w:val="center"/>
          </w:tcPr>
          <w:p>
            <w:pPr>
              <w:pStyle w:val="TableContents"/>
              <w:bidi w:val="0"/>
              <w:spacing w:before="0" w:after="283"/>
              <w:jc w:val="right"/>
              <w:rPr>
                <w:b/>
              </w:rPr>
            </w:pPr>
            <w:r>
              <w:rPr>
                <w:b/>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31"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7" w:type="dxa"/>
            <w:tcBorders>
              <w:bottom w:val="single" w:sz="6" w:space="0" w:color="000000"/>
            </w:tcBorders>
            <w:tcMar>
              <w:bottom w:w="28" w:type="dxa"/>
            </w:tcMar>
            <w:vAlign w:val="center"/>
          </w:tcPr>
          <w:p>
            <w:pPr>
              <w:pStyle w:val="TableContents"/>
              <w:bidi w:val="0"/>
              <w:spacing w:before="0" w:after="283"/>
              <w:jc w:val="right"/>
              <w:rPr>
                <w:b/>
              </w:rPr>
            </w:pPr>
            <w:r>
              <w:rPr>
                <w:b/>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64" w:type="dxa"/>
            <w:tcBorders>
              <w:bottom w:val="single" w:sz="6" w:space="0" w:color="000000"/>
            </w:tcBorders>
            <w:tcMar>
              <w:bottom w:w="28" w:type="dxa"/>
            </w:tcMar>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283"/>
              <w:jc w:val="left"/>
              <w:rPr/>
            </w:pPr>
            <w:r>
              <w:rPr/>
              <w:t>Total Revenue</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888,575</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pPr>
            <w:r>
              <w:rPr/>
              <w:t>762,250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1,727,817</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pPr>
            <w:r>
              <w:rPr/>
              <w:t>1,477,486</w:t>
            </w:r>
          </w:p>
        </w:tc>
        <w:tc>
          <w:tcPr>
            <w:tcW w:w="138"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*Power supplies, telecommunications, consumer products, and computing.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21</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11 – Earnings Per Share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following table sets forth the computation of basic and diluted earnings (loss) per share </w:t>
      </w:r>
      <w:r>
        <w:rPr>
          <w:rFonts w:ascii="Times New Roman" w:hAnsi="Times New Roman"/>
          <w:i/>
          <w:color w:val="000000"/>
          <w:sz w:val="24"/>
        </w:rPr>
        <w:t>(shares in thousands)</w:t>
      </w:r>
      <w:r>
        <w:rPr>
          <w:rFonts w:ascii="Times New Roman" w:hAnsi="Times New Roman"/>
          <w:color w:val="000000"/>
          <w:sz w:val="24"/>
        </w:rPr>
        <w:t>:</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917"/>
        <w:gridCol w:w="170"/>
        <w:gridCol w:w="1156"/>
        <w:gridCol w:w="90"/>
        <w:gridCol w:w="90"/>
        <w:gridCol w:w="170"/>
        <w:gridCol w:w="1292"/>
        <w:gridCol w:w="90"/>
        <w:gridCol w:w="90"/>
        <w:gridCol w:w="170"/>
        <w:gridCol w:w="1156"/>
        <w:gridCol w:w="90"/>
        <w:gridCol w:w="90"/>
        <w:gridCol w:w="170"/>
        <w:gridCol w:w="1292"/>
        <w:gridCol w:w="172"/>
      </w:tblGrid>
      <w:tr>
        <w:trPr/>
        <w:tc>
          <w:tcPr>
            <w:tcW w:w="3917" w:type="dxa"/>
            <w:tcBorders/>
            <w:vAlign w:val="center"/>
          </w:tcPr>
          <w:p>
            <w:pPr>
              <w:pStyle w:val="TableContents"/>
              <w:bidi w:val="0"/>
              <w:spacing w:before="0" w:after="283"/>
              <w:jc w:val="left"/>
              <w:rPr/>
            </w:pPr>
            <w:r>
              <w:rPr/>
              <w:t> </w:t>
            </w:r>
          </w:p>
        </w:tc>
        <w:tc>
          <w:tcPr>
            <w:tcW w:w="3058"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140" w:type="dxa"/>
            <w:gridSpan w:val="7"/>
            <w:tcBorders/>
            <w:vAlign w:val="center"/>
          </w:tcPr>
          <w:p>
            <w:pPr>
              <w:pStyle w:val="TableContents"/>
              <w:bidi w:val="0"/>
              <w:spacing w:before="0" w:after="283"/>
              <w:jc w:val="center"/>
              <w:rPr>
                <w:b/>
              </w:rPr>
            </w:pPr>
            <w:r>
              <w:rPr>
                <w:b/>
              </w:rPr>
              <w:t>Six fiscal months ended</w:t>
            </w:r>
          </w:p>
        </w:tc>
      </w:tr>
      <w:tr>
        <w:trPr/>
        <w:tc>
          <w:tcPr>
            <w:tcW w:w="3917"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2"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2"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72" w:type="dxa"/>
            <w:tcBorders/>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b/>
              </w:rPr>
            </w:pPr>
            <w:r>
              <w:rPr>
                <w:b/>
              </w:rPr>
              <w:t>Numerator:</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Net earnings (loss)</w:t>
            </w:r>
          </w:p>
        </w:tc>
        <w:tc>
          <w:tcPr>
            <w:tcW w:w="170"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28,124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2,004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35,288</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(2,088</w:t>
            </w:r>
          </w:p>
        </w:tc>
        <w:tc>
          <w:tcPr>
            <w:tcW w:w="172" w:type="dxa"/>
            <w:tcBorders/>
            <w:shd w:fill="CCEEFF" w:val="clear"/>
            <w:vAlign w:val="center"/>
          </w:tcPr>
          <w:p>
            <w:pPr>
              <w:pStyle w:val="TableContents"/>
              <w:bidi w:val="0"/>
              <w:spacing w:before="0" w:after="283"/>
              <w:jc w:val="left"/>
              <w:rPr/>
            </w:pPr>
            <w:r>
              <w:rPr/>
              <w:t>)</w:t>
            </w:r>
          </w:p>
        </w:tc>
      </w:tr>
      <w:tr>
        <w:trPr/>
        <w:tc>
          <w:tcPr>
            <w:tcW w:w="391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b/>
              </w:rPr>
            </w:pPr>
            <w:r>
              <w:rPr>
                <w:b/>
              </w:rPr>
              <w:t>Denominator:</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Denominator for basic earnings (loss) per share:</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Weighted average shares</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136,682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135,569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136,287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135,617</w:t>
            </w:r>
          </w:p>
        </w:tc>
        <w:tc>
          <w:tcPr>
            <w:tcW w:w="172" w:type="dxa"/>
            <w:tcBorders/>
            <w:shd w:fill="CCEEFF" w:val="clear"/>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Outstanding phantom stock units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tcMar>
              <w:bottom w:w="28" w:type="dxa"/>
            </w:tcMar>
            <w:vAlign w:val="center"/>
          </w:tcPr>
          <w:p>
            <w:pPr>
              <w:pStyle w:val="TableContents"/>
              <w:bidi w:val="0"/>
              <w:spacing w:before="0" w:after="283"/>
              <w:jc w:val="right"/>
              <w:rPr>
                <w:b/>
              </w:rPr>
            </w:pPr>
            <w:r>
              <w:rPr>
                <w:b/>
              </w:rPr>
              <w:t>142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2" w:type="dxa"/>
            <w:tcBorders>
              <w:bottom w:val="single" w:sz="6" w:space="0" w:color="000000"/>
            </w:tcBorders>
            <w:tcMar>
              <w:bottom w:w="28" w:type="dxa"/>
            </w:tcMar>
            <w:vAlign w:val="center"/>
          </w:tcPr>
          <w:p>
            <w:pPr>
              <w:pStyle w:val="TableContents"/>
              <w:bidi w:val="0"/>
              <w:spacing w:before="0" w:after="283"/>
              <w:jc w:val="right"/>
              <w:rPr/>
            </w:pPr>
            <w:r>
              <w:rPr/>
              <w:t>133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tcMar>
              <w:bottom w:w="28" w:type="dxa"/>
            </w:tcMar>
            <w:vAlign w:val="center"/>
          </w:tcPr>
          <w:p>
            <w:pPr>
              <w:pStyle w:val="TableContents"/>
              <w:bidi w:val="0"/>
              <w:spacing w:before="0" w:after="283"/>
              <w:jc w:val="right"/>
              <w:rPr>
                <w:b/>
              </w:rPr>
            </w:pPr>
            <w:r>
              <w:rPr>
                <w:b/>
              </w:rPr>
              <w:t>141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2" w:type="dxa"/>
            <w:tcBorders>
              <w:bottom w:val="single" w:sz="6" w:space="0" w:color="000000"/>
            </w:tcBorders>
            <w:tcMar>
              <w:bottom w:w="28" w:type="dxa"/>
            </w:tcMar>
            <w:vAlign w:val="center"/>
          </w:tcPr>
          <w:p>
            <w:pPr>
              <w:pStyle w:val="TableContents"/>
              <w:bidi w:val="0"/>
              <w:spacing w:before="0" w:after="283"/>
              <w:jc w:val="right"/>
              <w:rPr/>
            </w:pPr>
            <w:r>
              <w:rPr/>
              <w:t>133</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Adjusted weighted average shares - basic</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136,824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135,702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b/>
              </w:rPr>
            </w:pPr>
            <w:r>
              <w:rPr>
                <w:b/>
              </w:rPr>
              <w:t>136,428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right"/>
              <w:rPr/>
            </w:pPr>
            <w:r>
              <w:rPr/>
              <w:t>135,750</w:t>
            </w:r>
          </w:p>
        </w:tc>
        <w:tc>
          <w:tcPr>
            <w:tcW w:w="172" w:type="dxa"/>
            <w:tcBorders/>
            <w:shd w:fill="CCEEFF" w:val="clear"/>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Effect of dilutive securities:</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Restricted stock units</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b/>
              </w:rPr>
            </w:pPr>
            <w:r>
              <w:rPr>
                <w:b/>
              </w:rPr>
              <w:t>4,115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465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right"/>
              <w:rPr>
                <w:b/>
              </w:rPr>
            </w:pPr>
            <w:r>
              <w:rPr>
                <w:b/>
              </w:rPr>
              <w:t>2,771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Convertible senior notes due 2030</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6,962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3,481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72" w:type="dxa"/>
            <w:tcBorders/>
            <w:shd w:fill="CCEEFF" w:val="clear"/>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Dilutive potential common shares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tcMar>
              <w:bottom w:w="28" w:type="dxa"/>
            </w:tcMar>
            <w:vAlign w:val="center"/>
          </w:tcPr>
          <w:p>
            <w:pPr>
              <w:pStyle w:val="TableContents"/>
              <w:bidi w:val="0"/>
              <w:spacing w:before="0" w:after="283"/>
              <w:jc w:val="right"/>
              <w:rPr>
                <w:b/>
              </w:rPr>
            </w:pPr>
            <w:r>
              <w:rPr>
                <w:b/>
              </w:rPr>
              <w:t>11,077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2" w:type="dxa"/>
            <w:tcBorders>
              <w:bottom w:val="single" w:sz="6" w:space="0" w:color="000000"/>
            </w:tcBorders>
            <w:tcMar>
              <w:bottom w:w="28" w:type="dxa"/>
            </w:tcMar>
            <w:vAlign w:val="center"/>
          </w:tcPr>
          <w:p>
            <w:pPr>
              <w:pStyle w:val="TableContents"/>
              <w:bidi w:val="0"/>
              <w:spacing w:before="0" w:after="283"/>
              <w:jc w:val="right"/>
              <w:rPr/>
            </w:pPr>
            <w:r>
              <w:rPr/>
              <w:t>465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56" w:type="dxa"/>
            <w:tcBorders>
              <w:bottom w:val="single" w:sz="6" w:space="0" w:color="000000"/>
            </w:tcBorders>
            <w:tcMar>
              <w:bottom w:w="28" w:type="dxa"/>
            </w:tcMar>
            <w:vAlign w:val="center"/>
          </w:tcPr>
          <w:p>
            <w:pPr>
              <w:pStyle w:val="TableContents"/>
              <w:bidi w:val="0"/>
              <w:spacing w:before="0" w:after="283"/>
              <w:jc w:val="right"/>
              <w:rPr>
                <w:b/>
              </w:rPr>
            </w:pPr>
            <w:r>
              <w:rPr>
                <w:b/>
              </w:rPr>
              <w:t>6,252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92" w:type="dxa"/>
            <w:tcBorders>
              <w:bottom w:val="single" w:sz="6" w:space="0" w:color="000000"/>
            </w:tcBorders>
            <w:tcMar>
              <w:bottom w:w="28" w:type="dxa"/>
            </w:tcMar>
            <w:vAlign w:val="center"/>
          </w:tcPr>
          <w:p>
            <w:pPr>
              <w:pStyle w:val="TableContents"/>
              <w:bidi w:val="0"/>
              <w:spacing w:before="0" w:after="283"/>
              <w:jc w:val="right"/>
              <w:rPr/>
            </w:pPr>
            <w:r>
              <w:rPr/>
              <w:t>-</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Denominator for diluted earnings (loss) per share:</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Adjusted weighted average shares - diluted</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147,901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double" w:sz="6" w:space="0" w:color="000000"/>
            </w:tcBorders>
            <w:shd w:fill="CCEEFF" w:val="clear"/>
            <w:tcMar>
              <w:bottom w:w="28" w:type="dxa"/>
            </w:tcMar>
            <w:vAlign w:val="center"/>
          </w:tcPr>
          <w:p>
            <w:pPr>
              <w:pStyle w:val="TableContents"/>
              <w:bidi w:val="0"/>
              <w:spacing w:before="0" w:after="283"/>
              <w:jc w:val="right"/>
              <w:rPr/>
            </w:pPr>
            <w:r>
              <w:rPr/>
              <w:t>136,167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142,680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2" w:type="dxa"/>
            <w:tcBorders>
              <w:bottom w:val="double" w:sz="6" w:space="0" w:color="000000"/>
            </w:tcBorders>
            <w:shd w:fill="CCEEFF" w:val="clear"/>
            <w:tcMar>
              <w:bottom w:w="28" w:type="dxa"/>
            </w:tcMar>
            <w:vAlign w:val="center"/>
          </w:tcPr>
          <w:p>
            <w:pPr>
              <w:pStyle w:val="TableContents"/>
              <w:bidi w:val="0"/>
              <w:spacing w:before="0" w:after="283"/>
              <w:jc w:val="right"/>
              <w:rPr/>
            </w:pPr>
            <w:r>
              <w:rPr/>
              <w:t>135,750</w:t>
            </w:r>
          </w:p>
        </w:tc>
        <w:tc>
          <w:tcPr>
            <w:tcW w:w="172" w:type="dxa"/>
            <w:tcBorders/>
            <w:shd w:fill="CCEEFF" w:val="clear"/>
            <w:vAlign w:val="center"/>
          </w:tcPr>
          <w:p>
            <w:pPr>
              <w:pStyle w:val="TableContents"/>
              <w:bidi w:val="0"/>
              <w:spacing w:before="0" w:after="283"/>
              <w:jc w:val="left"/>
              <w:rPr/>
            </w:pPr>
            <w:r>
              <w:rPr/>
              <w:t> </w:t>
            </w:r>
          </w:p>
        </w:tc>
      </w:tr>
      <w:tr>
        <w:trPr/>
        <w:tc>
          <w:tcPr>
            <w:tcW w:w="391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Basic earnings (loss) per share</w:t>
            </w:r>
          </w:p>
        </w:tc>
        <w:tc>
          <w:tcPr>
            <w:tcW w:w="170"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0.21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0.01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0.26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(0.02</w:t>
            </w:r>
          </w:p>
        </w:tc>
        <w:tc>
          <w:tcPr>
            <w:tcW w:w="172" w:type="dxa"/>
            <w:tcBorders/>
            <w:shd w:fill="CCEEFF" w:val="clear"/>
            <w:vAlign w:val="center"/>
          </w:tcPr>
          <w:p>
            <w:pPr>
              <w:pStyle w:val="TableContents"/>
              <w:bidi w:val="0"/>
              <w:spacing w:before="0" w:after="283"/>
              <w:jc w:val="left"/>
              <w:rPr/>
            </w:pPr>
            <w:r>
              <w:rPr/>
              <w:t>)</w:t>
            </w:r>
          </w:p>
        </w:tc>
      </w:tr>
      <w:tr>
        <w:trPr/>
        <w:tc>
          <w:tcPr>
            <w:tcW w:w="391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r>
      <w:tr>
        <w:trPr/>
        <w:tc>
          <w:tcPr>
            <w:tcW w:w="3917" w:type="dxa"/>
            <w:tcBorders/>
            <w:shd w:fill="CCEEFF" w:val="clear"/>
            <w:vAlign w:val="center"/>
          </w:tcPr>
          <w:p>
            <w:pPr>
              <w:pStyle w:val="TableContents"/>
              <w:bidi w:val="0"/>
              <w:spacing w:before="0" w:after="283"/>
              <w:jc w:val="left"/>
              <w:rPr/>
            </w:pPr>
            <w:r>
              <w:rPr/>
              <w:t>Diluted earnings (loss) per share</w:t>
            </w:r>
          </w:p>
        </w:tc>
        <w:tc>
          <w:tcPr>
            <w:tcW w:w="170"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0.19</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0.01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56" w:type="dxa"/>
            <w:tcBorders/>
            <w:shd w:fill="CCEEFF" w:val="clear"/>
            <w:vAlign w:val="center"/>
          </w:tcPr>
          <w:p>
            <w:pPr>
              <w:pStyle w:val="TableContents"/>
              <w:bidi w:val="0"/>
              <w:spacing w:before="0" w:after="283"/>
              <w:jc w:val="right"/>
              <w:rPr>
                <w:b/>
              </w:rPr>
            </w:pPr>
            <w:r>
              <w:rPr>
                <w:b/>
              </w:rPr>
              <w:t>0.25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92" w:type="dxa"/>
            <w:tcBorders/>
            <w:shd w:fill="CCEEFF" w:val="clear"/>
            <w:vAlign w:val="center"/>
          </w:tcPr>
          <w:p>
            <w:pPr>
              <w:pStyle w:val="TableContents"/>
              <w:bidi w:val="0"/>
              <w:spacing w:before="0" w:after="283"/>
              <w:jc w:val="right"/>
              <w:rPr/>
            </w:pPr>
            <w:r>
              <w:rPr/>
              <w:t>(0.02</w:t>
            </w:r>
          </w:p>
        </w:tc>
        <w:tc>
          <w:tcPr>
            <w:tcW w:w="172"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Diluted earnings (loss) per share for the periods presented do not reflect the following weighted average potential common shares that would have an antidilutive effect or have unsatisfied performance conditions </w:t>
      </w:r>
      <w:r>
        <w:rPr>
          <w:rFonts w:ascii="Times New Roman" w:hAnsi="Times New Roman"/>
          <w:i/>
          <w:color w:val="000000"/>
          <w:sz w:val="24"/>
        </w:rPr>
        <w:t>(in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8456" w:type="dxa"/>
        <w:jc w:val="left"/>
        <w:tblInd w:w="0" w:type="dxa"/>
        <w:tblLayout w:type="fixed"/>
        <w:tblCellMar>
          <w:top w:w="0" w:type="dxa"/>
          <w:left w:w="0" w:type="dxa"/>
          <w:bottom w:w="0" w:type="dxa"/>
          <w:right w:w="0" w:type="dxa"/>
        </w:tblCellMar>
      </w:tblPr>
      <w:tblGrid>
        <w:gridCol w:w="2075"/>
        <w:gridCol w:w="90"/>
        <w:gridCol w:w="1265"/>
        <w:gridCol w:w="90"/>
        <w:gridCol w:w="90"/>
        <w:gridCol w:w="90"/>
        <w:gridCol w:w="1445"/>
        <w:gridCol w:w="90"/>
        <w:gridCol w:w="53"/>
        <w:gridCol w:w="90"/>
        <w:gridCol w:w="1265"/>
        <w:gridCol w:w="90"/>
        <w:gridCol w:w="53"/>
        <w:gridCol w:w="90"/>
        <w:gridCol w:w="1445"/>
        <w:gridCol w:w="135"/>
      </w:tblGrid>
      <w:tr>
        <w:trPr/>
        <w:tc>
          <w:tcPr>
            <w:tcW w:w="20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3160" w:type="dxa"/>
            <w:gridSpan w:val="7"/>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3168" w:type="dxa"/>
            <w:gridSpan w:val="7"/>
            <w:tcBorders/>
            <w:vAlign w:val="center"/>
          </w:tcPr>
          <w:p>
            <w:pPr>
              <w:pStyle w:val="TableContents"/>
              <w:bidi w:val="0"/>
              <w:spacing w:before="0" w:after="283"/>
              <w:jc w:val="center"/>
              <w:rPr>
                <w:b/>
              </w:rPr>
            </w:pPr>
            <w:r>
              <w:rPr>
                <w:b/>
              </w:rPr>
              <w:t>Six fiscal months ended</w:t>
            </w:r>
          </w:p>
        </w:tc>
      </w:tr>
      <w:tr>
        <w:trPr/>
        <w:tc>
          <w:tcPr>
            <w:tcW w:w="20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265"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445"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35" w:type="dxa"/>
            <w:tcBorders/>
            <w:vAlign w:val="center"/>
          </w:tcPr>
          <w:p>
            <w:pPr>
              <w:pStyle w:val="TableContents"/>
              <w:bidi w:val="0"/>
              <w:spacing w:before="0" w:after="283"/>
              <w:jc w:val="center"/>
              <w:rPr/>
            </w:pPr>
            <w:r>
              <w:rPr/>
              <w:t> </w:t>
            </w:r>
          </w:p>
        </w:tc>
      </w:tr>
      <w:tr>
        <w:trPr/>
        <w:tc>
          <w:tcPr>
            <w:tcW w:w="2075" w:type="dxa"/>
            <w:tcBorders/>
            <w:shd w:fill="CCEEFF" w:val="clear"/>
            <w:vAlign w:val="center"/>
          </w:tcPr>
          <w:p>
            <w:pPr>
              <w:pStyle w:val="TableContents"/>
              <w:bidi w:val="0"/>
              <w:spacing w:before="0" w:after="283"/>
              <w:jc w:val="left"/>
              <w:rPr/>
            </w:pPr>
            <w:r>
              <w:rPr/>
              <w:t>Restricted stock units</w:t>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540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1,295</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b/>
              </w:rPr>
            </w:pPr>
            <w:r>
              <w:rPr>
                <w:b/>
              </w:rPr>
              <w:t>437</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3,099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If the average market price of Vishay common stock is less than the effective conversion price of the convertible senior notes due 2030, no shares are included in the diluted earnings (loss) per share computation for the convertible senior notes due 2030.  Pursuant to the indenture governing the convertible senior notes due 2030, Vishay will satisfy its conversion obligations by paying $1 cash per $1 principal amount of converted notes and settle any additional amounts due in cash and/or common stock.  Similarly, the convertible senior notes due 2025 were considered, but not included, in the diluted earnings per share computation for any period presented or any period they were outstanding.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In connection with the issuance of the convertible senior notes due 2030, the Company entered into capped call transactions, which were not included in the calculation of diluted earnings per share as their effect would have been anti-dilutive.  The capped calls are intended to reduce the potential dilution to the Company's common stock in the event that at the time of conversion of the convertible senior notes due 2030 the Company's common stock price exceeds the conversion price of the convertible senior notes due 2030.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22</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u w:val="single"/>
        </w:rPr>
        <w:t>Note 12 – Fair Value Measurements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following table provides the financial assets and liabilities carried at fair value measured on a recurring basis:</w:t>
      </w:r>
      <w:r>
        <w:rPr>
          <w:rFonts w:ascii="Times New Roman" w:hAnsi="Times New Roman"/>
          <w:sz w:val="24"/>
        </w:rPr>
        <w:t xml:space="preserve"> </w:t>
      </w:r>
    </w:p>
    <w:p>
      <w:pPr>
        <w:pStyle w:val="TextBody"/>
        <w:bidi w:val="0"/>
        <w:spacing w:before="0" w:after="0"/>
        <w:jc w:val="both"/>
        <w:rPr/>
      </w:pPr>
      <w:r>
        <w:rPr/>
        <w:t xml:space="preserve">  </w:t>
      </w:r>
    </w:p>
    <w:tbl>
      <w:tblPr>
        <w:tblW w:w="8475" w:type="dxa"/>
        <w:jc w:val="left"/>
        <w:tblInd w:w="0" w:type="dxa"/>
        <w:tblLayout w:type="fixed"/>
        <w:tblCellMar>
          <w:top w:w="0" w:type="dxa"/>
          <w:left w:w="0" w:type="dxa"/>
          <w:bottom w:w="0" w:type="dxa"/>
          <w:right w:w="0" w:type="dxa"/>
        </w:tblCellMar>
      </w:tblPr>
      <w:tblGrid>
        <w:gridCol w:w="3620"/>
        <w:gridCol w:w="170"/>
        <w:gridCol w:w="1145"/>
        <w:gridCol w:w="90"/>
        <w:gridCol w:w="90"/>
        <w:gridCol w:w="170"/>
        <w:gridCol w:w="785"/>
        <w:gridCol w:w="90"/>
        <w:gridCol w:w="90"/>
        <w:gridCol w:w="170"/>
        <w:gridCol w:w="785"/>
        <w:gridCol w:w="90"/>
        <w:gridCol w:w="90"/>
        <w:gridCol w:w="170"/>
        <w:gridCol w:w="785"/>
        <w:gridCol w:w="135"/>
      </w:tblGrid>
      <w:tr>
        <w:trPr/>
        <w:tc>
          <w:tcPr>
            <w:tcW w:w="36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 xml:space="preserve">Total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45" w:type="dxa"/>
            <w:tcBorders>
              <w:bottom w:val="single" w:sz="6" w:space="0" w:color="000000"/>
            </w:tcBorders>
            <w:tcMar>
              <w:bottom w:w="28" w:type="dxa"/>
            </w:tcMar>
            <w:vAlign w:val="center"/>
          </w:tcPr>
          <w:p>
            <w:pPr>
              <w:pStyle w:val="TableContents"/>
              <w:bidi w:val="0"/>
              <w:spacing w:before="0" w:after="283"/>
              <w:jc w:val="center"/>
              <w:rPr>
                <w:b/>
              </w:rPr>
            </w:pPr>
            <w:r>
              <w:rPr>
                <w:b/>
              </w:rPr>
              <w:t>Fair Value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tcMar>
              <w:bottom w:w="28" w:type="dxa"/>
            </w:tcMar>
            <w:vAlign w:val="center"/>
          </w:tcPr>
          <w:p>
            <w:pPr>
              <w:pStyle w:val="TableContents"/>
              <w:bidi w:val="0"/>
              <w:spacing w:before="0" w:after="283"/>
              <w:jc w:val="center"/>
              <w:rPr>
                <w:b/>
              </w:rPr>
            </w:pPr>
            <w:r>
              <w:rPr>
                <w:b/>
              </w:rPr>
              <w:t>Level 3</w:t>
            </w:r>
          </w:p>
        </w:tc>
        <w:tc>
          <w:tcPr>
            <w:tcW w:w="13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rPr>
            </w:pPr>
            <w:r>
              <w:rPr>
                <w:b/>
              </w:rPr>
              <w:t>July 4, 2026</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u w:val="single"/>
              </w:rPr>
            </w:pPr>
            <w:r>
              <w:rPr>
                <w:u w:val="single"/>
              </w:rPr>
              <w:t>Assets:</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Assets held in rabbi trusts</w:t>
            </w:r>
          </w:p>
        </w:tc>
        <w:tc>
          <w:tcPr>
            <w:tcW w:w="170" w:type="dxa"/>
            <w:tcBorders/>
            <w:shd w:fill="CCEEFF" w:val="clear"/>
            <w:vAlign w:val="center"/>
          </w:tcPr>
          <w:p>
            <w:pPr>
              <w:pStyle w:val="TableContents"/>
              <w:bidi w:val="0"/>
              <w:spacing w:before="0" w:after="283"/>
              <w:jc w:val="left"/>
              <w:rPr>
                <w:b/>
              </w:rPr>
            </w:pPr>
            <w:r>
              <w:rPr>
                <w:b/>
              </w:rPr>
              <w:t>$</w:t>
            </w:r>
          </w:p>
        </w:tc>
        <w:tc>
          <w:tcPr>
            <w:tcW w:w="1145" w:type="dxa"/>
            <w:tcBorders/>
            <w:shd w:fill="CCEEFF" w:val="clear"/>
            <w:vAlign w:val="center"/>
          </w:tcPr>
          <w:p>
            <w:pPr>
              <w:pStyle w:val="TableContents"/>
              <w:bidi w:val="0"/>
              <w:spacing w:before="0" w:after="283"/>
              <w:jc w:val="right"/>
              <w:rPr>
                <w:b/>
              </w:rPr>
            </w:pPr>
            <w:r>
              <w:rPr>
                <w:b/>
              </w:rPr>
              <w:t>58,897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23,311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35,586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Available for sale securities</w:t>
            </w:r>
          </w:p>
        </w:tc>
        <w:tc>
          <w:tcPr>
            <w:tcW w:w="170" w:type="dxa"/>
            <w:tcBorders>
              <w:bottom w:val="single" w:sz="6" w:space="0" w:color="000000"/>
            </w:tcBorders>
            <w:tcMar>
              <w:bottom w:w="28" w:type="dxa"/>
            </w:tcMar>
            <w:vAlign w:val="center"/>
          </w:tcPr>
          <w:p>
            <w:pPr>
              <w:pStyle w:val="TableContents"/>
              <w:bidi w:val="0"/>
              <w:spacing w:before="0" w:after="283"/>
              <w:jc w:val="left"/>
              <w:rPr>
                <w:b/>
              </w:rPr>
            </w:pPr>
            <w:r>
              <w:rPr>
                <w:b/>
              </w:rPr>
              <w:t>$</w:t>
            </w:r>
          </w:p>
        </w:tc>
        <w:tc>
          <w:tcPr>
            <w:tcW w:w="1145" w:type="dxa"/>
            <w:tcBorders>
              <w:bottom w:val="single" w:sz="6" w:space="0" w:color="000000"/>
            </w:tcBorders>
            <w:tcMar>
              <w:bottom w:w="28" w:type="dxa"/>
            </w:tcMar>
            <w:vAlign w:val="center"/>
          </w:tcPr>
          <w:p>
            <w:pPr>
              <w:pStyle w:val="TableContents"/>
              <w:bidi w:val="0"/>
              <w:spacing w:before="0" w:after="283"/>
              <w:jc w:val="right"/>
              <w:rPr>
                <w:b/>
              </w:rPr>
            </w:pPr>
            <w:r>
              <w:rPr>
                <w:b/>
              </w:rPr>
              <w:t>4,562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tcMar>
              <w:bottom w:w="28" w:type="dxa"/>
            </w:tcMar>
            <w:vAlign w:val="center"/>
          </w:tcPr>
          <w:p>
            <w:pPr>
              <w:pStyle w:val="TableContents"/>
              <w:bidi w:val="0"/>
              <w:spacing w:before="0" w:after="283"/>
              <w:jc w:val="right"/>
              <w:rPr/>
            </w:pPr>
            <w:r>
              <w:rPr/>
              <w:t>4,562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tcMar>
              <w:bottom w:w="28" w:type="dxa"/>
            </w:tcMar>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145" w:type="dxa"/>
            <w:tcBorders/>
            <w:shd w:fill="CCEEFF" w:val="clear"/>
            <w:vAlign w:val="center"/>
          </w:tcPr>
          <w:p>
            <w:pPr>
              <w:pStyle w:val="TableContents"/>
              <w:bidi w:val="0"/>
              <w:spacing w:before="0" w:after="283"/>
              <w:jc w:val="right"/>
              <w:rPr>
                <w:b/>
              </w:rPr>
            </w:pPr>
            <w:r>
              <w:rPr>
                <w:b/>
              </w:rPr>
              <w:t>63,459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b/>
              </w:rPr>
            </w:pPr>
            <w:r>
              <w:rPr>
                <w:b/>
              </w:rPr>
              <w:t>27,873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b/>
              </w:rPr>
            </w:pPr>
            <w:r>
              <w:rPr>
                <w:b/>
              </w:rPr>
              <w:t>35,586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7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u w:val="single"/>
              </w:rPr>
            </w:pPr>
            <w:r>
              <w:rPr>
                <w:u w:val="single"/>
              </w:rPr>
              <w:t>Liability:</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Acquisitions contingent consideration</w:t>
            </w:r>
          </w:p>
        </w:tc>
        <w:tc>
          <w:tcPr>
            <w:tcW w:w="170" w:type="dxa"/>
            <w:tcBorders/>
            <w:vAlign w:val="center"/>
          </w:tcPr>
          <w:p>
            <w:pPr>
              <w:pStyle w:val="TableContents"/>
              <w:bidi w:val="0"/>
              <w:spacing w:before="0" w:after="283"/>
              <w:jc w:val="left"/>
              <w:rPr>
                <w:b/>
              </w:rPr>
            </w:pPr>
            <w:r>
              <w:rPr>
                <w:b/>
              </w:rPr>
              <w:t>$</w:t>
            </w:r>
          </w:p>
        </w:tc>
        <w:tc>
          <w:tcPr>
            <w:tcW w:w="1145" w:type="dxa"/>
            <w:tcBorders/>
            <w:vAlign w:val="center"/>
          </w:tcPr>
          <w:p>
            <w:pPr>
              <w:pStyle w:val="TableContents"/>
              <w:bidi w:val="0"/>
              <w:spacing w:before="0" w:after="283"/>
              <w:jc w:val="right"/>
              <w:rPr>
                <w:b/>
              </w:rPr>
            </w:pPr>
            <w:r>
              <w:rPr>
                <w:b/>
              </w:rPr>
              <w:t>4,674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4,674</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b/>
              </w:rPr>
            </w:pPr>
            <w:r>
              <w:rPr>
                <w:b/>
              </w:rPr>
              <w:t>December 31, 2025</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u w:val="single"/>
              </w:rPr>
            </w:pPr>
            <w:r>
              <w:rPr>
                <w:u w:val="single"/>
              </w:rPr>
              <w:t>Assets:</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Assets held in rabbi trusts</w:t>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55,442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22,749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32,693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Available for sale securities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145" w:type="dxa"/>
            <w:tcBorders>
              <w:bottom w:val="single" w:sz="6" w:space="0" w:color="000000"/>
            </w:tcBorders>
            <w:shd w:fill="CCEEFF" w:val="clear"/>
            <w:tcMar>
              <w:bottom w:w="28" w:type="dxa"/>
            </w:tcMar>
            <w:vAlign w:val="center"/>
          </w:tcPr>
          <w:p>
            <w:pPr>
              <w:pStyle w:val="TableContents"/>
              <w:bidi w:val="0"/>
              <w:spacing w:before="0" w:after="283"/>
              <w:jc w:val="right"/>
              <w:rPr/>
            </w:pPr>
            <w:r>
              <w:rPr/>
              <w:t>4,660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shd w:fill="CCEEFF" w:val="clear"/>
            <w:tcMar>
              <w:bottom w:w="28" w:type="dxa"/>
            </w:tcMar>
            <w:vAlign w:val="center"/>
          </w:tcPr>
          <w:p>
            <w:pPr>
              <w:pStyle w:val="TableContents"/>
              <w:bidi w:val="0"/>
              <w:spacing w:before="0" w:after="283"/>
              <w:jc w:val="right"/>
              <w:rPr/>
            </w:pPr>
            <w:r>
              <w:rPr/>
              <w:t>4,660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78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right"/>
              <w:rPr/>
            </w:pPr>
            <w:r>
              <w:rPr/>
              <w:t>60,102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27,409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32,693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u w:val="single"/>
              </w:rPr>
            </w:pPr>
            <w:r>
              <w:rPr>
                <w:u w:val="single"/>
              </w:rPr>
              <w:t>Liability:</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Acquisitions contingent consideration</w:t>
            </w:r>
          </w:p>
        </w:tc>
        <w:tc>
          <w:tcPr>
            <w:tcW w:w="170" w:type="dxa"/>
            <w:tcBorders/>
            <w:shd w:fill="CCEEFF" w:val="clear"/>
            <w:vAlign w:val="center"/>
          </w:tcPr>
          <w:p>
            <w:pPr>
              <w:pStyle w:val="TableContents"/>
              <w:bidi w:val="0"/>
              <w:spacing w:before="0" w:after="283"/>
              <w:jc w:val="left"/>
              <w:rPr/>
            </w:pPr>
            <w:r>
              <w:rPr/>
              <w:t>$</w:t>
            </w:r>
          </w:p>
        </w:tc>
        <w:tc>
          <w:tcPr>
            <w:tcW w:w="1145" w:type="dxa"/>
            <w:tcBorders/>
            <w:shd w:fill="CCEEFF" w:val="clear"/>
            <w:vAlign w:val="center"/>
          </w:tcPr>
          <w:p>
            <w:pPr>
              <w:pStyle w:val="TableContents"/>
              <w:bidi w:val="0"/>
              <w:spacing w:before="0" w:after="283"/>
              <w:jc w:val="right"/>
              <w:rPr/>
            </w:pPr>
            <w:r>
              <w:rPr/>
              <w:t>2,938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2,938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There have been no changes in the classification of any financial instruments within the fair value hierarchy in the periods presented.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Company maintains non-qualified trusts, referred to as “rabbi” trusts, to fund payments under deferred compensation and non-qualified pension plans. Rabbi trust assets consist primarily of marketable securities, classified as available-for-sale and company-owned life insurance assets. The marketable securities held in the rabbi trusts are valued using quoted market prices on the last business day of the period. The company-owned life insurance assets are valued in consultation with the Company’s insurance brokers using the value of underlying assets of the insurance contracts.  The fair value measurement of the marketable securities held in the rabbi trust is considered a Level 1 measurement and the measurement of the company-owned life insurance assets is considered a Level 2 measurement within the fair value hierarchy.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Company holds investments in debt securities that are intended to fund a portion of its pension and other postretirement benefit obligations outside of the United States.  The investments are valued based on quoted market prices on the last business day of the period. The fair value measurement of the investments is considered a Level 1 measurement within the fair value hierarchy.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Company may be required to make certain contingent consideration payments related to acquisitions.  The fair value of these contingent payments is determined by estimating the net present value of the expected cash flows based on the probability of expected payments.  The fair value measurement of the contingent consideration payments is considered a Level 3 measurement within the fair value hierarchy.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fair value of the long-term debt, excluding deferred financing costs, at July 4, 2026 and December 31, 2025 is approximately $1,527,000 and $896,100, respectively, compared to its carrying value, excluding deferred financing costs, of $988,000 and $969,000, respectively.  The Company estimates the fair value of its long-term debt using a combination of quoted market prices for similar financing arrangements and expected future payments discounted at risk-adjusted rates, which are considered Level 2 inputs.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23</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24"/>
        </w:rPr>
      </w:pPr>
      <w:r>
        <w:rPr>
          <w:rFonts w:ascii="Times New Roman" w:hAnsi="Times New Roman"/>
          <w:color w:val="000000"/>
          <w:sz w:val="24"/>
        </w:rPr>
        <w:t>NOTES TO THE CONSOLIDATED CONDENSED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i/>
          <w:color w:val="000000"/>
          <w:sz w:val="24"/>
        </w:rPr>
        <w:t>(dollars in thousands, except per share amounts)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At July 4, 2026 and December 31, 2025, the Company’s short-term investments were comprised of time deposits with financial institutions that have maturities that exceed 90 days from the date of acquisition; however they all mature within one year from the respective balance sheet dates.  The Company's short-term investments are accounted for as held-to-maturity debt instruments, at amortized cost, which approximates their fair value. The investments are funded with excess cash not expected to be needed for operations prior to maturity; therefore, the Company believes it has the intent and ability to hold the short-term investments until maturity.  At each reporting date, the Company performs an evaluation to determine if any unrealized losses are other-than-temporary.  No other-than-temporary impairments have been recognized on these securities, and there are no unrecognized holding gains or losses for these securities during the periods presented.  There have been no transfers to or from the held-to-maturity classification.  All decreases in the account balance are due to returns of principal at the securities’ maturity dates.  Interest on the securities is recognized as interest income when earned.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At July 4, 2026 and December 31, 2025, the Company’s cash and cash equivalents were comprised of demand deposits, time deposits with maturities of three months or less when purchased, and money market funds.  The Company estimates the fair value of its cash, cash equivalents, and short-term investments using Level 2 inputs.  Based on the current interest rates for similar investments with comparable credit risk and time to maturity, the fair value of the Company's cash, cash equivalents, and held-to-maturity short-term investments approximate the carrying amounts reported in the consolidated condensed balance sheets.</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The Company’s financial instruments also include accounts receivable and accounts payable.  The carrying amounts for these financial instruments reported in the consolidated condensed balance sheets approximate their fair values.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24</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4"/>
          <w:u w:val="single"/>
        </w:rPr>
      </w:pPr>
      <w:bookmarkStart w:id="12" w:name="MDA"/>
      <w:bookmarkEnd w:id="12"/>
      <w:r>
        <w:rPr>
          <w:rFonts w:ascii="Times New Roman" w:hAnsi="Times New Roman"/>
          <w:b/>
          <w:color w:val="000000"/>
          <w:sz w:val="24"/>
          <w:u w:val="single"/>
        </w:rPr>
        <w:t xml:space="preserve">Item 2. Management’s Discussion and Analysis of Financial Condition and Results of Operations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color w:val="000000"/>
          <w:sz w:val="24"/>
        </w:rPr>
        <w:t>This Management's Discussion and Analysis ("MD&amp;A") is intended to provide an understanding of Vishay's financial condition, results of operations and cash flows by focusing on changes in certain key measures from period to period. The MD&amp;A should be read in conjunction with our Consolidated Condensed Financial Statements and accompanying Notes included in Item 1.  This discussion contains forward-looking statements that involve risks and uncertainties.  Our actual results could differ materially from those anticipated in these forward-looking statements as a result of various factors, including those discussed in our Annual Report on Form 10-K, particularly in Item 1A. "Risk Factors," filed with the Securities and Exchange Commission on February 13, 2026.</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rPr>
        <w:t>Overview</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Vishay Intertechnology, Inc. ("Vishay," "we," "us," or "our") manufactures one of the world’s largest portfolios of discrete semiconductors and passive electronic components that are essential to innovative designs in the automotive, industrial, computing, consumer, telecommunications, military, aerospace, and healthcare markets.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operate in six segments based on product functionality: MOSFETs, Diodes, Optoelectronic Components, Resistors, Inductors, and Capacitors.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Our goal is to enhance stockholder value by growing our business and improving earnings per share.  Since 1985, we have pursued a business strategy of growth through focused research and development and acquisitions.  We plan to continue to grow our business through intensified internal growth supplemented by opportunistic acquisitions, while maintaining a prudent capital structure.  As we advance our Think Customer First organizational culture in 2026, we are focused on maintaining capacity readiness to fulfill rising demand, growing existing customer relationships, attracting new customer relationships, driving innovation, delivering new products and solutions, and expanding production in low cost countries to support our regional competitiveness.  We continue to evaluate our manufacturing footprint for ways to improve efficiency and profitability while maintaining capacity readiness.</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are focused on realizing the full value of our broad product portfolio, becoming a customer-first company, and capitalizing on the mega trends of e-mobility, sustainability, and connectivity to drive top line growth, expand margins, and optimize stockholder returns.  We are using eight strategic levers to achieve these goals.  Our elevated capital expenditure levels over the past three years have positioned us with increased capacity in an effort to ensure our customers of reliable supply as they scale production and to supply more part numbers to them.  We are committed to completing our capacity expansion projects, but have modulated and will continue to modulate spending in response to order flow, timing of customer demand and qualification, changes in lead times for equipment, and increases in subcontractor capacity.  For 2026, we plan to spend between $400 million to $440 million for capital expenditures, approximately half of which will be invested in our 12-inch wafer fab we are building in Itzehoe, Germany.</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 xml:space="preserve">On July 1, 2026, we completed an underwritten public offering of 17.25 million shares of our common stock at a price to the public of $50.00 per share for proceeds of $830.25 million, net of underwriting discounts and issuance costs.  We intend to use the net proceeds from the sale of our common stock in this offering to accelerate our growth initiatives and for general corporate purposes, including to reduce borrowings under our revolving credit facility. </w:t>
      </w:r>
    </w:p>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In addition to enhancing stockholder value through growing our business, we continue to follow our Stockholder Return Policy, which calls for us to return at least 70% of free cash flow, net of scheduled principal payments of long-term debt, on an annual basis.  See further discussion in “Stockholder Return Policy” below.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Our business and operating results have been and will continue to be impacted by worldwide economic conditions.  Our revenues are dependent on end markets that are impacted by consumer and industrial demand, and our operating results can be adversely affected by reduced demand in those global markets.  In this volatile economic environment, we continue to closely monitor our fixed costs, capital expenditure plans, inventory, and capital resources to respond to changing conditions and to ensure we have the management, business processes, and resources to meet our future needs.  We believe we can react quickly and professionally to changes in demand to minimize manufacturing inefficiencies and excess inventory build in periods of decline and maximize opportunities in periods of growth.  We believe we have sufficient liquidity to withstand temporary disruptions in the economic environment.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We utilize several financial metrics, including net revenues, gross profit margin, operating margin, segment operating income, segment operating margin, end-of-period backlog, book-to-bill ratio, inventory turnover, change in average selling prices, net cash and short-term investments (debt), and free cash generation to evaluate the performance and assess the future direction of our business.  See further discussion in “Financial Metrics” and “Financial Condition, Liquidity, and Capital Resources” below.  Nearly all key financial metrics increased versus the prior fiscal quarter and prior year periods.  Net revenues increased versus the prior fiscal quarter and the prior year periods primarily due to higher sales volume.  Margins were positively impacted by higher sales volume and associated manufacturing efficiencies, which offset higher metals and materials costs.  The order level remained at a high level and backlog continued to increase.</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25</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Net revenues for the fiscal quarter ended July 4, 2026 were $888.6 million, compared to $839.2 million and $762.3 million for the fiscal quarters ended April 4, 2026 and June 28, 2025, respectively.  Net earnings for the fiscal quarter ended July 4, 2026 were $28.1 million, or $0.19 per diluted share, compared to net earnings of $7.2 million, or $0.05 per diluted share for the fiscal quarter ended April 4, 2026, and net earnings of $2.0 million, or $0.01 per diluted share for the fiscal quarter ended June 28, 2025.</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4"/>
        </w:rPr>
        <w:t>Net revenues for the six fiscal months ended July 4, 2026 were $1,727.8 million, compared to $1,477.5 million for the six fiscal months ended June 28, 2025.  Net earnings for the six fiscal months ended July 4, 2026 were $35.3 million, or $0.25 per diluted share, compared to a net loss of $(2.1) million, or $(0.02) per share for the six fiscal months ended June 28, 2025.</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Measures such as adjusted net earnings (loss), free cash, and segment operating income are considered non-GAAP measures.  We define adjusted net earnings (loss) as net earnings (loss) determined in accordance with GAAP adjusted for various items that management believes are not indicative of the intrinsic operating performance of our business.  We define free cash as the cash flows generated from continuing operations less capital expenditures plus net proceeds from the sale of property and equipment.  We define segment operating income as operating income excluding selling, general, and administrative costs of our global operations, sales and marketing, information systems, finance, and administrative groups, as well as restructuring and severance costs, goodwill impairments, and other items affecting comparability.  The reconciliations of adjusted net earnings (loss), adjusted net earnings (loss) per share, and free cash are below.  Note 10 to our consolidated condensed financial statements includes the reconciliation for segment operating income.  These non-GAAP measures should not be viewed as alternatives to GAAP measures of performance or liquidity.  Non-GAAP measures such as adjusted net earnings (loss), adjusted net earnings (loss) per share, free cash, and segment operating income do not have uniform definitions.  These measures, as calculated by Vishay, may not be comparable to similarly titled measures used by other companies.  Management believes that adjusted net earnings (loss) and adjusted net earnings (loss) per share are meaningful because they provide insight with respect to our intrinsic operating results.  Management believes that free cash is a meaningful measure of our ability to fund acquisitions, repay debt, and otherwise enhance stockholder value through stock repurchases or dividends.  We utilize the free cash metric in defining our Stockholder Return Policy.  Management uses segment operating income, along with segment gross profit, to make decisions, allocate resources, and assess performance of its operating segments.</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Net earnings (loss) attributable to Vishay stockholders include items affecting comparability.  The items affecting comparability are </w:t>
      </w:r>
      <w:r>
        <w:rPr>
          <w:rFonts w:ascii="Times New Roman" w:hAnsi="Times New Roman"/>
          <w:i/>
          <w:sz w:val="24"/>
        </w:rPr>
        <w:t>(in thousands, except per share amounts)</w:t>
      </w:r>
      <w:r>
        <w:rPr>
          <w:rFonts w:ascii="Times New Roman" w:hAnsi="Times New Roman"/>
          <w:sz w:val="24"/>
        </w:rPr>
        <w:t>:</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864"/>
        <w:gridCol w:w="170"/>
        <w:gridCol w:w="1012"/>
        <w:gridCol w:w="185"/>
        <w:gridCol w:w="90"/>
        <w:gridCol w:w="170"/>
        <w:gridCol w:w="1056"/>
        <w:gridCol w:w="90"/>
        <w:gridCol w:w="90"/>
        <w:gridCol w:w="170"/>
        <w:gridCol w:w="1087"/>
        <w:gridCol w:w="185"/>
        <w:gridCol w:w="90"/>
        <w:gridCol w:w="170"/>
        <w:gridCol w:w="1012"/>
        <w:gridCol w:w="185"/>
        <w:gridCol w:w="90"/>
        <w:gridCol w:w="170"/>
        <w:gridCol w:w="1087"/>
        <w:gridCol w:w="232"/>
      </w:tblGrid>
      <w:tr>
        <w:trPr/>
        <w:tc>
          <w:tcPr>
            <w:tcW w:w="2864" w:type="dxa"/>
            <w:tcBorders/>
            <w:vAlign w:val="center"/>
          </w:tcPr>
          <w:p>
            <w:pPr>
              <w:pStyle w:val="TableContents"/>
              <w:bidi w:val="0"/>
              <w:spacing w:before="0" w:after="283"/>
              <w:jc w:val="left"/>
              <w:rPr/>
            </w:pPr>
            <w:r>
              <w:rPr/>
              <w:t> </w:t>
            </w:r>
          </w:p>
        </w:tc>
        <w:tc>
          <w:tcPr>
            <w:tcW w:w="4305" w:type="dxa"/>
            <w:gridSpan w:val="11"/>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2946" w:type="dxa"/>
            <w:gridSpan w:val="7"/>
            <w:tcBorders/>
            <w:vAlign w:val="center"/>
          </w:tcPr>
          <w:p>
            <w:pPr>
              <w:pStyle w:val="TableContents"/>
              <w:bidi w:val="0"/>
              <w:spacing w:before="0" w:after="283"/>
              <w:jc w:val="center"/>
              <w:rPr>
                <w:b/>
              </w:rPr>
            </w:pPr>
            <w:r>
              <w:rPr>
                <w:b/>
              </w:rPr>
              <w:t>Six fiscal months ended</w:t>
            </w:r>
          </w:p>
        </w:tc>
      </w:tr>
      <w:tr>
        <w:trPr/>
        <w:tc>
          <w:tcPr>
            <w:tcW w:w="2864"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2"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56" w:type="dxa"/>
            <w:tcBorders>
              <w:bottom w:val="single" w:sz="6" w:space="0" w:color="000000"/>
            </w:tcBorders>
            <w:tcMar>
              <w:bottom w:w="28" w:type="dxa"/>
            </w:tcMar>
            <w:vAlign w:val="center"/>
          </w:tcPr>
          <w:p>
            <w:pPr>
              <w:pStyle w:val="TableContents"/>
              <w:bidi w:val="0"/>
              <w:spacing w:before="0" w:after="283"/>
              <w:jc w:val="center"/>
              <w:rPr>
                <w:b/>
              </w:rPr>
            </w:pPr>
            <w:r>
              <w:rPr>
                <w:b/>
              </w:rPr>
              <w:t>April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2"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232"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left"/>
              <w:rPr/>
            </w:pPr>
            <w:r>
              <w:rPr/>
              <w:t>Net earnings (loss)</w:t>
            </w:r>
          </w:p>
        </w:tc>
        <w:tc>
          <w:tcPr>
            <w:tcW w:w="170" w:type="dxa"/>
            <w:tcBorders/>
            <w:shd w:fill="CCEEFF" w:val="clear"/>
            <w:vAlign w:val="center"/>
          </w:tcPr>
          <w:p>
            <w:pPr>
              <w:pStyle w:val="TableContents"/>
              <w:bidi w:val="0"/>
              <w:spacing w:before="0" w:after="283"/>
              <w:jc w:val="left"/>
              <w:rPr>
                <w:b/>
              </w:rPr>
            </w:pPr>
            <w:r>
              <w:rPr>
                <w:b/>
              </w:rPr>
              <w:t>$</w:t>
            </w:r>
          </w:p>
        </w:tc>
        <w:tc>
          <w:tcPr>
            <w:tcW w:w="1012" w:type="dxa"/>
            <w:tcBorders/>
            <w:shd w:fill="CCEEFF" w:val="clear"/>
            <w:vAlign w:val="center"/>
          </w:tcPr>
          <w:p>
            <w:pPr>
              <w:pStyle w:val="TableContents"/>
              <w:bidi w:val="0"/>
              <w:spacing w:before="0" w:after="283"/>
              <w:jc w:val="right"/>
              <w:rPr>
                <w:b/>
              </w:rPr>
            </w:pPr>
            <w:r>
              <w:rPr>
                <w:b/>
              </w:rPr>
              <w:t>28,124</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7,164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2,004</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rPr>
            </w:pPr>
            <w:r>
              <w:rPr>
                <w:b/>
              </w:rPr>
              <w:t>$</w:t>
            </w:r>
          </w:p>
        </w:tc>
        <w:tc>
          <w:tcPr>
            <w:tcW w:w="1012" w:type="dxa"/>
            <w:tcBorders/>
            <w:shd w:fill="CCEEFF" w:val="clear"/>
            <w:vAlign w:val="center"/>
          </w:tcPr>
          <w:p>
            <w:pPr>
              <w:pStyle w:val="TableContents"/>
              <w:bidi w:val="0"/>
              <w:spacing w:before="0" w:after="283"/>
              <w:jc w:val="right"/>
              <w:rPr>
                <w:b/>
              </w:rPr>
            </w:pPr>
            <w:r>
              <w:rPr>
                <w:b/>
              </w:rPr>
              <w:t>35,288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7" w:type="dxa"/>
            <w:tcBorders/>
            <w:shd w:fill="CCEEFF" w:val="clear"/>
            <w:vAlign w:val="center"/>
          </w:tcPr>
          <w:p>
            <w:pPr>
              <w:pStyle w:val="TableContents"/>
              <w:bidi w:val="0"/>
              <w:spacing w:before="0" w:after="283"/>
              <w:jc w:val="right"/>
              <w:rPr/>
            </w:pPr>
            <w:r>
              <w:rPr/>
              <w:t>(2,088</w:t>
            </w:r>
          </w:p>
        </w:tc>
        <w:tc>
          <w:tcPr>
            <w:tcW w:w="232" w:type="dxa"/>
            <w:tcBorders/>
            <w:shd w:fill="CCEEFF" w:val="clear"/>
            <w:vAlign w:val="center"/>
          </w:tcPr>
          <w:p>
            <w:pPr>
              <w:pStyle w:val="TableContents"/>
              <w:bidi w:val="0"/>
              <w:spacing w:before="0" w:after="283"/>
              <w:jc w:val="left"/>
              <w:rPr/>
            </w:pPr>
            <w:r>
              <w:rPr/>
              <w:t>)</w:t>
            </w:r>
          </w:p>
        </w:tc>
      </w:tr>
      <w:tr>
        <w:trPr/>
        <w:tc>
          <w:tcPr>
            <w:tcW w:w="286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left"/>
              <w:rPr>
                <w:u w:val="single"/>
              </w:rPr>
            </w:pPr>
            <w:r>
              <w:rPr>
                <w:u w:val="single"/>
              </w:rPr>
              <w:t>Reconciling items affecting net revenues:</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pPr>
            <w:r>
              <w:rPr/>
              <w:t>Tariff refunds passed through to customers</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b/>
              </w:rPr>
            </w:pPr>
            <w:r>
              <w:rPr>
                <w:b/>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b/>
              </w:rPr>
            </w:pPr>
            <w:r>
              <w:rPr>
                <w:b/>
              </w:rPr>
              <w:t>30,008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w:t>
            </w:r>
          </w:p>
        </w:tc>
        <w:tc>
          <w:tcPr>
            <w:tcW w:w="232"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u w:val="single"/>
              </w:rPr>
            </w:pPr>
            <w:r>
              <w:rPr>
                <w:u w:val="single"/>
              </w:rPr>
              <w:t>Other reconciling items affecting gross profit:</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left"/>
              <w:rPr/>
            </w:pPr>
            <w:r>
              <w:rPr/>
              <w:t>Tariff refunds received from U.S. government</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b/>
              </w:rPr>
            </w:pPr>
            <w:r>
              <w:rPr>
                <w:b/>
              </w:rPr>
              <w:t>(30,008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b/>
              </w:rPr>
            </w:pPr>
            <w:r>
              <w:rPr>
                <w:b/>
              </w:rPr>
              <w:t>(30,008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left"/>
              <w:rPr>
                <w:u w:val="single"/>
              </w:rPr>
            </w:pPr>
            <w:r>
              <w:rPr>
                <w:u w:val="single"/>
              </w:rPr>
              <w:t>Other reconciling items affecting operating income:</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pPr>
            <w:r>
              <w:rPr/>
              <w:t>Favorable resolution of contingency</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(11,293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b/>
              </w:rPr>
            </w:pPr>
            <w:r>
              <w:rPr>
                <w:b/>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(11,293</w:t>
            </w:r>
          </w:p>
        </w:tc>
        <w:tc>
          <w:tcPr>
            <w:tcW w:w="232"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8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pPr>
            <w:r>
              <w:rPr/>
              <w:t>Adjusted net earnings (loss)</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12" w:type="dxa"/>
            <w:tcBorders>
              <w:bottom w:val="double" w:sz="6" w:space="0" w:color="000000"/>
            </w:tcBorders>
            <w:tcMar>
              <w:bottom w:w="28" w:type="dxa"/>
            </w:tcMar>
            <w:vAlign w:val="center"/>
          </w:tcPr>
          <w:p>
            <w:pPr>
              <w:pStyle w:val="TableContents"/>
              <w:bidi w:val="0"/>
              <w:spacing w:before="0" w:after="283"/>
              <w:jc w:val="right"/>
              <w:rPr>
                <w:b/>
              </w:rPr>
            </w:pPr>
            <w:r>
              <w:rPr>
                <w:b/>
              </w:rPr>
              <w:t>28,124</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tcMar>
              <w:bottom w:w="28" w:type="dxa"/>
            </w:tcMar>
            <w:vAlign w:val="center"/>
          </w:tcPr>
          <w:p>
            <w:pPr>
              <w:pStyle w:val="TableContents"/>
              <w:bidi w:val="0"/>
              <w:spacing w:before="0" w:after="283"/>
              <w:jc w:val="right"/>
              <w:rPr/>
            </w:pPr>
            <w:r>
              <w:rPr/>
              <w:t>7,164</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87" w:type="dxa"/>
            <w:tcBorders>
              <w:bottom w:val="double" w:sz="6" w:space="0" w:color="000000"/>
            </w:tcBorders>
            <w:tcMar>
              <w:bottom w:w="28" w:type="dxa"/>
            </w:tcMar>
            <w:vAlign w:val="center"/>
          </w:tcPr>
          <w:p>
            <w:pPr>
              <w:pStyle w:val="TableContents"/>
              <w:bidi w:val="0"/>
              <w:spacing w:before="0" w:after="283"/>
              <w:jc w:val="right"/>
              <w:rPr/>
            </w:pPr>
            <w:r>
              <w:rPr/>
              <w:t>(9,289</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12" w:type="dxa"/>
            <w:tcBorders>
              <w:bottom w:val="double" w:sz="6" w:space="0" w:color="000000"/>
            </w:tcBorders>
            <w:tcMar>
              <w:bottom w:w="28" w:type="dxa"/>
            </w:tcMar>
            <w:vAlign w:val="center"/>
          </w:tcPr>
          <w:p>
            <w:pPr>
              <w:pStyle w:val="TableContents"/>
              <w:bidi w:val="0"/>
              <w:spacing w:before="0" w:after="283"/>
              <w:jc w:val="right"/>
              <w:rPr>
                <w:b/>
              </w:rPr>
            </w:pPr>
            <w:r>
              <w:rPr>
                <w:b/>
              </w:rPr>
              <w:t>35,288</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87" w:type="dxa"/>
            <w:tcBorders>
              <w:bottom w:val="double" w:sz="6" w:space="0" w:color="000000"/>
            </w:tcBorders>
            <w:tcMar>
              <w:bottom w:w="28" w:type="dxa"/>
            </w:tcMar>
            <w:vAlign w:val="center"/>
          </w:tcPr>
          <w:p>
            <w:pPr>
              <w:pStyle w:val="TableContents"/>
              <w:bidi w:val="0"/>
              <w:spacing w:before="0" w:after="283"/>
              <w:jc w:val="right"/>
              <w:rPr/>
            </w:pPr>
            <w:r>
              <w:rPr/>
              <w:t>(13,381</w:t>
            </w:r>
          </w:p>
        </w:tc>
        <w:tc>
          <w:tcPr>
            <w:tcW w:w="232" w:type="dxa"/>
            <w:tcBorders/>
            <w:vAlign w:val="center"/>
          </w:tcPr>
          <w:p>
            <w:pPr>
              <w:pStyle w:val="TableContents"/>
              <w:bidi w:val="0"/>
              <w:spacing w:before="0" w:after="283"/>
              <w:jc w:val="left"/>
              <w:rPr/>
            </w:pPr>
            <w:r>
              <w:rPr/>
              <w:t>)</w:t>
            </w:r>
          </w:p>
        </w:tc>
      </w:tr>
      <w:tr>
        <w:trPr/>
        <w:tc>
          <w:tcPr>
            <w:tcW w:w="2864"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pPr>
            <w:r>
              <w:rPr/>
              <w:t>Adjusted weighted average diluted shares outstanding</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b/>
              </w:rPr>
            </w:pPr>
            <w:r>
              <w:rPr>
                <w:b/>
              </w:rPr>
              <w:t>147,901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137,471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135,702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b/>
              </w:rPr>
            </w:pPr>
            <w:r>
              <w:rPr>
                <w:b/>
              </w:rPr>
              <w:t>142,680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7" w:type="dxa"/>
            <w:tcBorders/>
            <w:vAlign w:val="center"/>
          </w:tcPr>
          <w:p>
            <w:pPr>
              <w:pStyle w:val="TableContents"/>
              <w:bidi w:val="0"/>
              <w:spacing w:before="0" w:after="283"/>
              <w:jc w:val="right"/>
              <w:rPr/>
            </w:pPr>
            <w:r>
              <w:rPr/>
              <w:t>135,750</w:t>
            </w:r>
          </w:p>
        </w:tc>
        <w:tc>
          <w:tcPr>
            <w:tcW w:w="232" w:type="dxa"/>
            <w:tcBorders/>
            <w:vAlign w:val="center"/>
          </w:tcPr>
          <w:p>
            <w:pPr>
              <w:pStyle w:val="TableContents"/>
              <w:bidi w:val="0"/>
              <w:spacing w:before="0" w:after="283"/>
              <w:jc w:val="left"/>
              <w:rPr/>
            </w:pPr>
            <w:r>
              <w:rPr/>
              <w:t> </w:t>
            </w:r>
          </w:p>
        </w:tc>
      </w:tr>
      <w:tr>
        <w:trPr/>
        <w:tc>
          <w:tcPr>
            <w:tcW w:w="2864"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7"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2864" w:type="dxa"/>
            <w:tcBorders/>
            <w:vAlign w:val="center"/>
          </w:tcPr>
          <w:p>
            <w:pPr>
              <w:pStyle w:val="TableContents"/>
              <w:bidi w:val="0"/>
              <w:spacing w:before="0" w:after="283"/>
              <w:jc w:val="left"/>
              <w:rPr/>
            </w:pPr>
            <w:r>
              <w:rPr/>
              <w:t>Adjusted earnings (loss) per diluted share</w:t>
            </w:r>
          </w:p>
        </w:tc>
        <w:tc>
          <w:tcPr>
            <w:tcW w:w="170" w:type="dxa"/>
            <w:tcBorders/>
            <w:vAlign w:val="center"/>
          </w:tcPr>
          <w:p>
            <w:pPr>
              <w:pStyle w:val="TableContents"/>
              <w:bidi w:val="0"/>
              <w:spacing w:before="0" w:after="283"/>
              <w:jc w:val="left"/>
              <w:rPr>
                <w:b/>
              </w:rPr>
            </w:pPr>
            <w:r>
              <w:rPr>
                <w:b/>
              </w:rPr>
              <w:t>$</w:t>
            </w:r>
          </w:p>
        </w:tc>
        <w:tc>
          <w:tcPr>
            <w:tcW w:w="1012" w:type="dxa"/>
            <w:tcBorders/>
            <w:vAlign w:val="center"/>
          </w:tcPr>
          <w:p>
            <w:pPr>
              <w:pStyle w:val="TableContents"/>
              <w:bidi w:val="0"/>
              <w:spacing w:before="0" w:after="283"/>
              <w:jc w:val="right"/>
              <w:rPr>
                <w:b/>
              </w:rPr>
            </w:pPr>
            <w:r>
              <w:rPr>
                <w:b/>
              </w:rPr>
              <w:t>0.19</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56" w:type="dxa"/>
            <w:tcBorders/>
            <w:vAlign w:val="center"/>
          </w:tcPr>
          <w:p>
            <w:pPr>
              <w:pStyle w:val="TableContents"/>
              <w:bidi w:val="0"/>
              <w:spacing w:before="0" w:after="283"/>
              <w:jc w:val="right"/>
              <w:rPr/>
            </w:pPr>
            <w:r>
              <w:rPr/>
              <w:t>0.05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(0.07</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12" w:type="dxa"/>
            <w:tcBorders/>
            <w:vAlign w:val="center"/>
          </w:tcPr>
          <w:p>
            <w:pPr>
              <w:pStyle w:val="TableContents"/>
              <w:bidi w:val="0"/>
              <w:spacing w:before="0" w:after="283"/>
              <w:jc w:val="right"/>
              <w:rPr>
                <w:b/>
              </w:rPr>
            </w:pPr>
            <w:r>
              <w:rPr>
                <w:b/>
              </w:rPr>
              <w:t>0.25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87" w:type="dxa"/>
            <w:tcBorders/>
            <w:vAlign w:val="center"/>
          </w:tcPr>
          <w:p>
            <w:pPr>
              <w:pStyle w:val="TableContents"/>
              <w:bidi w:val="0"/>
              <w:spacing w:before="0" w:after="283"/>
              <w:jc w:val="right"/>
              <w:rPr/>
            </w:pPr>
            <w:r>
              <w:rPr/>
              <w:t>(0.10</w:t>
            </w:r>
          </w:p>
        </w:tc>
        <w:tc>
          <w:tcPr>
            <w:tcW w:w="232"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Although the term "free cash" is not defined in GAAP, each of the elements used to calculate free cash for the year-to-date period is presented as a line item on the face of our consolidated condensed statement of cash flows prepared in accordance with GAAP and the quarterly amounts are derived from the year-to-date GAAP statements as of the beginning and end of the respective quarter.  Free cash results are as follows </w:t>
      </w:r>
      <w:r>
        <w:rPr>
          <w:rFonts w:ascii="Times New Roman" w:hAnsi="Times New Roman"/>
          <w:color w:val="242424"/>
          <w:sz w:val="24"/>
        </w:rPr>
        <w:t>(</w:t>
      </w:r>
      <w:r>
        <w:rPr>
          <w:rFonts w:ascii="Times New Roman" w:hAnsi="Times New Roman"/>
          <w:i/>
          <w:color w:val="242424"/>
          <w:sz w:val="24"/>
        </w:rPr>
        <w:t>in thousands</w:t>
      </w:r>
      <w:r>
        <w:rPr>
          <w:rFonts w:ascii="Times New Roman" w:hAnsi="Times New Roman"/>
          <w:color w:val="242424"/>
          <w:sz w:val="24"/>
        </w:rPr>
        <w:t>)</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897"/>
        <w:gridCol w:w="170"/>
        <w:gridCol w:w="984"/>
        <w:gridCol w:w="185"/>
        <w:gridCol w:w="90"/>
        <w:gridCol w:w="170"/>
        <w:gridCol w:w="1069"/>
        <w:gridCol w:w="185"/>
        <w:gridCol w:w="90"/>
        <w:gridCol w:w="170"/>
        <w:gridCol w:w="1018"/>
        <w:gridCol w:w="185"/>
        <w:gridCol w:w="53"/>
        <w:gridCol w:w="170"/>
        <w:gridCol w:w="1032"/>
        <w:gridCol w:w="185"/>
        <w:gridCol w:w="53"/>
        <w:gridCol w:w="170"/>
        <w:gridCol w:w="1096"/>
        <w:gridCol w:w="233"/>
      </w:tblGrid>
      <w:tr>
        <w:trPr/>
        <w:tc>
          <w:tcPr>
            <w:tcW w:w="28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left"/>
              <w:rPr/>
            </w:pPr>
            <w:r>
              <w:rPr/>
              <w:t> </w:t>
            </w:r>
          </w:p>
        </w:tc>
        <w:tc>
          <w:tcPr>
            <w:tcW w:w="4316" w:type="dxa"/>
            <w:gridSpan w:val="11"/>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2939" w:type="dxa"/>
            <w:gridSpan w:val="7"/>
            <w:tcBorders/>
            <w:vAlign w:val="center"/>
          </w:tcPr>
          <w:p>
            <w:pPr>
              <w:pStyle w:val="TableContents"/>
              <w:bidi w:val="0"/>
              <w:spacing w:before="0" w:after="283"/>
              <w:jc w:val="center"/>
              <w:rPr>
                <w:b/>
              </w:rPr>
            </w:pPr>
            <w:r>
              <w:rPr>
                <w:b/>
              </w:rPr>
              <w:t>Six fiscal months ended</w:t>
            </w:r>
          </w:p>
        </w:tc>
      </w:tr>
      <w:tr>
        <w:trPr/>
        <w:tc>
          <w:tcPr>
            <w:tcW w:w="2897"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984"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tcMar>
              <w:bottom w:w="28" w:type="dxa"/>
            </w:tcMar>
            <w:vAlign w:val="center"/>
          </w:tcPr>
          <w:p>
            <w:pPr>
              <w:pStyle w:val="TableContents"/>
              <w:bidi w:val="0"/>
              <w:spacing w:before="0" w:after="283"/>
              <w:jc w:val="center"/>
              <w:rPr>
                <w:b/>
              </w:rPr>
            </w:pPr>
            <w:r>
              <w:rPr>
                <w:b/>
              </w:rPr>
              <w:t>April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18"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32"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96"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233" w:type="dxa"/>
            <w:tcBorders/>
            <w:vAlign w:val="center"/>
          </w:tcPr>
          <w:p>
            <w:pPr>
              <w:pStyle w:val="TableContents"/>
              <w:bidi w:val="0"/>
              <w:spacing w:before="0" w:after="283"/>
              <w:jc w:val="center"/>
              <w:rPr/>
            </w:pPr>
            <w:r>
              <w:rPr/>
              <w:t> </w:t>
            </w:r>
          </w:p>
        </w:tc>
      </w:tr>
      <w:tr>
        <w:trPr/>
        <w:tc>
          <w:tcPr>
            <w:tcW w:w="2897" w:type="dxa"/>
            <w:tcBorders/>
            <w:shd w:fill="CCEEFF" w:val="clear"/>
            <w:vAlign w:val="center"/>
          </w:tcPr>
          <w:p>
            <w:pPr>
              <w:pStyle w:val="TableContents"/>
              <w:bidi w:val="0"/>
              <w:spacing w:before="0" w:after="283"/>
              <w:jc w:val="left"/>
              <w:rPr/>
            </w:pPr>
            <w:r>
              <w:rPr/>
              <w:t>Net cash provided by (used in) continuing operating activities</w:t>
            </w:r>
          </w:p>
        </w:tc>
        <w:tc>
          <w:tcPr>
            <w:tcW w:w="170" w:type="dxa"/>
            <w:tcBorders/>
            <w:shd w:fill="CCEEFF" w:val="clear"/>
            <w:vAlign w:val="center"/>
          </w:tcPr>
          <w:p>
            <w:pPr>
              <w:pStyle w:val="TableContents"/>
              <w:bidi w:val="0"/>
              <w:spacing w:before="0" w:after="283"/>
              <w:jc w:val="left"/>
              <w:rPr>
                <w:b/>
              </w:rPr>
            </w:pPr>
            <w:r>
              <w:rPr>
                <w:b/>
              </w:rPr>
              <w:t>$</w:t>
            </w:r>
          </w:p>
        </w:tc>
        <w:tc>
          <w:tcPr>
            <w:tcW w:w="984" w:type="dxa"/>
            <w:tcBorders/>
            <w:shd w:fill="CCEEFF" w:val="clear"/>
            <w:vAlign w:val="center"/>
          </w:tcPr>
          <w:p>
            <w:pPr>
              <w:pStyle w:val="TableContents"/>
              <w:bidi w:val="0"/>
              <w:spacing w:before="0" w:after="283"/>
              <w:jc w:val="right"/>
              <w:rPr>
                <w:b/>
              </w:rPr>
            </w:pPr>
            <w:r>
              <w:rPr>
                <w:b/>
              </w:rPr>
              <w:t>105,359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69" w:type="dxa"/>
            <w:tcBorders/>
            <w:shd w:fill="CCEEFF" w:val="clear"/>
            <w:vAlign w:val="center"/>
          </w:tcPr>
          <w:p>
            <w:pPr>
              <w:pStyle w:val="TableContents"/>
              <w:bidi w:val="0"/>
              <w:spacing w:before="0" w:after="283"/>
              <w:jc w:val="right"/>
              <w:rPr/>
            </w:pPr>
            <w:r>
              <w:rPr/>
              <w:t>63,669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8" w:type="dxa"/>
            <w:tcBorders/>
            <w:shd w:fill="CCEEFF" w:val="clear"/>
            <w:vAlign w:val="center"/>
          </w:tcPr>
          <w:p>
            <w:pPr>
              <w:pStyle w:val="TableContents"/>
              <w:bidi w:val="0"/>
              <w:spacing w:before="0" w:after="283"/>
              <w:jc w:val="right"/>
              <w:rPr/>
            </w:pPr>
            <w:r>
              <w:rPr/>
              <w:t>(8,791</w:t>
            </w:r>
          </w:p>
        </w:tc>
        <w:tc>
          <w:tcPr>
            <w:tcW w:w="18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b/>
              </w:rPr>
            </w:pPr>
            <w:r>
              <w:rPr>
                <w:b/>
              </w:rPr>
              <w:t>$</w:t>
            </w:r>
          </w:p>
        </w:tc>
        <w:tc>
          <w:tcPr>
            <w:tcW w:w="1032" w:type="dxa"/>
            <w:tcBorders/>
            <w:shd w:fill="CCEEFF" w:val="clear"/>
            <w:vAlign w:val="center"/>
          </w:tcPr>
          <w:p>
            <w:pPr>
              <w:pStyle w:val="TableContents"/>
              <w:bidi w:val="0"/>
              <w:spacing w:before="0" w:after="283"/>
              <w:jc w:val="right"/>
              <w:rPr>
                <w:b/>
              </w:rPr>
            </w:pPr>
            <w:r>
              <w:rPr>
                <w:b/>
              </w:rPr>
              <w:t>169,028</w:t>
            </w:r>
          </w:p>
        </w:tc>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096" w:type="dxa"/>
            <w:tcBorders/>
            <w:shd w:fill="CCEEFF" w:val="clear"/>
            <w:vAlign w:val="center"/>
          </w:tcPr>
          <w:p>
            <w:pPr>
              <w:pStyle w:val="TableContents"/>
              <w:bidi w:val="0"/>
              <w:spacing w:before="0" w:after="283"/>
              <w:jc w:val="right"/>
              <w:rPr/>
            </w:pPr>
            <w:r>
              <w:rPr/>
              <w:t>7,307</w:t>
            </w:r>
          </w:p>
        </w:tc>
        <w:tc>
          <w:tcPr>
            <w:tcW w:w="233" w:type="dxa"/>
            <w:tcBorders/>
            <w:shd w:fill="CCEEFF" w:val="clear"/>
            <w:vAlign w:val="center"/>
          </w:tcPr>
          <w:p>
            <w:pPr>
              <w:pStyle w:val="TableContents"/>
              <w:bidi w:val="0"/>
              <w:spacing w:before="0" w:after="283"/>
              <w:jc w:val="left"/>
              <w:rPr>
                <w:sz w:val="4"/>
                <w:szCs w:val="4"/>
              </w:rPr>
            </w:pPr>
            <w:r>
              <w:rPr>
                <w:sz w:val="4"/>
                <w:szCs w:val="4"/>
              </w:rPr>
            </w:r>
          </w:p>
        </w:tc>
      </w:tr>
      <w:tr>
        <w:trPr/>
        <w:tc>
          <w:tcPr>
            <w:tcW w:w="2897" w:type="dxa"/>
            <w:tcBorders/>
            <w:vAlign w:val="center"/>
          </w:tcPr>
          <w:p>
            <w:pPr>
              <w:pStyle w:val="TableContents"/>
              <w:bidi w:val="0"/>
              <w:spacing w:before="0" w:after="283"/>
              <w:jc w:val="left"/>
              <w:rPr/>
            </w:pPr>
            <w:r>
              <w:rPr/>
              <w:t>Proceeds from sale of property and equipment</w:t>
            </w:r>
          </w:p>
        </w:tc>
        <w:tc>
          <w:tcPr>
            <w:tcW w:w="170"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b/>
              </w:rPr>
            </w:pPr>
            <w:r>
              <w:rPr>
                <w:b/>
              </w:rPr>
              <w:t>155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69" w:type="dxa"/>
            <w:tcBorders/>
            <w:vAlign w:val="center"/>
          </w:tcPr>
          <w:p>
            <w:pPr>
              <w:pStyle w:val="TableContents"/>
              <w:bidi w:val="0"/>
              <w:spacing w:before="0" w:after="283"/>
              <w:jc w:val="right"/>
              <w:rPr/>
            </w:pPr>
            <w:r>
              <w:rPr/>
              <w:t>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8" w:type="dxa"/>
            <w:tcBorders/>
            <w:vAlign w:val="center"/>
          </w:tcPr>
          <w:p>
            <w:pPr>
              <w:pStyle w:val="TableContents"/>
              <w:bidi w:val="0"/>
              <w:spacing w:before="0" w:after="283"/>
              <w:jc w:val="right"/>
              <w:rPr/>
            </w:pPr>
            <w:r>
              <w:rPr/>
              <w:t>215</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32" w:type="dxa"/>
            <w:tcBorders/>
            <w:vAlign w:val="center"/>
          </w:tcPr>
          <w:p>
            <w:pPr>
              <w:pStyle w:val="TableContents"/>
              <w:bidi w:val="0"/>
              <w:spacing w:before="0" w:after="283"/>
              <w:jc w:val="right"/>
              <w:rPr>
                <w:b/>
              </w:rPr>
            </w:pPr>
            <w:r>
              <w:rPr>
                <w:b/>
              </w:rPr>
              <w:t>221</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494</w:t>
            </w:r>
          </w:p>
        </w:tc>
        <w:tc>
          <w:tcPr>
            <w:tcW w:w="233" w:type="dxa"/>
            <w:tcBorders/>
            <w:vAlign w:val="center"/>
          </w:tcPr>
          <w:p>
            <w:pPr>
              <w:pStyle w:val="TableContents"/>
              <w:bidi w:val="0"/>
              <w:spacing w:before="0" w:after="283"/>
              <w:jc w:val="left"/>
              <w:rPr/>
            </w:pPr>
            <w:r>
              <w:rPr/>
              <w:t> </w:t>
            </w:r>
          </w:p>
        </w:tc>
      </w:tr>
      <w:tr>
        <w:trPr/>
        <w:tc>
          <w:tcPr>
            <w:tcW w:w="2897" w:type="dxa"/>
            <w:tcBorders/>
            <w:shd w:fill="CCEEFF" w:val="clear"/>
            <w:vAlign w:val="center"/>
          </w:tcPr>
          <w:p>
            <w:pPr>
              <w:pStyle w:val="TableContents"/>
              <w:bidi w:val="0"/>
              <w:spacing w:before="0" w:after="283"/>
              <w:jc w:val="left"/>
              <w:rPr/>
            </w:pPr>
            <w:r>
              <w:rPr/>
              <w:t>Less: Capital expenditures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4"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(95,201</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69" w:type="dxa"/>
            <w:tcBorders>
              <w:bottom w:val="single" w:sz="6" w:space="0" w:color="000000"/>
            </w:tcBorders>
            <w:shd w:fill="CCEEFF" w:val="clear"/>
            <w:tcMar>
              <w:bottom w:w="28" w:type="dxa"/>
            </w:tcMar>
            <w:vAlign w:val="center"/>
          </w:tcPr>
          <w:p>
            <w:pPr>
              <w:pStyle w:val="TableContents"/>
              <w:bidi w:val="0"/>
              <w:spacing w:before="0" w:after="283"/>
              <w:jc w:val="right"/>
              <w:rPr/>
            </w:pPr>
            <w:r>
              <w:rPr/>
              <w:t>(110,661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18" w:type="dxa"/>
            <w:tcBorders>
              <w:bottom w:val="single" w:sz="6" w:space="0" w:color="000000"/>
            </w:tcBorders>
            <w:shd w:fill="CCEEFF" w:val="clear"/>
            <w:tcMar>
              <w:bottom w:w="28" w:type="dxa"/>
            </w:tcMar>
            <w:vAlign w:val="center"/>
          </w:tcPr>
          <w:p>
            <w:pPr>
              <w:pStyle w:val="TableContents"/>
              <w:bidi w:val="0"/>
              <w:spacing w:before="0" w:after="283"/>
              <w:jc w:val="right"/>
              <w:rPr/>
            </w:pPr>
            <w:r>
              <w:rPr/>
              <w:t>(64,598</w:t>
            </w:r>
          </w:p>
        </w:tc>
        <w:tc>
          <w:tcPr>
            <w:tcW w:w="18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(205,862</w:t>
            </w:r>
          </w:p>
        </w:tc>
        <w:tc>
          <w:tcPr>
            <w:tcW w:w="185" w:type="dxa"/>
            <w:tcBorders/>
            <w:shd w:fill="CCEEFF" w:val="clear"/>
            <w:vAlign w:val="center"/>
          </w:tcPr>
          <w:p>
            <w:pPr>
              <w:pStyle w:val="TableContents"/>
              <w:bidi w:val="0"/>
              <w:spacing w:before="0" w:after="283"/>
              <w:jc w:val="left"/>
              <w:rPr>
                <w:b/>
              </w:rPr>
            </w:pPr>
            <w:r>
              <w:rPr>
                <w:b/>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6" w:space="0" w:color="000000"/>
            </w:tcBorders>
            <w:shd w:fill="CCEEFF" w:val="clear"/>
            <w:tcMar>
              <w:bottom w:w="28" w:type="dxa"/>
            </w:tcMar>
            <w:vAlign w:val="center"/>
          </w:tcPr>
          <w:p>
            <w:pPr>
              <w:pStyle w:val="TableContents"/>
              <w:bidi w:val="0"/>
              <w:spacing w:before="0" w:after="283"/>
              <w:jc w:val="right"/>
              <w:rPr/>
            </w:pPr>
            <w:r>
              <w:rPr/>
              <w:t>(126,167</w:t>
            </w:r>
          </w:p>
        </w:tc>
        <w:tc>
          <w:tcPr>
            <w:tcW w:w="233" w:type="dxa"/>
            <w:tcBorders/>
            <w:shd w:fill="CCEEFF" w:val="clear"/>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left"/>
              <w:rPr/>
            </w:pPr>
            <w:r>
              <w:rPr/>
              <w:t>Free cash</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84" w:type="dxa"/>
            <w:tcBorders>
              <w:bottom w:val="double" w:sz="6" w:space="0" w:color="000000"/>
            </w:tcBorders>
            <w:tcMar>
              <w:bottom w:w="28" w:type="dxa"/>
            </w:tcMar>
            <w:vAlign w:val="center"/>
          </w:tcPr>
          <w:p>
            <w:pPr>
              <w:pStyle w:val="TableContents"/>
              <w:bidi w:val="0"/>
              <w:spacing w:before="0" w:after="283"/>
              <w:jc w:val="right"/>
              <w:rPr>
                <w:b/>
              </w:rPr>
            </w:pPr>
            <w:r>
              <w:rPr>
                <w:b/>
              </w:rPr>
              <w:t>10,313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69" w:type="dxa"/>
            <w:tcBorders>
              <w:bottom w:val="double" w:sz="6" w:space="0" w:color="000000"/>
            </w:tcBorders>
            <w:tcMar>
              <w:bottom w:w="28" w:type="dxa"/>
            </w:tcMar>
            <w:vAlign w:val="center"/>
          </w:tcPr>
          <w:p>
            <w:pPr>
              <w:pStyle w:val="TableContents"/>
              <w:bidi w:val="0"/>
              <w:spacing w:before="0" w:after="283"/>
              <w:jc w:val="right"/>
              <w:rPr/>
            </w:pPr>
            <w:r>
              <w:rPr/>
              <w:t>(46,926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18" w:type="dxa"/>
            <w:tcBorders>
              <w:bottom w:val="double" w:sz="6" w:space="0" w:color="000000"/>
            </w:tcBorders>
            <w:tcMar>
              <w:bottom w:w="28" w:type="dxa"/>
            </w:tcMar>
            <w:vAlign w:val="center"/>
          </w:tcPr>
          <w:p>
            <w:pPr>
              <w:pStyle w:val="TableContents"/>
              <w:bidi w:val="0"/>
              <w:spacing w:before="0" w:after="283"/>
              <w:jc w:val="right"/>
              <w:rPr/>
            </w:pPr>
            <w:r>
              <w:rPr/>
              <w:t>(73,174</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032" w:type="dxa"/>
            <w:tcBorders>
              <w:bottom w:val="double" w:sz="6" w:space="0" w:color="000000"/>
            </w:tcBorders>
            <w:tcMar>
              <w:bottom w:w="28" w:type="dxa"/>
            </w:tcMar>
            <w:vAlign w:val="center"/>
          </w:tcPr>
          <w:p>
            <w:pPr>
              <w:pStyle w:val="TableContents"/>
              <w:bidi w:val="0"/>
              <w:spacing w:before="0" w:after="283"/>
              <w:jc w:val="right"/>
              <w:rPr>
                <w:b/>
              </w:rPr>
            </w:pPr>
            <w:r>
              <w:rPr>
                <w:b/>
              </w:rPr>
              <w:t>(36,613</w:t>
            </w:r>
          </w:p>
        </w:tc>
        <w:tc>
          <w:tcPr>
            <w:tcW w:w="185" w:type="dxa"/>
            <w:tcBorders/>
            <w:vAlign w:val="center"/>
          </w:tcPr>
          <w:p>
            <w:pPr>
              <w:pStyle w:val="TableContents"/>
              <w:bidi w:val="0"/>
              <w:spacing w:before="0" w:after="283"/>
              <w:jc w:val="left"/>
              <w:rPr>
                <w:b/>
              </w:rPr>
            </w:pPr>
            <w:r>
              <w:rPr>
                <w:b/>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096" w:type="dxa"/>
            <w:tcBorders>
              <w:bottom w:val="double" w:sz="6" w:space="0" w:color="000000"/>
            </w:tcBorders>
            <w:tcMar>
              <w:bottom w:w="28" w:type="dxa"/>
            </w:tcMar>
            <w:vAlign w:val="center"/>
          </w:tcPr>
          <w:p>
            <w:pPr>
              <w:pStyle w:val="TableContents"/>
              <w:bidi w:val="0"/>
              <w:spacing w:before="0" w:after="283"/>
              <w:jc w:val="right"/>
              <w:rPr/>
            </w:pPr>
            <w:r>
              <w:rPr/>
              <w:t>(118,366</w:t>
            </w:r>
          </w:p>
        </w:tc>
        <w:tc>
          <w:tcPr>
            <w:tcW w:w="233"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Our accelerated investments to expand capacity have positioned us to be able to better serve our customers and capture the early stages of upturns in end market demand.  The long-term outlook for our business remains strong.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26</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Recent Developments</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On July 1, 2026, we completed an underwritten public offering of 17.25 million shares of our common stock at a price to the public of $50.00 per share for proceeds of $830.25 million, net of underwriting discounts and issuance costs.  We intend to use the net proceeds from the sale of our common stock in this offering to accelerate our growth initiatives and for general corporate purposes, including to reduce borrowings under our revolving credit facility.  These growth initiatives may include investments in capacity expansion, manufacturing optimization, technology innovation research and development, and other strategic priorities intended to support long-term growth. Pending these uses, we may invest the net proceeds in short-term, investment-grade instruments.  We may also use a portion of the net proceeds to acquire or invest in businesses, products and/or technologies that are complementary to our own, although we have no current plans, commitments, or agreements with respect to any acquisitions.  In the third fiscal quarter of 2026, we reduced the outstanding balance of the revolving credit facility to zero using the proceeds of the offering.</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4"/>
        </w:rPr>
        <w:t xml:space="preserve">On February 20, 2026, the United States Supreme Court issued a ruling striking down certain tariffs previously imposed under the International Emergency Economic Powers Act (“IEEPA”). Following the Supreme Court’s decision, the U.S. administration announced its intention to invoke other laws to collect tariffs and announced new tariffs on imports from all countries, in addition to any existing non-IEEPA tariffs. There remains substantial uncertainty regarding the duration of existing and newly announced tariffs, potential changes or pauses to such tariffs, tariff levels, and whether further additional tariffs or other retaliatory actions may be imposed, modified, or suspended, and the impacts of such actions on our business.  </w:t>
      </w:r>
      <w:r>
        <w:rPr>
          <w:rFonts w:ascii="Times New Roman" w:hAnsi="Times New Roman"/>
          <w:spacing w:val="0"/>
          <w:sz w:val="24"/>
        </w:rPr>
        <w:t>We continue to monitor and evaluate these developments and assess their potential impact on our business, financial condition, and results of operations.</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In the fiscal quarter ended July 4, 2026, we received refunds of IEEPA tariffs from the U.S. government, of which $30.0 million will be passed through to customers.  The tariff refunds received were recognized as a reduction of costs of products sold.  Tariff refunds to be passed through to customers are recorded as a reduction of net revenues.  Interest on tariff refunds was recorded as interest income and was not material. </w:t>
      </w:r>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 xml:space="preserve">Stockholder Return Policy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In 2022, our Board of Directors adopted a Stockholder Return Policy, which calls for us to return at least 70% of free cash flow, net of scheduled principal payments of long-term debt, on an annual basis.  We intend to return such amounts to stockholders directly, in the form of dividends, or indirectly, in the form of stock repurchases.  The policy sets forth our intention, but does not obligate us to acquire any shares of common stock or declare any dividends, and the policy may be terminated or suspended at any time at our discretion, in accordance with applicable laws and regulations.  For 2026, we expect to maintain our dividend and opportunistically repurchase shares in line with this policy.  We did not repurchase any shares of common stock in the second fiscal quarter of 2026.  We expect to be in compliance with our Stockholder Return Policy without repurchasing any common stock in 2026.</w:t>
      </w:r>
    </w:p>
    <w:p>
      <w:pPr>
        <w:pStyle w:val="TextBody"/>
        <w:bidi w:val="0"/>
        <w:spacing w:before="0" w:after="0"/>
        <w:jc w:val="both"/>
        <w:rPr/>
      </w:pPr>
      <w:r>
        <w:rPr/>
        <w:t xml:space="preserve">  </w:t>
      </w:r>
    </w:p>
    <w:p>
      <w:pPr>
        <w:pStyle w:val="TextBody"/>
        <w:bidi w:val="0"/>
        <w:spacing w:before="0" w:after="0"/>
        <w:jc w:val="both"/>
        <w:rPr/>
      </w:pPr>
      <w:r>
        <w:rPr>
          <w:color w:val="000000"/>
        </w:rPr>
        <w:t> </w:t>
      </w: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27</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b/>
          <w:color w:val="000000"/>
          <w:sz w:val="24"/>
        </w:rPr>
        <w:t>Financial Metrics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utilize several financial metrics to evaluate the performance and assess the future direction of our business.  These key financial measures and metrics include net revenues, gross profit margin, operating margin, segment operating income, segment operating margin, end-of-period backlog, and the book-to-bill ratio.  We also monitor changes in inventory turnover and our or publicly available average selling prices (“ASP”).</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Gross profit margin is computed as gross profit as a percentage of net revenues.  Gross profit is generally net revenues less costs of products sold, but also deducts certain other period costs, particularly losses on purchase commitments and inventory write-downs.  Losses on purchase commitments and inventory write-downs have the impact of reducing gross profit margin in the period of the charge, but result in improved gross profit margins in subsequent periods by reducing costs of products sold as inventory is used.  We also regularly evaluate gross profit by segment to assist in the analysis of consolidated gross profit.  Gross profit margin and gross profit margin by segment are clearly a function of net revenues, but also reflect our cost management programs and our ability to contain fixed costs.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Operating margin is computed as gross profit less operating expenses, expressed as a percentage of net revenues.  Operating margin is clearly a function of net revenues, but also reflects our cost management programs and our ability to contain fixed costs.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Our chief operating decision maker makes decisions, allocates resources, and evaluates business segment performance based on segment gross profit and segment operating income.  Only dedicated, direct selling, general, and administrative ("SG&amp;A") expenses of the segments are included in the calculation of segment operating income.  We do not allocate certain SG&amp;A expenses that are managed at the regional or corporate global level to our segments.  Accordingly, segment operating income does not include these SG&amp;A expenses that are not directly traceable to the segments.  Segment operating income also would not include income or costs not routinely used in the management of the segments in periods when those items are present, such as tariff refunds received from the U.S. government, tariff refunds passed through to customers, restructuring and severance costs, goodwill impairment charges, and other items affecting comparability.  Segment operating income is clearly a function of net revenues, but also reflects our cost management programs and our ability to contain fixed costs.  Segment operating margin is segment operating income expressed as a percentage of net revenues.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End-of-period backlog is one indicator of future revenues. We include in our backlog only open orders that we expect to ship in the next twelve months.  If demand falls below customers’ forecasts, or if customers do not control their inventory effectively, they may cancel or reschedule the shipments that are included in our backlog, in many instances without the payment of any penalty.  Therefore, the backlog is not necessarily indicative of the results to be expected for future periods.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An important indicator of demand in our industry is the book-to-bill ratio, which is the ratio of the amount of product ordered during a period as compared with the product that we ship during that period. A book-to-bill ratio that is greater than one indicates that our backlog is building and that we are likely to see increasing revenues in future periods. Conversely, a book-to-bill ratio that is less than one is an indicator of declining demand and may foretell declining revenues.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focus on our inventory turnover as a measure of how well we are managing our inventory.  We define inventory turnover for a financial reporting period as our costs of products sold for the four fiscal quarters ending on the last day of the reporting period divided by our average inventory (computed using each fiscal quarter-end balance) for this same period.  A higher level of inventory turnover reflects more efficient use of our capital.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Pricing in our industry can be volatile.  Using our and publicly available data, we analyze trends and changes in average selling prices to evaluate likely future pricing.  The erosion of average selling prices of established products is typical for semiconductor products.  We attempt to offset this deterioration with ongoing cost reduction activities and new product introductions.  Our specialty passive components are more resistant to average selling price erosion.  All pricing is subject to governing market conditions and is independently set by us.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28</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quarter-to-quarter trends in these financial metrics can also be an important indicator of the likely direction of our business. The following table shows net revenues, gross profit margin, operating margin, end-of-period backlog, book-to-bill ratio, inventory turnover, and changes in ASP for our business as a whole during the five fiscal quarters beginning with the second fiscal quarter of 2025 through the second fiscal quarter of 2026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762"/>
        <w:gridCol w:w="170"/>
        <w:gridCol w:w="1191"/>
        <w:gridCol w:w="245"/>
        <w:gridCol w:w="90"/>
        <w:gridCol w:w="170"/>
        <w:gridCol w:w="1184"/>
        <w:gridCol w:w="260"/>
        <w:gridCol w:w="90"/>
        <w:gridCol w:w="170"/>
        <w:gridCol w:w="1178"/>
        <w:gridCol w:w="260"/>
        <w:gridCol w:w="90"/>
        <w:gridCol w:w="170"/>
        <w:gridCol w:w="1168"/>
        <w:gridCol w:w="260"/>
        <w:gridCol w:w="90"/>
        <w:gridCol w:w="170"/>
        <w:gridCol w:w="1191"/>
        <w:gridCol w:w="296"/>
      </w:tblGrid>
      <w:tr>
        <w:trPr/>
        <w:tc>
          <w:tcPr>
            <w:tcW w:w="176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762"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91" w:type="dxa"/>
            <w:tcBorders>
              <w:bottom w:val="single" w:sz="6" w:space="0" w:color="000000"/>
            </w:tcBorders>
            <w:tcMar>
              <w:bottom w:w="28" w:type="dxa"/>
            </w:tcMar>
            <w:vAlign w:val="center"/>
          </w:tcPr>
          <w:p>
            <w:pPr>
              <w:pStyle w:val="TableContents"/>
              <w:bidi w:val="0"/>
              <w:spacing w:before="0" w:after="283"/>
              <w:jc w:val="center"/>
              <w:rPr>
                <w:b/>
              </w:rPr>
            </w:pPr>
            <w:r>
              <w:rPr>
                <w:b/>
              </w:rPr>
              <w:t>2nd Quarter 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84" w:type="dxa"/>
            <w:tcBorders>
              <w:bottom w:val="single" w:sz="6" w:space="0" w:color="000000"/>
            </w:tcBorders>
            <w:tcMar>
              <w:bottom w:w="28" w:type="dxa"/>
            </w:tcMar>
            <w:vAlign w:val="center"/>
          </w:tcPr>
          <w:p>
            <w:pPr>
              <w:pStyle w:val="TableContents"/>
              <w:bidi w:val="0"/>
              <w:spacing w:before="0" w:after="283"/>
              <w:jc w:val="center"/>
              <w:rPr>
                <w:b/>
              </w:rPr>
            </w:pPr>
            <w:r>
              <w:rPr>
                <w:b/>
              </w:rPr>
              <w:t>3rd Quarter 2025</w:t>
            </w:r>
          </w:p>
        </w:tc>
        <w:tc>
          <w:tcPr>
            <w:tcW w:w="2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8" w:type="dxa"/>
            <w:tcBorders>
              <w:bottom w:val="single" w:sz="6" w:space="0" w:color="000000"/>
            </w:tcBorders>
            <w:tcMar>
              <w:bottom w:w="28" w:type="dxa"/>
            </w:tcMar>
            <w:vAlign w:val="center"/>
          </w:tcPr>
          <w:p>
            <w:pPr>
              <w:pStyle w:val="TableContents"/>
              <w:bidi w:val="0"/>
              <w:spacing w:before="0" w:after="283"/>
              <w:jc w:val="center"/>
              <w:rPr>
                <w:b/>
              </w:rPr>
            </w:pPr>
            <w:r>
              <w:rPr>
                <w:b/>
              </w:rPr>
              <w:t>4th Quarter 2025</w:t>
            </w:r>
          </w:p>
        </w:tc>
        <w:tc>
          <w:tcPr>
            <w:tcW w:w="2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8" w:type="dxa"/>
            <w:tcBorders>
              <w:bottom w:val="single" w:sz="6" w:space="0" w:color="000000"/>
            </w:tcBorders>
            <w:tcMar>
              <w:bottom w:w="28" w:type="dxa"/>
            </w:tcMar>
            <w:vAlign w:val="center"/>
          </w:tcPr>
          <w:p>
            <w:pPr>
              <w:pStyle w:val="TableContents"/>
              <w:bidi w:val="0"/>
              <w:spacing w:before="0" w:after="283"/>
              <w:jc w:val="center"/>
              <w:rPr>
                <w:b/>
              </w:rPr>
            </w:pPr>
            <w:r>
              <w:rPr>
                <w:b/>
              </w:rPr>
              <w:t>1st Quarter 2026</w:t>
            </w:r>
          </w:p>
        </w:tc>
        <w:tc>
          <w:tcPr>
            <w:tcW w:w="2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91" w:type="dxa"/>
            <w:tcBorders>
              <w:bottom w:val="single" w:sz="6" w:space="0" w:color="000000"/>
            </w:tcBorders>
            <w:tcMar>
              <w:bottom w:w="28" w:type="dxa"/>
            </w:tcMar>
            <w:vAlign w:val="center"/>
          </w:tcPr>
          <w:p>
            <w:pPr>
              <w:pStyle w:val="TableContents"/>
              <w:bidi w:val="0"/>
              <w:spacing w:before="0" w:after="283"/>
              <w:jc w:val="center"/>
              <w:rPr>
                <w:b/>
              </w:rPr>
            </w:pPr>
            <w:r>
              <w:rPr>
                <w:b/>
              </w:rPr>
              <w:t>2nd Quarter 2026</w:t>
            </w:r>
          </w:p>
        </w:tc>
        <w:tc>
          <w:tcPr>
            <w:tcW w:w="296" w:type="dxa"/>
            <w:tcBorders/>
            <w:vAlign w:val="center"/>
          </w:tcPr>
          <w:p>
            <w:pPr>
              <w:pStyle w:val="TableContents"/>
              <w:bidi w:val="0"/>
              <w:spacing w:before="0" w:after="283"/>
              <w:jc w:val="center"/>
              <w:rPr/>
            </w:pPr>
            <w:r>
              <w:rPr/>
              <w:t> </w:t>
            </w:r>
          </w:p>
        </w:tc>
      </w:tr>
      <w:tr>
        <w:trPr/>
        <w:tc>
          <w:tcPr>
            <w:tcW w:w="17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1762" w:type="dxa"/>
            <w:tcBorders/>
            <w:shd w:fill="CCEEFF" w:val="clear"/>
            <w:vAlign w:val="center"/>
          </w:tcPr>
          <w:p>
            <w:pPr>
              <w:pStyle w:val="TableContents"/>
              <w:bidi w:val="0"/>
              <w:spacing w:before="0" w:after="283"/>
              <w:jc w:val="left"/>
              <w:rPr/>
            </w:pPr>
            <w:r>
              <w:rPr/>
              <w:t>Net revenues(1)</w:t>
            </w:r>
          </w:p>
        </w:tc>
        <w:tc>
          <w:tcPr>
            <w:tcW w:w="170"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762,250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790,640</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800,922</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839,242</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888,575</w:t>
            </w:r>
          </w:p>
        </w:tc>
        <w:tc>
          <w:tcPr>
            <w:tcW w:w="296" w:type="dxa"/>
            <w:tcBorders/>
            <w:shd w:fill="CCEEFF" w:val="clear"/>
            <w:vAlign w:val="center"/>
          </w:tcPr>
          <w:p>
            <w:pPr>
              <w:pStyle w:val="TableContents"/>
              <w:bidi w:val="0"/>
              <w:spacing w:before="0" w:after="283"/>
              <w:jc w:val="left"/>
              <w:rPr/>
            </w:pPr>
            <w:r>
              <w:rPr/>
              <w:t> </w:t>
            </w:r>
          </w:p>
        </w:tc>
      </w:tr>
      <w:tr>
        <w:trPr/>
        <w:tc>
          <w:tcPr>
            <w:tcW w:w="17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1762" w:type="dxa"/>
            <w:tcBorders/>
            <w:shd w:fill="CCEEFF" w:val="clear"/>
            <w:vAlign w:val="center"/>
          </w:tcPr>
          <w:p>
            <w:pPr>
              <w:pStyle w:val="TableContents"/>
              <w:bidi w:val="0"/>
              <w:spacing w:before="0" w:after="283"/>
              <w:jc w:val="left"/>
              <w:rPr/>
            </w:pPr>
            <w:r>
              <w:rPr/>
              <w:t>Gross profit margin(2)</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19.5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84" w:type="dxa"/>
            <w:tcBorders/>
            <w:shd w:fill="CCEEFF" w:val="clear"/>
            <w:vAlign w:val="center"/>
          </w:tcPr>
          <w:p>
            <w:pPr>
              <w:pStyle w:val="TableContents"/>
              <w:bidi w:val="0"/>
              <w:spacing w:before="0" w:after="283"/>
              <w:jc w:val="right"/>
              <w:rPr/>
            </w:pPr>
            <w:r>
              <w:rPr/>
              <w:t>19.5</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right"/>
              <w:rPr/>
            </w:pPr>
            <w:r>
              <w:rPr/>
              <w:t>19.6</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68" w:type="dxa"/>
            <w:tcBorders/>
            <w:shd w:fill="CCEEFF" w:val="clear"/>
            <w:vAlign w:val="center"/>
          </w:tcPr>
          <w:p>
            <w:pPr>
              <w:pStyle w:val="TableContents"/>
              <w:bidi w:val="0"/>
              <w:spacing w:before="0" w:after="283"/>
              <w:jc w:val="right"/>
              <w:rPr/>
            </w:pPr>
            <w:r>
              <w:rPr/>
              <w:t>21.0</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91" w:type="dxa"/>
            <w:tcBorders/>
            <w:shd w:fill="CCEEFF" w:val="clear"/>
            <w:vAlign w:val="center"/>
          </w:tcPr>
          <w:p>
            <w:pPr>
              <w:pStyle w:val="TableContents"/>
              <w:bidi w:val="0"/>
              <w:spacing w:before="0" w:after="283"/>
              <w:jc w:val="right"/>
              <w:rPr/>
            </w:pPr>
            <w:r>
              <w:rPr/>
              <w:t>23.3</w:t>
            </w:r>
          </w:p>
        </w:tc>
        <w:tc>
          <w:tcPr>
            <w:tcW w:w="296" w:type="dxa"/>
            <w:tcBorders/>
            <w:shd w:fill="CCEEFF" w:val="clear"/>
            <w:vAlign w:val="center"/>
          </w:tcPr>
          <w:p>
            <w:pPr>
              <w:pStyle w:val="TableContents"/>
              <w:bidi w:val="0"/>
              <w:spacing w:before="0" w:after="283"/>
              <w:jc w:val="left"/>
              <w:rPr/>
            </w:pPr>
            <w:r>
              <w:rPr/>
              <w:t>%</w:t>
            </w:r>
          </w:p>
        </w:tc>
      </w:tr>
      <w:tr>
        <w:trPr/>
        <w:tc>
          <w:tcPr>
            <w:tcW w:w="17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1762" w:type="dxa"/>
            <w:tcBorders/>
            <w:shd w:fill="CCEEFF" w:val="clear"/>
            <w:vAlign w:val="center"/>
          </w:tcPr>
          <w:p>
            <w:pPr>
              <w:pStyle w:val="TableContents"/>
              <w:bidi w:val="0"/>
              <w:spacing w:before="0" w:after="283"/>
              <w:jc w:val="left"/>
              <w:rPr/>
            </w:pPr>
            <w:r>
              <w:rPr/>
              <w:t>Operating margin(2)</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91" w:type="dxa"/>
            <w:tcBorders/>
            <w:shd w:fill="CCEEFF" w:val="clear"/>
            <w:vAlign w:val="center"/>
          </w:tcPr>
          <w:p>
            <w:pPr>
              <w:pStyle w:val="TableContents"/>
              <w:bidi w:val="0"/>
              <w:spacing w:before="0" w:after="283"/>
              <w:jc w:val="right"/>
              <w:rPr/>
            </w:pPr>
            <w:r>
              <w:rPr/>
              <w:t>2.9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84" w:type="dxa"/>
            <w:tcBorders/>
            <w:shd w:fill="CCEEFF" w:val="clear"/>
            <w:vAlign w:val="center"/>
          </w:tcPr>
          <w:p>
            <w:pPr>
              <w:pStyle w:val="TableContents"/>
              <w:bidi w:val="0"/>
              <w:spacing w:before="0" w:after="283"/>
              <w:jc w:val="right"/>
              <w:rPr/>
            </w:pPr>
            <w:r>
              <w:rPr/>
              <w:t>2.4</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before="0" w:after="283"/>
              <w:jc w:val="right"/>
              <w:rPr/>
            </w:pPr>
            <w:r>
              <w:rPr/>
              <w:t>1.8</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2.6</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6.0</w:t>
            </w:r>
          </w:p>
        </w:tc>
        <w:tc>
          <w:tcPr>
            <w:tcW w:w="296" w:type="dxa"/>
            <w:tcBorders/>
            <w:shd w:fill="CCEEFF" w:val="clear"/>
            <w:vAlign w:val="center"/>
          </w:tcPr>
          <w:p>
            <w:pPr>
              <w:pStyle w:val="TableContents"/>
              <w:bidi w:val="0"/>
              <w:spacing w:before="0" w:after="283"/>
              <w:jc w:val="left"/>
              <w:rPr/>
            </w:pPr>
            <w:r>
              <w:rPr/>
              <w:t>%</w:t>
            </w:r>
          </w:p>
        </w:tc>
      </w:tr>
      <w:tr>
        <w:trPr/>
        <w:tc>
          <w:tcPr>
            <w:tcW w:w="17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1762" w:type="dxa"/>
            <w:tcBorders/>
            <w:shd w:fill="CCEEFF" w:val="clear"/>
            <w:vAlign w:val="center"/>
          </w:tcPr>
          <w:p>
            <w:pPr>
              <w:pStyle w:val="TableContents"/>
              <w:bidi w:val="0"/>
              <w:spacing w:before="0" w:after="283"/>
              <w:jc w:val="left"/>
              <w:rPr/>
            </w:pPr>
            <w:r>
              <w:rPr/>
              <w:t>End-of-period backlog</w:t>
            </w:r>
          </w:p>
        </w:tc>
        <w:tc>
          <w:tcPr>
            <w:tcW w:w="170"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1,174,900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84" w:type="dxa"/>
            <w:tcBorders/>
            <w:shd w:fill="CCEEFF" w:val="clear"/>
            <w:vAlign w:val="center"/>
          </w:tcPr>
          <w:p>
            <w:pPr>
              <w:pStyle w:val="TableContents"/>
              <w:bidi w:val="0"/>
              <w:spacing w:before="0" w:after="283"/>
              <w:jc w:val="right"/>
              <w:rPr/>
            </w:pPr>
            <w:r>
              <w:rPr/>
              <w:t>1,152,700</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78" w:type="dxa"/>
            <w:tcBorders/>
            <w:shd w:fill="CCEEFF" w:val="clear"/>
            <w:vAlign w:val="center"/>
          </w:tcPr>
          <w:p>
            <w:pPr>
              <w:pStyle w:val="TableContents"/>
              <w:bidi w:val="0"/>
              <w:spacing w:before="0" w:after="283"/>
              <w:jc w:val="right"/>
              <w:rPr/>
            </w:pPr>
            <w:r>
              <w:rPr/>
              <w:t>1,314,100</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8" w:type="dxa"/>
            <w:tcBorders/>
            <w:shd w:fill="CCEEFF" w:val="clear"/>
            <w:vAlign w:val="center"/>
          </w:tcPr>
          <w:p>
            <w:pPr>
              <w:pStyle w:val="TableContents"/>
              <w:bidi w:val="0"/>
              <w:spacing w:before="0" w:after="283"/>
              <w:jc w:val="right"/>
              <w:rPr/>
            </w:pPr>
            <w:r>
              <w:rPr/>
              <w:t>1,592,300</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1,877,300</w:t>
            </w:r>
          </w:p>
        </w:tc>
        <w:tc>
          <w:tcPr>
            <w:tcW w:w="296" w:type="dxa"/>
            <w:tcBorders/>
            <w:shd w:fill="CCEEFF" w:val="clear"/>
            <w:vAlign w:val="center"/>
          </w:tcPr>
          <w:p>
            <w:pPr>
              <w:pStyle w:val="TableContents"/>
              <w:bidi w:val="0"/>
              <w:spacing w:before="0" w:after="283"/>
              <w:jc w:val="left"/>
              <w:rPr/>
            </w:pPr>
            <w:r>
              <w:rPr/>
              <w:t> </w:t>
            </w:r>
          </w:p>
        </w:tc>
      </w:tr>
      <w:tr>
        <w:trPr/>
        <w:tc>
          <w:tcPr>
            <w:tcW w:w="17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1762" w:type="dxa"/>
            <w:tcBorders/>
            <w:shd w:fill="CCEEFF" w:val="clear"/>
            <w:vAlign w:val="center"/>
          </w:tcPr>
          <w:p>
            <w:pPr>
              <w:pStyle w:val="TableContents"/>
              <w:bidi w:val="0"/>
              <w:spacing w:before="0" w:after="283"/>
              <w:jc w:val="left"/>
              <w:rPr/>
            </w:pPr>
            <w:r>
              <w:rPr/>
              <w:t>Book-to-bill ratio</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1.02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0.97</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1.20</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1.34</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1.32</w:t>
            </w:r>
          </w:p>
        </w:tc>
        <w:tc>
          <w:tcPr>
            <w:tcW w:w="296" w:type="dxa"/>
            <w:tcBorders/>
            <w:shd w:fill="CCEEFF" w:val="clear"/>
            <w:vAlign w:val="center"/>
          </w:tcPr>
          <w:p>
            <w:pPr>
              <w:pStyle w:val="TableContents"/>
              <w:bidi w:val="0"/>
              <w:spacing w:before="0" w:after="283"/>
              <w:jc w:val="left"/>
              <w:rPr/>
            </w:pPr>
            <w:r>
              <w:rPr/>
              <w:t> </w:t>
            </w:r>
          </w:p>
        </w:tc>
      </w:tr>
      <w:tr>
        <w:trPr/>
        <w:tc>
          <w:tcPr>
            <w:tcW w:w="17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1762" w:type="dxa"/>
            <w:tcBorders/>
            <w:shd w:fill="CCEEFF" w:val="clear"/>
            <w:vAlign w:val="center"/>
          </w:tcPr>
          <w:p>
            <w:pPr>
              <w:pStyle w:val="TableContents"/>
              <w:bidi w:val="0"/>
              <w:spacing w:before="0" w:after="283"/>
              <w:jc w:val="left"/>
              <w:rPr/>
            </w:pPr>
            <w:r>
              <w:rPr/>
              <w:t>Inventory turnover</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3.3</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3.4</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3.4</w:t>
            </w:r>
          </w:p>
        </w:tc>
        <w:tc>
          <w:tcPr>
            <w:tcW w:w="2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3.5</w:t>
            </w:r>
          </w:p>
        </w:tc>
        <w:tc>
          <w:tcPr>
            <w:tcW w:w="296" w:type="dxa"/>
            <w:tcBorders/>
            <w:shd w:fill="CCEEFF" w:val="clear"/>
            <w:vAlign w:val="center"/>
          </w:tcPr>
          <w:p>
            <w:pPr>
              <w:pStyle w:val="TableContents"/>
              <w:bidi w:val="0"/>
              <w:spacing w:before="0" w:after="283"/>
              <w:jc w:val="left"/>
              <w:rPr/>
            </w:pPr>
            <w:r>
              <w:rPr/>
              <w:t> </w:t>
            </w:r>
          </w:p>
        </w:tc>
      </w:tr>
      <w:tr>
        <w:trPr/>
        <w:tc>
          <w:tcPr>
            <w:tcW w:w="1762"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84"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8"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left"/>
              <w:rPr/>
            </w:pPr>
            <w:r>
              <w:rPr/>
              <w:t> </w:t>
            </w:r>
          </w:p>
        </w:tc>
        <w:tc>
          <w:tcPr>
            <w:tcW w:w="296" w:type="dxa"/>
            <w:tcBorders/>
            <w:vAlign w:val="center"/>
          </w:tcPr>
          <w:p>
            <w:pPr>
              <w:pStyle w:val="TableContents"/>
              <w:bidi w:val="0"/>
              <w:spacing w:before="0" w:after="283"/>
              <w:jc w:val="left"/>
              <w:rPr/>
            </w:pPr>
            <w:r>
              <w:rPr/>
              <w:t> </w:t>
            </w:r>
          </w:p>
        </w:tc>
      </w:tr>
      <w:tr>
        <w:trPr/>
        <w:tc>
          <w:tcPr>
            <w:tcW w:w="1762" w:type="dxa"/>
            <w:tcBorders/>
            <w:shd w:fill="CCEEFF" w:val="clear"/>
            <w:vAlign w:val="center"/>
          </w:tcPr>
          <w:p>
            <w:pPr>
              <w:pStyle w:val="TableContents"/>
              <w:bidi w:val="0"/>
              <w:spacing w:before="0" w:after="283"/>
              <w:jc w:val="left"/>
              <w:rPr/>
            </w:pPr>
            <w:r>
              <w:rPr/>
              <w:t>Change in ASP vs. prior quarter</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84" w:type="dxa"/>
            <w:tcBorders/>
            <w:shd w:fill="CCEEFF" w:val="clear"/>
            <w:vAlign w:val="center"/>
          </w:tcPr>
          <w:p>
            <w:pPr>
              <w:pStyle w:val="TableContents"/>
              <w:bidi w:val="0"/>
              <w:spacing w:before="0" w:after="283"/>
              <w:jc w:val="right"/>
              <w:rPr/>
            </w:pPr>
            <w:r>
              <w:rPr/>
              <w:t>(0.3</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8" w:type="dxa"/>
            <w:tcBorders/>
            <w:shd w:fill="CCEEFF" w:val="clear"/>
            <w:vAlign w:val="center"/>
          </w:tcPr>
          <w:p>
            <w:pPr>
              <w:pStyle w:val="TableContents"/>
              <w:bidi w:val="0"/>
              <w:spacing w:before="0" w:after="283"/>
              <w:jc w:val="right"/>
              <w:rPr/>
            </w:pPr>
            <w:r>
              <w:rPr/>
              <w:t>(0.3</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(1.1</w:t>
            </w:r>
          </w:p>
        </w:tc>
        <w:tc>
          <w:tcPr>
            <w:tcW w:w="26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2.1</w:t>
            </w:r>
          </w:p>
        </w:tc>
        <w:tc>
          <w:tcPr>
            <w:tcW w:w="296"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rFonts w:ascii="Times New Roman" w:hAnsi="Times New Roman"/>
          <w:sz w:val="24"/>
        </w:rPr>
      </w:pPr>
      <w:r>
        <w:rPr>
          <w:rFonts w:ascii="Times New Roman" w:hAnsi="Times New Roman"/>
          <w:color w:val="000000"/>
          <w:sz w:val="24"/>
        </w:rPr>
        <w:t>____________</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(1) Net revenues for the second fiscal quarter of 2026 have been reduced by $30.0 million for tariff refunds passed through to customers, with no impact on gross profit.</w:t>
      </w:r>
    </w:p>
    <w:p>
      <w:pPr>
        <w:pStyle w:val="TextBody"/>
        <w:bidi w:val="0"/>
        <w:spacing w:before="0" w:after="0"/>
        <w:jc w:val="both"/>
        <w:rPr>
          <w:rFonts w:ascii="Times New Roman" w:hAnsi="Times New Roman"/>
          <w:sz w:val="20"/>
        </w:rPr>
      </w:pPr>
      <w:r>
        <w:rPr>
          <w:rFonts w:ascii="Times New Roman" w:hAnsi="Times New Roman"/>
          <w:sz w:val="20"/>
        </w:rPr>
        <w:t>(2) Gross profit margin and operating margin for the second fiscal quarter of 2026 also include $30.0 million tariff refunds received from the U.S. government, with no impact on gross profit.  Operating margin for the second fiscal quarter of 2025 includes an $11.3 million gain recognized upon the favorable resolution of a contingency.</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See “Financial Metrics by Segment” below for net revenues, book-to-bill ratio, and gross profit margin broken out by segment.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Revenues increased versus the prior fiscal quarter and prior year quarter.  The increases versus the prior fiscal quarter and prior year quarter are primarily due to higher sales volume and improved pricing conditions.  Order levels remain high and backlog increased versus the prior fiscal quarter and prior year quarter.  We continue to increase capacity for critical product lines.  Average selling prices increased versus the prior fiscal quarter.</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Gross profit margin increased versus the prior fiscal quarter and prior year quarter.  The increases are primarily due to higher sales volume, associated manufacturing efficiencies, and higher average selling prices, which offset higher metals and materials costs and unfavorable foreign exchange impacts.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29</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Financial Metrics by Segment</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following table shows net revenues, book-to-bill ratio, gross profit margin, and segment operating margin broken out by segment for the five fiscal quarters beginning with the second fiscal quarter of 2025 through the second fiscal quarter of 2026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853"/>
        <w:gridCol w:w="170"/>
        <w:gridCol w:w="1172"/>
        <w:gridCol w:w="267"/>
        <w:gridCol w:w="90"/>
        <w:gridCol w:w="170"/>
        <w:gridCol w:w="1163"/>
        <w:gridCol w:w="267"/>
        <w:gridCol w:w="90"/>
        <w:gridCol w:w="170"/>
        <w:gridCol w:w="1154"/>
        <w:gridCol w:w="267"/>
        <w:gridCol w:w="90"/>
        <w:gridCol w:w="170"/>
        <w:gridCol w:w="1140"/>
        <w:gridCol w:w="245"/>
        <w:gridCol w:w="90"/>
        <w:gridCol w:w="170"/>
        <w:gridCol w:w="1172"/>
        <w:gridCol w:w="295"/>
      </w:tblGrid>
      <w:tr>
        <w:trPr/>
        <w:tc>
          <w:tcPr>
            <w:tcW w:w="18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853"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2" w:type="dxa"/>
            <w:tcBorders>
              <w:bottom w:val="single" w:sz="6" w:space="0" w:color="000000"/>
            </w:tcBorders>
            <w:tcMar>
              <w:bottom w:w="28" w:type="dxa"/>
            </w:tcMar>
            <w:vAlign w:val="center"/>
          </w:tcPr>
          <w:p>
            <w:pPr>
              <w:pStyle w:val="TableContents"/>
              <w:bidi w:val="0"/>
              <w:spacing w:before="0" w:after="283"/>
              <w:jc w:val="center"/>
              <w:rPr>
                <w:b/>
              </w:rPr>
            </w:pPr>
            <w:r>
              <w:rPr>
                <w:b/>
              </w:rPr>
              <w:t>2nd Quarter 2025</w:t>
            </w:r>
          </w:p>
        </w:tc>
        <w:tc>
          <w:tcPr>
            <w:tcW w:w="26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63" w:type="dxa"/>
            <w:tcBorders>
              <w:bottom w:val="single" w:sz="6" w:space="0" w:color="000000"/>
            </w:tcBorders>
            <w:tcMar>
              <w:bottom w:w="28" w:type="dxa"/>
            </w:tcMar>
            <w:vAlign w:val="center"/>
          </w:tcPr>
          <w:p>
            <w:pPr>
              <w:pStyle w:val="TableContents"/>
              <w:bidi w:val="0"/>
              <w:spacing w:before="0" w:after="283"/>
              <w:jc w:val="center"/>
              <w:rPr>
                <w:b/>
              </w:rPr>
            </w:pPr>
            <w:r>
              <w:rPr>
                <w:b/>
              </w:rPr>
              <w:t>3rd Quarter 2025</w:t>
            </w:r>
          </w:p>
        </w:tc>
        <w:tc>
          <w:tcPr>
            <w:tcW w:w="26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54" w:type="dxa"/>
            <w:tcBorders>
              <w:bottom w:val="single" w:sz="6" w:space="0" w:color="000000"/>
            </w:tcBorders>
            <w:tcMar>
              <w:bottom w:w="28" w:type="dxa"/>
            </w:tcMar>
            <w:vAlign w:val="center"/>
          </w:tcPr>
          <w:p>
            <w:pPr>
              <w:pStyle w:val="TableContents"/>
              <w:bidi w:val="0"/>
              <w:spacing w:before="0" w:after="283"/>
              <w:jc w:val="center"/>
              <w:rPr>
                <w:b/>
              </w:rPr>
            </w:pPr>
            <w:r>
              <w:rPr>
                <w:b/>
              </w:rPr>
              <w:t>4th Quarter 2025</w:t>
            </w:r>
          </w:p>
        </w:tc>
        <w:tc>
          <w:tcPr>
            <w:tcW w:w="26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40" w:type="dxa"/>
            <w:tcBorders>
              <w:bottom w:val="single" w:sz="6" w:space="0" w:color="000000"/>
            </w:tcBorders>
            <w:tcMar>
              <w:bottom w:w="28" w:type="dxa"/>
            </w:tcMar>
            <w:vAlign w:val="center"/>
          </w:tcPr>
          <w:p>
            <w:pPr>
              <w:pStyle w:val="TableContents"/>
              <w:bidi w:val="0"/>
              <w:spacing w:before="0" w:after="283"/>
              <w:jc w:val="center"/>
              <w:rPr>
                <w:b/>
              </w:rPr>
            </w:pPr>
            <w:r>
              <w:rPr>
                <w:b/>
              </w:rPr>
              <w:t>1st Quarter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172" w:type="dxa"/>
            <w:tcBorders>
              <w:bottom w:val="single" w:sz="6" w:space="0" w:color="000000"/>
            </w:tcBorders>
            <w:tcMar>
              <w:bottom w:w="28" w:type="dxa"/>
            </w:tcMar>
            <w:vAlign w:val="center"/>
          </w:tcPr>
          <w:p>
            <w:pPr>
              <w:pStyle w:val="TableContents"/>
              <w:bidi w:val="0"/>
              <w:spacing w:before="0" w:after="283"/>
              <w:jc w:val="center"/>
              <w:rPr>
                <w:b/>
              </w:rPr>
            </w:pPr>
            <w:r>
              <w:rPr>
                <w:b/>
              </w:rPr>
              <w:t>2nd Quarter 2026</w:t>
            </w:r>
          </w:p>
        </w:tc>
        <w:tc>
          <w:tcPr>
            <w:tcW w:w="295" w:type="dxa"/>
            <w:tcBorders/>
            <w:vAlign w:val="center"/>
          </w:tcPr>
          <w:p>
            <w:pPr>
              <w:pStyle w:val="TableContents"/>
              <w:bidi w:val="0"/>
              <w:spacing w:before="0" w:after="283"/>
              <w:jc w:val="center"/>
              <w:rPr/>
            </w:pPr>
            <w:r>
              <w:rPr/>
              <w:t> </w:t>
            </w:r>
          </w:p>
        </w:tc>
      </w:tr>
      <w:tr>
        <w:trPr/>
        <w:tc>
          <w:tcPr>
            <w:tcW w:w="1853" w:type="dxa"/>
            <w:tcBorders/>
            <w:vAlign w:val="center"/>
          </w:tcPr>
          <w:p>
            <w:pPr>
              <w:pStyle w:val="TableContents"/>
              <w:bidi w:val="0"/>
              <w:spacing w:before="0" w:after="283"/>
              <w:jc w:val="left"/>
              <w:rPr>
                <w:i/>
                <w:u w:val="single"/>
              </w:rPr>
            </w:pPr>
            <w:r>
              <w:rPr>
                <w:i/>
                <w:u w:val="single"/>
              </w:rPr>
              <w:t>MOSFETs</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148,633</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167,133</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172,584</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173,991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188,926</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Book-to-bill ratio</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1.00</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0.86</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1.48</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1.57</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1.08</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Gross profit margin</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6.3</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10.1</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13.8</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12.9</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13.8</w:t>
            </w:r>
          </w:p>
        </w:tc>
        <w:tc>
          <w:tcPr>
            <w:tcW w:w="295" w:type="dxa"/>
            <w:tcBorders/>
            <w:shd w:fill="CCEEFF" w:val="clear"/>
            <w:vAlign w:val="center"/>
          </w:tcPr>
          <w:p>
            <w:pPr>
              <w:pStyle w:val="TableContents"/>
              <w:bidi w:val="0"/>
              <w:spacing w:before="0" w:after="283"/>
              <w:jc w:val="left"/>
              <w:rPr/>
            </w:pPr>
            <w:r>
              <w:rPr/>
              <w:t>%</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(9.7</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(3.8</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(0.5</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1.4</w:t>
            </w:r>
          </w:p>
        </w:tc>
        <w:tc>
          <w:tcPr>
            <w:tcW w:w="295" w:type="dxa"/>
            <w:tcBorders/>
            <w:shd w:fill="CCEEFF" w:val="clear"/>
            <w:vAlign w:val="center"/>
          </w:tcPr>
          <w:p>
            <w:pPr>
              <w:pStyle w:val="TableContents"/>
              <w:bidi w:val="0"/>
              <w:spacing w:before="0" w:after="283"/>
              <w:jc w:val="left"/>
              <w:rPr/>
            </w:pPr>
            <w:r>
              <w:rPr/>
              <w:t>%</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i/>
                <w:u w:val="single"/>
              </w:rPr>
            </w:pPr>
            <w:r>
              <w:rPr>
                <w:i/>
                <w:u w:val="single"/>
              </w:rPr>
              <w:t>Diodes</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Net revenues</w:t>
            </w:r>
          </w:p>
        </w:tc>
        <w:tc>
          <w:tcPr>
            <w:tcW w:w="170"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147,942</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149,628</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54" w:type="dxa"/>
            <w:tcBorders/>
            <w:vAlign w:val="center"/>
          </w:tcPr>
          <w:p>
            <w:pPr>
              <w:pStyle w:val="TableContents"/>
              <w:bidi w:val="0"/>
              <w:spacing w:before="0" w:after="283"/>
              <w:jc w:val="right"/>
              <w:rPr/>
            </w:pPr>
            <w:r>
              <w:rPr/>
              <w:t>154,224</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163,669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186,965</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Book-to-bill ratio</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0.93</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1.07</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1.09</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1.35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1.36</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20.0</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20.3</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20.3</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21.3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24.4</w:t>
            </w:r>
          </w:p>
        </w:tc>
        <w:tc>
          <w:tcPr>
            <w:tcW w:w="295" w:type="dxa"/>
            <w:tcBorders/>
            <w:vAlign w:val="center"/>
          </w:tcPr>
          <w:p>
            <w:pPr>
              <w:pStyle w:val="TableContents"/>
              <w:bidi w:val="0"/>
              <w:spacing w:before="0" w:after="283"/>
              <w:jc w:val="left"/>
              <w:rPr/>
            </w:pPr>
            <w:r>
              <w:rPr/>
              <w:t>%</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Segment operating margin</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15.0</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15.2</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15.3</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15.8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19.6</w:t>
            </w:r>
          </w:p>
        </w:tc>
        <w:tc>
          <w:tcPr>
            <w:tcW w:w="295" w:type="dxa"/>
            <w:tcBorders/>
            <w:vAlign w:val="center"/>
          </w:tcPr>
          <w:p>
            <w:pPr>
              <w:pStyle w:val="TableContents"/>
              <w:bidi w:val="0"/>
              <w:spacing w:before="0" w:after="283"/>
              <w:jc w:val="left"/>
              <w:rPr/>
            </w:pPr>
            <w:r>
              <w:rPr/>
              <w:t>%</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i/>
                <w:u w:val="single"/>
              </w:rPr>
            </w:pPr>
            <w:r>
              <w:rPr>
                <w:i/>
                <w:u w:val="single"/>
              </w:rPr>
              <w:t>Optoelectronic Components</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54,119</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55,590</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55,674</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58,875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70,076</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Book-to-bill ratio</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1.05</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0.93</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1.12</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1.48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1.33</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Gross profit margin</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23.2</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22.9</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15.0</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18.6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22.8</w:t>
            </w:r>
          </w:p>
        </w:tc>
        <w:tc>
          <w:tcPr>
            <w:tcW w:w="295" w:type="dxa"/>
            <w:tcBorders/>
            <w:shd w:fill="CCEEFF" w:val="clear"/>
            <w:vAlign w:val="center"/>
          </w:tcPr>
          <w:p>
            <w:pPr>
              <w:pStyle w:val="TableContents"/>
              <w:bidi w:val="0"/>
              <w:spacing w:before="0" w:after="283"/>
              <w:jc w:val="left"/>
              <w:rPr/>
            </w:pPr>
            <w:r>
              <w:rPr/>
              <w:t>%</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12.6</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12.9</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4.5</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8.0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13.6</w:t>
            </w:r>
          </w:p>
        </w:tc>
        <w:tc>
          <w:tcPr>
            <w:tcW w:w="295" w:type="dxa"/>
            <w:tcBorders/>
            <w:shd w:fill="CCEEFF" w:val="clear"/>
            <w:vAlign w:val="center"/>
          </w:tcPr>
          <w:p>
            <w:pPr>
              <w:pStyle w:val="TableContents"/>
              <w:bidi w:val="0"/>
              <w:spacing w:before="0" w:after="283"/>
              <w:jc w:val="left"/>
              <w:rPr/>
            </w:pPr>
            <w:r>
              <w:rPr/>
              <w:t>%</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i/>
                <w:u w:val="single"/>
              </w:rPr>
            </w:pPr>
            <w:r>
              <w:rPr>
                <w:i/>
                <w:u w:val="single"/>
              </w:rPr>
              <w:t>Resistors</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Net revenues</w:t>
            </w:r>
          </w:p>
        </w:tc>
        <w:tc>
          <w:tcPr>
            <w:tcW w:w="170"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194,769</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195,707</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54" w:type="dxa"/>
            <w:tcBorders/>
            <w:vAlign w:val="center"/>
          </w:tcPr>
          <w:p>
            <w:pPr>
              <w:pStyle w:val="TableContents"/>
              <w:bidi w:val="0"/>
              <w:spacing w:before="0" w:after="283"/>
              <w:jc w:val="right"/>
              <w:rPr/>
            </w:pPr>
            <w:r>
              <w:rPr/>
              <w:t>189,367</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203,743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215,028</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Book-to-bill ratio</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0.91</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0.92</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1.05</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1.26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1.43</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22.8</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20.1</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19.4</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22.0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22.1</w:t>
            </w:r>
          </w:p>
        </w:tc>
        <w:tc>
          <w:tcPr>
            <w:tcW w:w="295" w:type="dxa"/>
            <w:tcBorders/>
            <w:vAlign w:val="center"/>
          </w:tcPr>
          <w:p>
            <w:pPr>
              <w:pStyle w:val="TableContents"/>
              <w:bidi w:val="0"/>
              <w:spacing w:before="0" w:after="283"/>
              <w:jc w:val="left"/>
              <w:rPr/>
            </w:pPr>
            <w:r>
              <w:rPr/>
              <w:t>%</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Segment operating margin</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17.9</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15.3</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14.3</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16.8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17.1</w:t>
            </w:r>
          </w:p>
        </w:tc>
        <w:tc>
          <w:tcPr>
            <w:tcW w:w="295" w:type="dxa"/>
            <w:tcBorders/>
            <w:vAlign w:val="center"/>
          </w:tcPr>
          <w:p>
            <w:pPr>
              <w:pStyle w:val="TableContents"/>
              <w:bidi w:val="0"/>
              <w:spacing w:before="0" w:after="283"/>
              <w:jc w:val="left"/>
              <w:rPr/>
            </w:pPr>
            <w:r>
              <w:rPr/>
              <w:t>%</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i/>
                <w:u w:val="single"/>
              </w:rPr>
            </w:pPr>
            <w:r>
              <w:rPr>
                <w:i/>
                <w:u w:val="single"/>
              </w:rPr>
              <w:t>Inductors</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95,675</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91,990</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54" w:type="dxa"/>
            <w:tcBorders/>
            <w:shd w:fill="CCEEFF" w:val="clear"/>
            <w:vAlign w:val="center"/>
          </w:tcPr>
          <w:p>
            <w:pPr>
              <w:pStyle w:val="TableContents"/>
              <w:bidi w:val="0"/>
              <w:spacing w:before="0" w:after="283"/>
              <w:jc w:val="right"/>
              <w:rPr/>
            </w:pPr>
            <w:r>
              <w:rPr/>
              <w:t>92,588</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0" w:type="dxa"/>
            <w:tcBorders/>
            <w:shd w:fill="CCEEFF" w:val="clear"/>
            <w:vAlign w:val="center"/>
          </w:tcPr>
          <w:p>
            <w:pPr>
              <w:pStyle w:val="TableContents"/>
              <w:bidi w:val="0"/>
              <w:spacing w:before="0" w:after="283"/>
              <w:jc w:val="right"/>
              <w:rPr/>
            </w:pPr>
            <w:r>
              <w:rPr/>
              <w:t>92,225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72" w:type="dxa"/>
            <w:tcBorders/>
            <w:shd w:fill="CCEEFF" w:val="clear"/>
            <w:vAlign w:val="center"/>
          </w:tcPr>
          <w:p>
            <w:pPr>
              <w:pStyle w:val="TableContents"/>
              <w:bidi w:val="0"/>
              <w:spacing w:before="0" w:after="283"/>
              <w:jc w:val="right"/>
              <w:rPr/>
            </w:pPr>
            <w:r>
              <w:rPr/>
              <w:t>104,189</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Book-to-bill ratio</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0.91</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0.99</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1.07</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1.31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1.42</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Gross profit margin</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28.0</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30.7</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29.8</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31.8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31.1</w:t>
            </w:r>
          </w:p>
        </w:tc>
        <w:tc>
          <w:tcPr>
            <w:tcW w:w="295" w:type="dxa"/>
            <w:tcBorders/>
            <w:shd w:fill="CCEEFF" w:val="clear"/>
            <w:vAlign w:val="center"/>
          </w:tcPr>
          <w:p>
            <w:pPr>
              <w:pStyle w:val="TableContents"/>
              <w:bidi w:val="0"/>
              <w:spacing w:before="0" w:after="283"/>
              <w:jc w:val="left"/>
              <w:rPr/>
            </w:pPr>
            <w:r>
              <w:rPr/>
              <w:t>%</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24.0</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26.6</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right"/>
              <w:rPr/>
            </w:pPr>
            <w:r>
              <w:rPr/>
              <w:t>25.4</w:t>
            </w:r>
          </w:p>
        </w:tc>
        <w:tc>
          <w:tcPr>
            <w:tcW w:w="267"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right"/>
              <w:rPr/>
            </w:pPr>
            <w:r>
              <w:rPr/>
              <w:t>27.4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right"/>
              <w:rPr/>
            </w:pPr>
            <w:r>
              <w:rPr/>
              <w:t>27.1</w:t>
            </w:r>
          </w:p>
        </w:tc>
        <w:tc>
          <w:tcPr>
            <w:tcW w:w="295" w:type="dxa"/>
            <w:tcBorders/>
            <w:shd w:fill="CCEEFF" w:val="clear"/>
            <w:vAlign w:val="center"/>
          </w:tcPr>
          <w:p>
            <w:pPr>
              <w:pStyle w:val="TableContents"/>
              <w:bidi w:val="0"/>
              <w:spacing w:before="0" w:after="283"/>
              <w:jc w:val="left"/>
              <w:rPr/>
            </w:pPr>
            <w:r>
              <w:rPr/>
              <w:t>%</w:t>
            </w:r>
          </w:p>
        </w:tc>
      </w:tr>
      <w:tr>
        <w:trPr/>
        <w:tc>
          <w:tcPr>
            <w:tcW w:w="1853"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left"/>
              <w:rPr/>
            </w:pPr>
            <w:r>
              <w:rPr/>
              <w:t> </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i/>
                <w:u w:val="single"/>
              </w:rPr>
            </w:pPr>
            <w:r>
              <w:rPr>
                <w:i/>
                <w:u w:val="single"/>
              </w:rPr>
              <w:t>Capacitors</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Net revenues</w:t>
            </w:r>
          </w:p>
        </w:tc>
        <w:tc>
          <w:tcPr>
            <w:tcW w:w="170"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121,112</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63" w:type="dxa"/>
            <w:tcBorders/>
            <w:vAlign w:val="center"/>
          </w:tcPr>
          <w:p>
            <w:pPr>
              <w:pStyle w:val="TableContents"/>
              <w:bidi w:val="0"/>
              <w:spacing w:before="0" w:after="283"/>
              <w:jc w:val="right"/>
              <w:rPr/>
            </w:pPr>
            <w:r>
              <w:rPr/>
              <w:t>130,592</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54" w:type="dxa"/>
            <w:tcBorders/>
            <w:vAlign w:val="center"/>
          </w:tcPr>
          <w:p>
            <w:pPr>
              <w:pStyle w:val="TableContents"/>
              <w:bidi w:val="0"/>
              <w:spacing w:before="0" w:after="283"/>
              <w:jc w:val="right"/>
              <w:rPr/>
            </w:pPr>
            <w:r>
              <w:rPr/>
              <w:t>136,485</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40" w:type="dxa"/>
            <w:tcBorders/>
            <w:vAlign w:val="center"/>
          </w:tcPr>
          <w:p>
            <w:pPr>
              <w:pStyle w:val="TableContents"/>
              <w:bidi w:val="0"/>
              <w:spacing w:before="0" w:after="283"/>
              <w:jc w:val="right"/>
              <w:rPr/>
            </w:pPr>
            <w:r>
              <w:rPr/>
              <w:t>146,739</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72" w:type="dxa"/>
            <w:tcBorders/>
            <w:vAlign w:val="center"/>
          </w:tcPr>
          <w:p>
            <w:pPr>
              <w:pStyle w:val="TableContents"/>
              <w:bidi w:val="0"/>
              <w:spacing w:before="0" w:after="283"/>
              <w:jc w:val="right"/>
              <w:rPr/>
            </w:pPr>
            <w:r>
              <w:rPr/>
              <w:t>153,399</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Book-to-bill ratio</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1.40</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1.07</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1.30</w:t>
            </w:r>
          </w:p>
        </w:tc>
        <w:tc>
          <w:tcPr>
            <w:tcW w:w="2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1.13</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1.35</w:t>
            </w:r>
          </w:p>
        </w:tc>
        <w:tc>
          <w:tcPr>
            <w:tcW w:w="295" w:type="dxa"/>
            <w:tcBorders/>
            <w:vAlign w:val="center"/>
          </w:tcPr>
          <w:p>
            <w:pPr>
              <w:pStyle w:val="TableContents"/>
              <w:bidi w:val="0"/>
              <w:spacing w:before="0" w:after="283"/>
              <w:jc w:val="left"/>
              <w:rPr/>
            </w:pPr>
            <w:r>
              <w:rPr/>
              <w:t> </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21.5</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20.1</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21.3</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23.4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25.9</w:t>
            </w:r>
          </w:p>
        </w:tc>
        <w:tc>
          <w:tcPr>
            <w:tcW w:w="295" w:type="dxa"/>
            <w:tcBorders/>
            <w:vAlign w:val="center"/>
          </w:tcPr>
          <w:p>
            <w:pPr>
              <w:pStyle w:val="TableContents"/>
              <w:bidi w:val="0"/>
              <w:spacing w:before="0" w:after="283"/>
              <w:jc w:val="left"/>
              <w:rPr/>
            </w:pPr>
            <w:r>
              <w:rPr/>
              <w:t>%</w:t>
            </w:r>
          </w:p>
        </w:tc>
      </w:tr>
      <w:tr>
        <w:trPr/>
        <w:tc>
          <w:tcPr>
            <w:tcW w:w="1853"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54"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2"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 </w:t>
            </w:r>
          </w:p>
        </w:tc>
      </w:tr>
      <w:tr>
        <w:trPr/>
        <w:tc>
          <w:tcPr>
            <w:tcW w:w="1853" w:type="dxa"/>
            <w:tcBorders/>
            <w:vAlign w:val="center"/>
          </w:tcPr>
          <w:p>
            <w:pPr>
              <w:pStyle w:val="TableContents"/>
              <w:bidi w:val="0"/>
              <w:spacing w:before="0" w:after="283"/>
              <w:jc w:val="left"/>
              <w:rPr/>
            </w:pPr>
            <w:r>
              <w:rPr/>
              <w:t>Segment operating margin</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16.3</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15.2</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4" w:type="dxa"/>
            <w:tcBorders/>
            <w:vAlign w:val="center"/>
          </w:tcPr>
          <w:p>
            <w:pPr>
              <w:pStyle w:val="TableContents"/>
              <w:bidi w:val="0"/>
              <w:spacing w:before="0" w:after="283"/>
              <w:jc w:val="right"/>
              <w:rPr/>
            </w:pPr>
            <w:r>
              <w:rPr/>
              <w:t>16.6</w:t>
            </w:r>
          </w:p>
        </w:tc>
        <w:tc>
          <w:tcPr>
            <w:tcW w:w="267"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0" w:type="dxa"/>
            <w:tcBorders/>
            <w:vAlign w:val="center"/>
          </w:tcPr>
          <w:p>
            <w:pPr>
              <w:pStyle w:val="TableContents"/>
              <w:bidi w:val="0"/>
              <w:spacing w:before="0" w:after="283"/>
              <w:jc w:val="right"/>
              <w:rPr/>
            </w:pPr>
            <w:r>
              <w:rPr/>
              <w:t>18.7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2" w:type="dxa"/>
            <w:tcBorders/>
            <w:vAlign w:val="center"/>
          </w:tcPr>
          <w:p>
            <w:pPr>
              <w:pStyle w:val="TableContents"/>
              <w:bidi w:val="0"/>
              <w:spacing w:before="0" w:after="283"/>
              <w:jc w:val="right"/>
              <w:rPr/>
            </w:pPr>
            <w:r>
              <w:rPr/>
              <w:t>21.4</w:t>
            </w:r>
          </w:p>
        </w:tc>
        <w:tc>
          <w:tcPr>
            <w:tcW w:w="295"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30</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b/>
          <w:color w:val="000000"/>
          <w:sz w:val="24"/>
        </w:rPr>
        <w:t>Results of Operations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Statements of operations’ captions as a percentage of net revenues and the effective tax rates were as follows:</w:t>
      </w:r>
      <w:r>
        <w:rPr>
          <w:rFonts w:ascii="Times New Roman" w:hAnsi="Times New Roman"/>
          <w:sz w:val="24"/>
        </w:rPr>
        <w:t xml:space="preserve">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031"/>
        <w:gridCol w:w="90"/>
        <w:gridCol w:w="933"/>
        <w:gridCol w:w="245"/>
        <w:gridCol w:w="90"/>
        <w:gridCol w:w="90"/>
        <w:gridCol w:w="1038"/>
        <w:gridCol w:w="245"/>
        <w:gridCol w:w="90"/>
        <w:gridCol w:w="90"/>
        <w:gridCol w:w="1062"/>
        <w:gridCol w:w="245"/>
        <w:gridCol w:w="90"/>
        <w:gridCol w:w="90"/>
        <w:gridCol w:w="933"/>
        <w:gridCol w:w="245"/>
        <w:gridCol w:w="90"/>
        <w:gridCol w:w="90"/>
        <w:gridCol w:w="1081"/>
        <w:gridCol w:w="337"/>
      </w:tblGrid>
      <w:tr>
        <w:trPr/>
        <w:tc>
          <w:tcPr>
            <w:tcW w:w="303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 </w:t>
            </w:r>
          </w:p>
        </w:tc>
        <w:tc>
          <w:tcPr>
            <w:tcW w:w="4218" w:type="dxa"/>
            <w:gridSpan w:val="11"/>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sz w:val="4"/>
                <w:szCs w:val="4"/>
              </w:rPr>
            </w:pPr>
            <w:r>
              <w:rPr>
                <w:sz w:val="4"/>
                <w:szCs w:val="4"/>
              </w:rPr>
            </w:r>
          </w:p>
        </w:tc>
        <w:tc>
          <w:tcPr>
            <w:tcW w:w="2866" w:type="dxa"/>
            <w:gridSpan w:val="7"/>
            <w:tcBorders/>
            <w:vAlign w:val="center"/>
          </w:tcPr>
          <w:p>
            <w:pPr>
              <w:pStyle w:val="TableContents"/>
              <w:bidi w:val="0"/>
              <w:spacing w:before="0" w:after="283"/>
              <w:jc w:val="center"/>
              <w:rPr>
                <w:b/>
              </w:rPr>
            </w:pPr>
            <w:r>
              <w:rPr>
                <w:b/>
              </w:rPr>
              <w:t>Six fiscal months ended</w:t>
            </w:r>
          </w:p>
        </w:tc>
      </w:tr>
      <w:tr>
        <w:trPr/>
        <w:tc>
          <w:tcPr>
            <w:tcW w:w="3031"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3"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38" w:type="dxa"/>
            <w:tcBorders>
              <w:bottom w:val="single" w:sz="6" w:space="0" w:color="000000"/>
            </w:tcBorders>
            <w:tcMar>
              <w:bottom w:w="28" w:type="dxa"/>
            </w:tcMar>
            <w:vAlign w:val="center"/>
          </w:tcPr>
          <w:p>
            <w:pPr>
              <w:pStyle w:val="TableContents"/>
              <w:bidi w:val="0"/>
              <w:spacing w:before="0" w:after="283"/>
              <w:jc w:val="center"/>
              <w:rPr>
                <w:b/>
              </w:rPr>
            </w:pPr>
            <w:r>
              <w:rPr>
                <w:b/>
              </w:rPr>
              <w:t>April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62"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33"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081"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337" w:type="dxa"/>
            <w:tcBorders/>
            <w:vAlign w:val="center"/>
          </w:tcPr>
          <w:p>
            <w:pPr>
              <w:pStyle w:val="TableContents"/>
              <w:bidi w:val="0"/>
              <w:spacing w:before="0" w:after="283"/>
              <w:jc w:val="center"/>
              <w:rPr/>
            </w:pPr>
            <w:r>
              <w:rPr/>
              <w:t> </w:t>
            </w:r>
          </w:p>
        </w:tc>
      </w:tr>
      <w:tr>
        <w:trPr/>
        <w:tc>
          <w:tcPr>
            <w:tcW w:w="3031" w:type="dxa"/>
            <w:tcBorders/>
            <w:shd w:fill="CCEEFF" w:val="clear"/>
            <w:vAlign w:val="center"/>
          </w:tcPr>
          <w:p>
            <w:pPr>
              <w:pStyle w:val="TableContents"/>
              <w:bidi w:val="0"/>
              <w:spacing w:before="0" w:after="283"/>
              <w:jc w:val="left"/>
              <w:rPr/>
            </w:pPr>
            <w:r>
              <w:rPr/>
              <w:t>Cost of products sold</w:t>
            </w:r>
          </w:p>
        </w:tc>
        <w:tc>
          <w:tcPr>
            <w:tcW w:w="9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76.7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79.0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80.5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right"/>
              <w:rPr/>
            </w:pPr>
            <w:r>
              <w:rPr/>
              <w:t>77.8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80.8</w:t>
            </w:r>
          </w:p>
        </w:tc>
        <w:tc>
          <w:tcPr>
            <w:tcW w:w="337" w:type="dxa"/>
            <w:tcBorders/>
            <w:shd w:fill="CCEEFF" w:val="clear"/>
            <w:vAlign w:val="center"/>
          </w:tcPr>
          <w:p>
            <w:pPr>
              <w:pStyle w:val="TableContents"/>
              <w:bidi w:val="0"/>
              <w:spacing w:before="0" w:after="283"/>
              <w:jc w:val="left"/>
              <w:rPr/>
            </w:pPr>
            <w:r>
              <w:rPr/>
              <w:t>%</w:t>
            </w:r>
          </w:p>
        </w:tc>
      </w:tr>
      <w:tr>
        <w:trPr/>
        <w:tc>
          <w:tcPr>
            <w:tcW w:w="3031"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23.3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21.0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19.5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right"/>
              <w:rPr/>
            </w:pPr>
            <w:r>
              <w:rPr/>
              <w:t>22.2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19.2</w:t>
            </w:r>
          </w:p>
        </w:tc>
        <w:tc>
          <w:tcPr>
            <w:tcW w:w="337" w:type="dxa"/>
            <w:tcBorders/>
            <w:vAlign w:val="center"/>
          </w:tcPr>
          <w:p>
            <w:pPr>
              <w:pStyle w:val="TableContents"/>
              <w:bidi w:val="0"/>
              <w:spacing w:before="0" w:after="283"/>
              <w:jc w:val="left"/>
              <w:rPr/>
            </w:pPr>
            <w:r>
              <w:rPr/>
              <w:t>%</w:t>
            </w:r>
          </w:p>
        </w:tc>
      </w:tr>
      <w:tr>
        <w:trPr/>
        <w:tc>
          <w:tcPr>
            <w:tcW w:w="3031" w:type="dxa"/>
            <w:tcBorders/>
            <w:shd w:fill="CCEEFF" w:val="clear"/>
            <w:vAlign w:val="center"/>
          </w:tcPr>
          <w:p>
            <w:pPr>
              <w:pStyle w:val="TableContents"/>
              <w:bidi w:val="0"/>
              <w:spacing w:before="0" w:after="283"/>
              <w:jc w:val="left"/>
              <w:rPr/>
            </w:pPr>
            <w:r>
              <w:rPr/>
              <w:t>Selling, general &amp; administrative expenses</w:t>
            </w:r>
          </w:p>
        </w:tc>
        <w:tc>
          <w:tcPr>
            <w:tcW w:w="9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17.3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18.4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16.6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right"/>
              <w:rPr/>
            </w:pPr>
            <w:r>
              <w:rPr/>
              <w:t>17.8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17.7</w:t>
            </w:r>
          </w:p>
        </w:tc>
        <w:tc>
          <w:tcPr>
            <w:tcW w:w="337" w:type="dxa"/>
            <w:tcBorders/>
            <w:shd w:fill="CCEEFF" w:val="clear"/>
            <w:vAlign w:val="center"/>
          </w:tcPr>
          <w:p>
            <w:pPr>
              <w:pStyle w:val="TableContents"/>
              <w:bidi w:val="0"/>
              <w:spacing w:before="0" w:after="283"/>
              <w:jc w:val="left"/>
              <w:rPr/>
            </w:pPr>
            <w:r>
              <w:rPr/>
              <w:t>%</w:t>
            </w:r>
          </w:p>
        </w:tc>
      </w:tr>
      <w:tr>
        <w:trPr/>
        <w:tc>
          <w:tcPr>
            <w:tcW w:w="3031" w:type="dxa"/>
            <w:tcBorders/>
            <w:vAlign w:val="center"/>
          </w:tcPr>
          <w:p>
            <w:pPr>
              <w:pStyle w:val="TableContents"/>
              <w:bidi w:val="0"/>
              <w:spacing w:before="0" w:after="283"/>
              <w:jc w:val="left"/>
              <w:rPr/>
            </w:pPr>
            <w:r>
              <w:rPr/>
              <w:t>Operating income</w:t>
            </w:r>
          </w:p>
        </w:tc>
        <w:tc>
          <w:tcPr>
            <w:tcW w:w="9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6.0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2.6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2.9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right"/>
              <w:rPr/>
            </w:pPr>
            <w:r>
              <w:rPr/>
              <w:t>4.4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1.6</w:t>
            </w:r>
          </w:p>
        </w:tc>
        <w:tc>
          <w:tcPr>
            <w:tcW w:w="337" w:type="dxa"/>
            <w:tcBorders/>
            <w:vAlign w:val="center"/>
          </w:tcPr>
          <w:p>
            <w:pPr>
              <w:pStyle w:val="TableContents"/>
              <w:bidi w:val="0"/>
              <w:spacing w:before="0" w:after="283"/>
              <w:jc w:val="left"/>
              <w:rPr/>
            </w:pPr>
            <w:r>
              <w:rPr/>
              <w:t>%</w:t>
            </w:r>
          </w:p>
        </w:tc>
      </w:tr>
      <w:tr>
        <w:trPr/>
        <w:tc>
          <w:tcPr>
            <w:tcW w:w="3031" w:type="dxa"/>
            <w:tcBorders/>
            <w:shd w:fill="CCEEFF" w:val="clear"/>
            <w:vAlign w:val="center"/>
          </w:tcPr>
          <w:p>
            <w:pPr>
              <w:pStyle w:val="TableContents"/>
              <w:bidi w:val="0"/>
              <w:spacing w:before="0" w:after="283"/>
              <w:jc w:val="left"/>
              <w:rPr/>
            </w:pPr>
            <w:r>
              <w:rPr/>
              <w:t>Income before taxes</w:t>
            </w:r>
          </w:p>
        </w:tc>
        <w:tc>
          <w:tcPr>
            <w:tcW w:w="9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right"/>
              <w:rPr/>
            </w:pPr>
            <w:r>
              <w:rPr/>
              <w:t>4.8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right"/>
              <w:rPr/>
            </w:pPr>
            <w:r>
              <w:rPr/>
              <w:t>1.5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right"/>
              <w:rPr/>
            </w:pPr>
            <w:r>
              <w:rPr/>
              <w:t>1.6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33" w:type="dxa"/>
            <w:tcBorders/>
            <w:shd w:fill="CCEEFF" w:val="clear"/>
            <w:vAlign w:val="center"/>
          </w:tcPr>
          <w:p>
            <w:pPr>
              <w:pStyle w:val="TableContents"/>
              <w:bidi w:val="0"/>
              <w:spacing w:before="0" w:after="283"/>
              <w:jc w:val="right"/>
              <w:rPr/>
            </w:pPr>
            <w:r>
              <w:rPr/>
              <w:t>3.2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right"/>
              <w:rPr/>
            </w:pPr>
            <w:r>
              <w:rPr/>
              <w:t>0.5</w:t>
            </w:r>
          </w:p>
        </w:tc>
        <w:tc>
          <w:tcPr>
            <w:tcW w:w="337" w:type="dxa"/>
            <w:tcBorders/>
            <w:shd w:fill="CCEEFF" w:val="clear"/>
            <w:vAlign w:val="center"/>
          </w:tcPr>
          <w:p>
            <w:pPr>
              <w:pStyle w:val="TableContents"/>
              <w:bidi w:val="0"/>
              <w:spacing w:before="0" w:after="283"/>
              <w:jc w:val="left"/>
              <w:rPr/>
            </w:pPr>
            <w:r>
              <w:rPr/>
              <w:t>%</w:t>
            </w:r>
          </w:p>
        </w:tc>
      </w:tr>
      <w:tr>
        <w:trPr/>
        <w:tc>
          <w:tcPr>
            <w:tcW w:w="3031" w:type="dxa"/>
            <w:tcBorders/>
            <w:vAlign w:val="center"/>
          </w:tcPr>
          <w:p>
            <w:pPr>
              <w:pStyle w:val="TableContents"/>
              <w:bidi w:val="0"/>
              <w:spacing w:before="0" w:after="283"/>
              <w:jc w:val="left"/>
              <w:rPr/>
            </w:pPr>
            <w:r>
              <w:rPr/>
              <w:t>Net earnings (loss)</w:t>
            </w:r>
          </w:p>
        </w:tc>
        <w:tc>
          <w:tcPr>
            <w:tcW w:w="9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3.2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0.9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0.3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right"/>
              <w:rPr/>
            </w:pPr>
            <w:r>
              <w:rPr/>
              <w:t>2.0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(0.1</w:t>
            </w:r>
          </w:p>
        </w:tc>
        <w:tc>
          <w:tcPr>
            <w:tcW w:w="337" w:type="dxa"/>
            <w:tcBorders/>
            <w:vAlign w:val="center"/>
          </w:tcPr>
          <w:p>
            <w:pPr>
              <w:pStyle w:val="TableContents"/>
              <w:bidi w:val="0"/>
              <w:spacing w:before="0" w:after="283"/>
              <w:jc w:val="left"/>
              <w:rPr/>
            </w:pPr>
            <w:r>
              <w:rPr/>
              <w:t>)%</w:t>
            </w:r>
          </w:p>
        </w:tc>
      </w:tr>
      <w:tr>
        <w:trPr/>
        <w:tc>
          <w:tcPr>
            <w:tcW w:w="3031" w:type="dxa"/>
            <w:tcBorders/>
            <w:shd w:fill="CCEEFF" w:val="clear"/>
            <w:vAlign w:val="center"/>
          </w:tcPr>
          <w:p>
            <w:pPr>
              <w:pStyle w:val="TableContents"/>
              <w:bidi w:val="0"/>
              <w:spacing w:before="0" w:after="283"/>
              <w:jc w:val="left"/>
              <w:rPr/>
            </w:pPr>
            <w:r>
              <w:rPr/>
              <w:t>________</w:t>
            </w:r>
          </w:p>
        </w:tc>
        <w:tc>
          <w:tcPr>
            <w:tcW w:w="9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8"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62"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3"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1" w:type="dxa"/>
            <w:tcBorders/>
            <w:shd w:fill="CCEEFF" w:val="clear"/>
            <w:vAlign w:val="center"/>
          </w:tcPr>
          <w:p>
            <w:pPr>
              <w:pStyle w:val="TableContents"/>
              <w:bidi w:val="0"/>
              <w:spacing w:before="0" w:after="283"/>
              <w:jc w:val="left"/>
              <w:rPr/>
            </w:pPr>
            <w:r>
              <w:rPr/>
              <w:t> </w:t>
            </w:r>
          </w:p>
        </w:tc>
        <w:tc>
          <w:tcPr>
            <w:tcW w:w="337" w:type="dxa"/>
            <w:tcBorders/>
            <w:shd w:fill="CCEEFF" w:val="clear"/>
            <w:vAlign w:val="center"/>
          </w:tcPr>
          <w:p>
            <w:pPr>
              <w:pStyle w:val="TableContents"/>
              <w:bidi w:val="0"/>
              <w:spacing w:before="0" w:after="283"/>
              <w:jc w:val="left"/>
              <w:rPr/>
            </w:pPr>
            <w:r>
              <w:rPr/>
              <w:t> </w:t>
            </w:r>
          </w:p>
        </w:tc>
      </w:tr>
      <w:tr>
        <w:trPr/>
        <w:tc>
          <w:tcPr>
            <w:tcW w:w="3031" w:type="dxa"/>
            <w:tcBorders/>
            <w:vAlign w:val="center"/>
          </w:tcPr>
          <w:p>
            <w:pPr>
              <w:pStyle w:val="TableContents"/>
              <w:bidi w:val="0"/>
              <w:spacing w:before="0" w:after="283"/>
              <w:jc w:val="left"/>
              <w:rPr/>
            </w:pPr>
            <w:r>
              <w:rPr/>
              <w:t>Effective tax rate</w:t>
            </w:r>
          </w:p>
        </w:tc>
        <w:tc>
          <w:tcPr>
            <w:tcW w:w="90" w:type="dxa"/>
            <w:tcBorders/>
            <w:vAlign w:val="center"/>
          </w:tcPr>
          <w:p>
            <w:pPr>
              <w:pStyle w:val="TableContents"/>
              <w:bidi w:val="0"/>
              <w:spacing w:before="0" w:after="283"/>
              <w:jc w:val="left"/>
              <w:rPr/>
            </w:pPr>
            <w:r>
              <w:rPr/>
              <w:t> </w:t>
            </w:r>
          </w:p>
        </w:tc>
        <w:tc>
          <w:tcPr>
            <w:tcW w:w="933" w:type="dxa"/>
            <w:tcBorders/>
            <w:vAlign w:val="center"/>
          </w:tcPr>
          <w:p>
            <w:pPr>
              <w:pStyle w:val="TableContents"/>
              <w:bidi w:val="0"/>
              <w:spacing w:before="0" w:after="283"/>
              <w:jc w:val="right"/>
              <w:rPr/>
            </w:pPr>
            <w:r>
              <w:rPr/>
              <w:t>33.7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8" w:type="dxa"/>
            <w:tcBorders/>
            <w:vAlign w:val="center"/>
          </w:tcPr>
          <w:p>
            <w:pPr>
              <w:pStyle w:val="TableContents"/>
              <w:bidi w:val="0"/>
              <w:spacing w:before="0" w:after="283"/>
              <w:jc w:val="right"/>
              <w:rPr/>
            </w:pPr>
            <w:r>
              <w:rPr/>
              <w:t>44.3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2" w:type="dxa"/>
            <w:tcBorders/>
            <w:vAlign w:val="center"/>
          </w:tcPr>
          <w:p>
            <w:pPr>
              <w:pStyle w:val="TableContents"/>
              <w:bidi w:val="0"/>
              <w:spacing w:before="0" w:after="283"/>
              <w:jc w:val="right"/>
              <w:rPr/>
            </w:pPr>
            <w:r>
              <w:rPr/>
              <w:t>83.7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right"/>
              <w:rPr/>
            </w:pPr>
            <w:r>
              <w:rPr/>
              <w:t>36.1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81" w:type="dxa"/>
            <w:tcBorders/>
            <w:vAlign w:val="center"/>
          </w:tcPr>
          <w:p>
            <w:pPr>
              <w:pStyle w:val="TableContents"/>
              <w:bidi w:val="0"/>
              <w:spacing w:before="0" w:after="283"/>
              <w:jc w:val="right"/>
              <w:rPr/>
            </w:pPr>
            <w:r>
              <w:rPr/>
              <w:t>125.9</w:t>
            </w:r>
          </w:p>
        </w:tc>
        <w:tc>
          <w:tcPr>
            <w:tcW w:w="337"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i/>
          <w:color w:val="000000"/>
          <w:sz w:val="24"/>
        </w:rPr>
        <w:t>Net Revenues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Net revenues were as follows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10001" w:type="dxa"/>
        <w:jc w:val="left"/>
        <w:tblInd w:w="0" w:type="dxa"/>
        <w:tblLayout w:type="fixed"/>
        <w:tblCellMar>
          <w:top w:w="0" w:type="dxa"/>
          <w:left w:w="0" w:type="dxa"/>
          <w:bottom w:w="0" w:type="dxa"/>
          <w:right w:w="0" w:type="dxa"/>
        </w:tblCellMar>
      </w:tblPr>
      <w:tblGrid>
        <w:gridCol w:w="1580"/>
        <w:gridCol w:w="170"/>
        <w:gridCol w:w="1265"/>
        <w:gridCol w:w="90"/>
        <w:gridCol w:w="90"/>
        <w:gridCol w:w="170"/>
        <w:gridCol w:w="1370"/>
        <w:gridCol w:w="90"/>
        <w:gridCol w:w="90"/>
        <w:gridCol w:w="170"/>
        <w:gridCol w:w="1445"/>
        <w:gridCol w:w="90"/>
        <w:gridCol w:w="53"/>
        <w:gridCol w:w="170"/>
        <w:gridCol w:w="1265"/>
        <w:gridCol w:w="90"/>
        <w:gridCol w:w="53"/>
        <w:gridCol w:w="170"/>
        <w:gridCol w:w="1445"/>
        <w:gridCol w:w="135"/>
      </w:tblGrid>
      <w:tr>
        <w:trPr/>
        <w:tc>
          <w:tcPr>
            <w:tcW w:w="15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5040" w:type="dxa"/>
            <w:gridSpan w:val="11"/>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3328" w:type="dxa"/>
            <w:gridSpan w:val="7"/>
            <w:tcBorders/>
            <w:vAlign w:val="center"/>
          </w:tcPr>
          <w:p>
            <w:pPr>
              <w:pStyle w:val="TableContents"/>
              <w:bidi w:val="0"/>
              <w:spacing w:before="0" w:after="283"/>
              <w:jc w:val="center"/>
              <w:rPr>
                <w:b/>
              </w:rPr>
            </w:pPr>
            <w:r>
              <w:rPr>
                <w:b/>
              </w:rPr>
              <w:t>Six fiscal months ended</w:t>
            </w:r>
          </w:p>
        </w:tc>
      </w:tr>
      <w:tr>
        <w:trPr/>
        <w:tc>
          <w:tcPr>
            <w:tcW w:w="158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370" w:type="dxa"/>
            <w:tcBorders>
              <w:bottom w:val="single" w:sz="2" w:space="0" w:color="000000"/>
            </w:tcBorders>
            <w:tcMar>
              <w:bottom w:w="28" w:type="dxa"/>
            </w:tcMar>
            <w:vAlign w:val="center"/>
          </w:tcPr>
          <w:p>
            <w:pPr>
              <w:pStyle w:val="TableContents"/>
              <w:bidi w:val="0"/>
              <w:spacing w:before="0" w:after="283"/>
              <w:jc w:val="center"/>
              <w:rPr>
                <w:b/>
              </w:rPr>
            </w:pPr>
            <w:r>
              <w:rPr>
                <w:b/>
              </w:rPr>
              <w:t>April 4, 2026</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35" w:type="dxa"/>
            <w:tcBorders/>
            <w:vAlign w:val="center"/>
          </w:tcPr>
          <w:p>
            <w:pPr>
              <w:pStyle w:val="TableContents"/>
              <w:bidi w:val="0"/>
              <w:spacing w:before="0" w:after="283"/>
              <w:jc w:val="center"/>
              <w:rPr/>
            </w:pPr>
            <w:r>
              <w:rPr/>
              <w:t> </w:t>
            </w:r>
          </w:p>
        </w:tc>
      </w:tr>
      <w:tr>
        <w:trPr/>
        <w:tc>
          <w:tcPr>
            <w:tcW w:w="1580" w:type="dxa"/>
            <w:tcBorders/>
            <w:shd w:fill="CCEEFF" w:val="clear"/>
            <w:vAlign w:val="center"/>
          </w:tcPr>
          <w:p>
            <w:pPr>
              <w:pStyle w:val="TableContents"/>
              <w:bidi w:val="0"/>
              <w:spacing w:before="0" w:after="283"/>
              <w:jc w:val="left"/>
              <w:rPr/>
            </w:pPr>
            <w:r>
              <w:rPr/>
              <w:t>Net revenues(1)</w:t>
            </w:r>
          </w:p>
        </w:tc>
        <w:tc>
          <w:tcPr>
            <w:tcW w:w="17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888,575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839,242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762,250</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1,727,817</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1,477,486</w:t>
            </w:r>
          </w:p>
        </w:tc>
        <w:tc>
          <w:tcPr>
            <w:tcW w:w="13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(1) Net revenues for the second fiscal quarter of 2026 have been reduced by $30.0 million of tariff refunds passed through to customers.</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change in net revenues versus the comparable prior periods was as follows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9984" w:type="dxa"/>
        <w:jc w:val="left"/>
        <w:tblInd w:w="0" w:type="dxa"/>
        <w:tblLayout w:type="fixed"/>
        <w:tblCellMar>
          <w:top w:w="0" w:type="dxa"/>
          <w:left w:w="0" w:type="dxa"/>
          <w:bottom w:w="0" w:type="dxa"/>
          <w:right w:w="0" w:type="dxa"/>
        </w:tblCellMar>
      </w:tblPr>
      <w:tblGrid>
        <w:gridCol w:w="1400"/>
        <w:gridCol w:w="90"/>
        <w:gridCol w:w="170"/>
        <w:gridCol w:w="2435"/>
        <w:gridCol w:w="90"/>
        <w:gridCol w:w="90"/>
        <w:gridCol w:w="90"/>
        <w:gridCol w:w="1070"/>
        <w:gridCol w:w="245"/>
        <w:gridCol w:w="53"/>
        <w:gridCol w:w="53"/>
        <w:gridCol w:w="170"/>
        <w:gridCol w:w="2435"/>
        <w:gridCol w:w="90"/>
        <w:gridCol w:w="53"/>
        <w:gridCol w:w="90"/>
        <w:gridCol w:w="1070"/>
        <w:gridCol w:w="290"/>
      </w:tblGrid>
      <w:tr>
        <w:trPr/>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90" w:type="dxa"/>
            <w:gridSpan w:val="7"/>
            <w:tcBorders/>
            <w:vAlign w:val="center"/>
          </w:tcPr>
          <w:p>
            <w:pPr>
              <w:pStyle w:val="TableContents"/>
              <w:bidi w:val="0"/>
              <w:spacing w:before="0" w:after="283"/>
              <w:jc w:val="center"/>
              <w:rPr>
                <w:b/>
              </w:rPr>
            </w:pPr>
            <w:r>
              <w:rPr>
                <w:b/>
              </w:rPr>
              <w:t>Fiscal quarter ended</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Six fiscal months ended</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90" w:type="dxa"/>
            <w:gridSpan w:val="7"/>
            <w:tcBorders/>
            <w:vAlign w:val="center"/>
          </w:tcPr>
          <w:p>
            <w:pPr>
              <w:pStyle w:val="TableContents"/>
              <w:bidi w:val="0"/>
              <w:spacing w:before="0" w:after="283"/>
              <w:jc w:val="center"/>
              <w:rPr>
                <w:b/>
              </w:rPr>
            </w:pPr>
            <w:r>
              <w:rPr>
                <w:b/>
              </w:rPr>
              <w:t>July 4, 2026</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July 4, 2026</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center"/>
              <w:rPr/>
            </w:pPr>
            <w:r>
              <w:rPr/>
              <w:t> </w:t>
            </w:r>
          </w:p>
        </w:tc>
      </w:tr>
      <w:tr>
        <w:trPr/>
        <w:tc>
          <w:tcPr>
            <w:tcW w:w="1400" w:type="dxa"/>
            <w:tcBorders/>
            <w:shd w:fill="CCEEFF" w:val="clear"/>
            <w:vAlign w:val="center"/>
          </w:tcPr>
          <w:p>
            <w:pPr>
              <w:pStyle w:val="TableContents"/>
              <w:bidi w:val="0"/>
              <w:spacing w:before="0" w:after="283"/>
              <w:jc w:val="right"/>
              <w:rPr/>
            </w:pPr>
            <w:r>
              <w:rPr/>
              <w:t>April 4,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49,333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5.9</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n/a</w:t>
            </w:r>
          </w:p>
        </w:tc>
        <w:tc>
          <w:tcPr>
            <w:tcW w:w="29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right"/>
              <w:rPr/>
            </w:pPr>
            <w:r>
              <w:rPr/>
              <w:t>June 28,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126,325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16.6</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250,331</w:t>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16.9</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Changes in net revenues were attributable to the following:</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285"/>
        <w:gridCol w:w="90"/>
        <w:gridCol w:w="1537"/>
        <w:gridCol w:w="298"/>
        <w:gridCol w:w="90"/>
        <w:gridCol w:w="90"/>
        <w:gridCol w:w="1943"/>
        <w:gridCol w:w="298"/>
        <w:gridCol w:w="90"/>
        <w:gridCol w:w="90"/>
        <w:gridCol w:w="2047"/>
        <w:gridCol w:w="347"/>
      </w:tblGrid>
      <w:tr>
        <w:trPr/>
        <w:tc>
          <w:tcPr>
            <w:tcW w:w="32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 </w:t>
            </w:r>
          </w:p>
        </w:tc>
      </w:tr>
      <w:tr>
        <w:trPr/>
        <w:tc>
          <w:tcPr>
            <w:tcW w:w="32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37" w:type="dxa"/>
            <w:tcBorders>
              <w:bottom w:val="single" w:sz="6" w:space="0" w:color="000000"/>
            </w:tcBorders>
            <w:tcMar>
              <w:bottom w:w="28" w:type="dxa"/>
            </w:tcMar>
            <w:vAlign w:val="center"/>
          </w:tcPr>
          <w:p>
            <w:pPr>
              <w:pStyle w:val="TableContents"/>
              <w:bidi w:val="0"/>
              <w:spacing w:before="0" w:after="283"/>
              <w:jc w:val="center"/>
              <w:rPr>
                <w:b/>
              </w:rPr>
            </w:pPr>
            <w:r>
              <w:rPr>
                <w:b/>
              </w:rPr>
              <w:t>vs. Prior Quarter</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bottom w:val="single" w:sz="6" w:space="0" w:color="000000"/>
            </w:tcBorders>
            <w:tcMar>
              <w:bottom w:w="28" w:type="dxa"/>
            </w:tcMar>
            <w:vAlign w:val="center"/>
          </w:tcPr>
          <w:p>
            <w:pPr>
              <w:pStyle w:val="TableContents"/>
              <w:bidi w:val="0"/>
              <w:spacing w:before="0" w:after="283"/>
              <w:jc w:val="center"/>
              <w:rPr>
                <w:b/>
              </w:rPr>
            </w:pPr>
            <w:r>
              <w:rPr>
                <w:b/>
              </w:rPr>
              <w:t>vs. Prior Year Quarter</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2047" w:type="dxa"/>
            <w:tcBorders>
              <w:bottom w:val="single" w:sz="6" w:space="0" w:color="000000"/>
            </w:tcBorders>
            <w:tcMar>
              <w:bottom w:w="28" w:type="dxa"/>
            </w:tcMar>
            <w:vAlign w:val="center"/>
          </w:tcPr>
          <w:p>
            <w:pPr>
              <w:pStyle w:val="TableContents"/>
              <w:bidi w:val="0"/>
              <w:spacing w:before="0" w:after="283"/>
              <w:jc w:val="center"/>
              <w:rPr>
                <w:b/>
              </w:rPr>
            </w:pPr>
            <w:r>
              <w:rPr>
                <w:b/>
              </w:rPr>
              <w:t>vs. Prior Year-to-Date</w:t>
            </w:r>
          </w:p>
        </w:tc>
        <w:tc>
          <w:tcPr>
            <w:tcW w:w="347" w:type="dxa"/>
            <w:tcBorders/>
            <w:vAlign w:val="center"/>
          </w:tcPr>
          <w:p>
            <w:pPr>
              <w:pStyle w:val="TableContents"/>
              <w:bidi w:val="0"/>
              <w:spacing w:before="0" w:after="283"/>
              <w:jc w:val="center"/>
              <w:rPr/>
            </w:pPr>
            <w:r>
              <w:rPr/>
              <w:t> </w:t>
            </w:r>
          </w:p>
        </w:tc>
      </w:tr>
      <w:tr>
        <w:trPr/>
        <w:tc>
          <w:tcPr>
            <w:tcW w:w="3285" w:type="dxa"/>
            <w:tcBorders/>
            <w:vAlign w:val="center"/>
          </w:tcPr>
          <w:p>
            <w:pPr>
              <w:pStyle w:val="TableContents"/>
              <w:bidi w:val="0"/>
              <w:spacing w:before="0" w:after="283"/>
              <w:jc w:val="left"/>
              <w:rPr>
                <w:b/>
              </w:rPr>
            </w:pPr>
            <w:r>
              <w:rPr>
                <w:b/>
              </w:rPr>
              <w:t>Change attributable to:</w:t>
            </w:r>
          </w:p>
        </w:tc>
        <w:tc>
          <w:tcPr>
            <w:tcW w:w="9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left"/>
              <w:rPr/>
            </w:pPr>
            <w:r>
              <w:rPr/>
              <w:t> </w:t>
            </w:r>
          </w:p>
        </w:tc>
        <w:tc>
          <w:tcPr>
            <w:tcW w:w="2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left"/>
              <w:rPr/>
            </w:pPr>
            <w:r>
              <w:rPr/>
              <w:t> </w:t>
            </w:r>
          </w:p>
        </w:tc>
        <w:tc>
          <w:tcPr>
            <w:tcW w:w="347" w:type="dxa"/>
            <w:tcBorders/>
            <w:vAlign w:val="center"/>
          </w:tcPr>
          <w:p>
            <w:pPr>
              <w:pStyle w:val="TableContents"/>
              <w:bidi w:val="0"/>
              <w:spacing w:before="0" w:after="283"/>
              <w:jc w:val="left"/>
              <w:rPr/>
            </w:pPr>
            <w:r>
              <w:rPr/>
              <w:t> </w:t>
            </w:r>
          </w:p>
        </w:tc>
      </w:tr>
      <w:tr>
        <w:trPr/>
        <w:tc>
          <w:tcPr>
            <w:tcW w:w="3285" w:type="dxa"/>
            <w:tcBorders/>
            <w:shd w:fill="CCEEFF" w:val="clear"/>
            <w:vAlign w:val="center"/>
          </w:tcPr>
          <w:p>
            <w:pPr>
              <w:pStyle w:val="TableContents"/>
              <w:bidi w:val="0"/>
              <w:spacing w:before="0" w:after="283"/>
              <w:jc w:val="left"/>
              <w:rPr/>
            </w:pPr>
            <w:r>
              <w:rPr/>
              <w:t>Increase in volume</w:t>
            </w:r>
          </w:p>
        </w:tc>
        <w:tc>
          <w:tcPr>
            <w:tcW w:w="90"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7.4</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17.5</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047" w:type="dxa"/>
            <w:tcBorders/>
            <w:shd w:fill="CCEEFF" w:val="clear"/>
            <w:vAlign w:val="center"/>
          </w:tcPr>
          <w:p>
            <w:pPr>
              <w:pStyle w:val="TableContents"/>
              <w:bidi w:val="0"/>
              <w:spacing w:before="0" w:after="283"/>
              <w:jc w:val="right"/>
              <w:rPr/>
            </w:pPr>
            <w:r>
              <w:rPr/>
              <w:t>16.0</w:t>
            </w:r>
          </w:p>
        </w:tc>
        <w:tc>
          <w:tcPr>
            <w:tcW w:w="347" w:type="dxa"/>
            <w:tcBorders/>
            <w:shd w:fill="CCEEFF" w:val="clear"/>
            <w:vAlign w:val="center"/>
          </w:tcPr>
          <w:p>
            <w:pPr>
              <w:pStyle w:val="TableContents"/>
              <w:bidi w:val="0"/>
              <w:spacing w:before="0" w:after="283"/>
              <w:jc w:val="left"/>
              <w:rPr/>
            </w:pPr>
            <w:r>
              <w:rPr/>
              <w:t>%</w:t>
            </w:r>
          </w:p>
        </w:tc>
      </w:tr>
      <w:tr>
        <w:trPr/>
        <w:tc>
          <w:tcPr>
            <w:tcW w:w="3285" w:type="dxa"/>
            <w:tcBorders/>
            <w:vAlign w:val="center"/>
          </w:tcPr>
          <w:p>
            <w:pPr>
              <w:pStyle w:val="TableContents"/>
              <w:bidi w:val="0"/>
              <w:spacing w:before="0" w:after="283"/>
              <w:jc w:val="left"/>
              <w:rPr/>
            </w:pPr>
            <w:r>
              <w:rPr/>
              <w:t>Increase in average selling prices</w:t>
            </w:r>
          </w:p>
        </w:tc>
        <w:tc>
          <w:tcPr>
            <w:tcW w:w="9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2.1</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right"/>
              <w:rPr/>
            </w:pPr>
            <w:r>
              <w:rPr/>
              <w:t>1.6</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right"/>
              <w:rPr/>
            </w:pPr>
            <w:r>
              <w:rPr/>
              <w:t>0.5</w:t>
            </w:r>
          </w:p>
        </w:tc>
        <w:tc>
          <w:tcPr>
            <w:tcW w:w="347" w:type="dxa"/>
            <w:tcBorders/>
            <w:vAlign w:val="center"/>
          </w:tcPr>
          <w:p>
            <w:pPr>
              <w:pStyle w:val="TableContents"/>
              <w:bidi w:val="0"/>
              <w:spacing w:before="0" w:after="283"/>
              <w:jc w:val="left"/>
              <w:rPr/>
            </w:pPr>
            <w:r>
              <w:rPr/>
              <w:t>%</w:t>
            </w:r>
          </w:p>
        </w:tc>
      </w:tr>
      <w:tr>
        <w:trPr/>
        <w:tc>
          <w:tcPr>
            <w:tcW w:w="3285" w:type="dxa"/>
            <w:tcBorders/>
            <w:shd w:fill="CCEEFF" w:val="clear"/>
            <w:vAlign w:val="center"/>
          </w:tcPr>
          <w:p>
            <w:pPr>
              <w:pStyle w:val="TableContents"/>
              <w:bidi w:val="0"/>
              <w:spacing w:before="0" w:after="283"/>
              <w:jc w:val="left"/>
              <w:rPr/>
            </w:pPr>
            <w:r>
              <w:rPr/>
              <w:t>Foreign currency effects</w:t>
            </w:r>
          </w:p>
        </w:tc>
        <w:tc>
          <w:tcPr>
            <w:tcW w:w="90"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(0.3</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3" w:type="dxa"/>
            <w:tcBorders/>
            <w:shd w:fill="CCEEFF" w:val="clear"/>
            <w:vAlign w:val="center"/>
          </w:tcPr>
          <w:p>
            <w:pPr>
              <w:pStyle w:val="TableContents"/>
              <w:bidi w:val="0"/>
              <w:spacing w:before="0" w:after="283"/>
              <w:jc w:val="right"/>
              <w:rPr/>
            </w:pPr>
            <w:r>
              <w:rPr/>
              <w:t>0.9</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047" w:type="dxa"/>
            <w:tcBorders/>
            <w:shd w:fill="CCEEFF" w:val="clear"/>
            <w:vAlign w:val="center"/>
          </w:tcPr>
          <w:p>
            <w:pPr>
              <w:pStyle w:val="TableContents"/>
              <w:bidi w:val="0"/>
              <w:spacing w:before="0" w:after="283"/>
              <w:jc w:val="right"/>
              <w:rPr/>
            </w:pPr>
            <w:r>
              <w:rPr/>
              <w:t>2.4</w:t>
            </w:r>
          </w:p>
        </w:tc>
        <w:tc>
          <w:tcPr>
            <w:tcW w:w="347" w:type="dxa"/>
            <w:tcBorders/>
            <w:shd w:fill="CCEEFF" w:val="clear"/>
            <w:vAlign w:val="center"/>
          </w:tcPr>
          <w:p>
            <w:pPr>
              <w:pStyle w:val="TableContents"/>
              <w:bidi w:val="0"/>
              <w:spacing w:before="0" w:after="283"/>
              <w:jc w:val="left"/>
              <w:rPr/>
            </w:pPr>
            <w:r>
              <w:rPr/>
              <w:t>%</w:t>
            </w:r>
          </w:p>
        </w:tc>
      </w:tr>
      <w:tr>
        <w:trPr/>
        <w:tc>
          <w:tcPr>
            <w:tcW w:w="3285" w:type="dxa"/>
            <w:tcBorders/>
            <w:vAlign w:val="center"/>
          </w:tcPr>
          <w:p>
            <w:pPr>
              <w:pStyle w:val="TableContents"/>
              <w:bidi w:val="0"/>
              <w:spacing w:before="0" w:after="283"/>
              <w:jc w:val="left"/>
              <w:rPr/>
            </w:pPr>
            <w:r>
              <w:rPr/>
              <w:t>Tariff refunds passed through to customers</w:t>
            </w:r>
          </w:p>
        </w:tc>
        <w:tc>
          <w:tcPr>
            <w:tcW w:w="90"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right"/>
              <w:rPr/>
            </w:pPr>
            <w:r>
              <w:rPr/>
              <w:t>(3.6</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vAlign w:val="center"/>
          </w:tcPr>
          <w:p>
            <w:pPr>
              <w:pStyle w:val="TableContents"/>
              <w:bidi w:val="0"/>
              <w:spacing w:before="0" w:after="283"/>
              <w:jc w:val="right"/>
              <w:rPr/>
            </w:pPr>
            <w:r>
              <w:rPr/>
              <w:t>(3.9</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right"/>
              <w:rPr/>
            </w:pPr>
            <w:r>
              <w:rPr/>
              <w:t>(2.0</w:t>
            </w:r>
          </w:p>
        </w:tc>
        <w:tc>
          <w:tcPr>
            <w:tcW w:w="347" w:type="dxa"/>
            <w:tcBorders/>
            <w:vAlign w:val="center"/>
          </w:tcPr>
          <w:p>
            <w:pPr>
              <w:pStyle w:val="TableContents"/>
              <w:bidi w:val="0"/>
              <w:spacing w:before="0" w:after="283"/>
              <w:jc w:val="left"/>
              <w:rPr/>
            </w:pPr>
            <w:r>
              <w:rPr/>
              <w:t>)%</w:t>
            </w:r>
          </w:p>
        </w:tc>
      </w:tr>
      <w:tr>
        <w:trPr/>
        <w:tc>
          <w:tcPr>
            <w:tcW w:w="3285"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537" w:type="dxa"/>
            <w:tcBorders>
              <w:bottom w:val="single" w:sz="6" w:space="0" w:color="000000"/>
            </w:tcBorders>
            <w:shd w:fill="CCEEFF" w:val="clear"/>
            <w:tcMar>
              <w:bottom w:w="28" w:type="dxa"/>
            </w:tcMar>
            <w:vAlign w:val="center"/>
          </w:tcPr>
          <w:p>
            <w:pPr>
              <w:pStyle w:val="TableContents"/>
              <w:bidi w:val="0"/>
              <w:spacing w:before="0" w:after="283"/>
              <w:jc w:val="right"/>
              <w:rPr/>
            </w:pPr>
            <w:r>
              <w:rPr/>
              <w:t>0.3</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43" w:type="dxa"/>
            <w:tcBorders>
              <w:bottom w:val="single" w:sz="6" w:space="0" w:color="000000"/>
            </w:tcBorders>
            <w:shd w:fill="CCEEFF" w:val="clear"/>
            <w:tcMar>
              <w:bottom w:w="28" w:type="dxa"/>
            </w:tcMar>
            <w:vAlign w:val="center"/>
          </w:tcPr>
          <w:p>
            <w:pPr>
              <w:pStyle w:val="TableContents"/>
              <w:bidi w:val="0"/>
              <w:spacing w:before="0" w:after="283"/>
              <w:jc w:val="right"/>
              <w:rPr/>
            </w:pPr>
            <w:r>
              <w:rPr/>
              <w:t>0.5</w:t>
            </w:r>
          </w:p>
        </w:tc>
        <w:tc>
          <w:tcPr>
            <w:tcW w:w="29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047" w:type="dxa"/>
            <w:tcBorders>
              <w:bottom w:val="single" w:sz="6" w:space="0" w:color="000000"/>
            </w:tcBorders>
            <w:shd w:fill="CCEEFF" w:val="clear"/>
            <w:tcMar>
              <w:bottom w:w="28" w:type="dxa"/>
            </w:tcMar>
            <w:vAlign w:val="center"/>
          </w:tcPr>
          <w:p>
            <w:pPr>
              <w:pStyle w:val="TableContents"/>
              <w:bidi w:val="0"/>
              <w:spacing w:before="0" w:after="283"/>
              <w:jc w:val="right"/>
              <w:rPr/>
            </w:pPr>
            <w:r>
              <w:rPr/>
              <w:t>0.0</w:t>
            </w:r>
          </w:p>
        </w:tc>
        <w:tc>
          <w:tcPr>
            <w:tcW w:w="347" w:type="dxa"/>
            <w:tcBorders/>
            <w:shd w:fill="CCEEFF" w:val="clear"/>
            <w:vAlign w:val="center"/>
          </w:tcPr>
          <w:p>
            <w:pPr>
              <w:pStyle w:val="TableContents"/>
              <w:bidi w:val="0"/>
              <w:spacing w:before="0" w:after="283"/>
              <w:jc w:val="left"/>
              <w:rPr/>
            </w:pPr>
            <w:r>
              <w:rPr/>
              <w:t>%</w:t>
            </w:r>
          </w:p>
        </w:tc>
      </w:tr>
      <w:tr>
        <w:trPr/>
        <w:tc>
          <w:tcPr>
            <w:tcW w:w="3285" w:type="dxa"/>
            <w:tcBorders/>
            <w:vAlign w:val="center"/>
          </w:tcPr>
          <w:p>
            <w:pPr>
              <w:pStyle w:val="TableContents"/>
              <w:bidi w:val="0"/>
              <w:spacing w:before="0" w:after="283"/>
              <w:jc w:val="left"/>
              <w:rPr/>
            </w:pPr>
            <w:r>
              <w:rPr/>
              <w:t>Net change</w:t>
            </w:r>
          </w:p>
        </w:tc>
        <w:tc>
          <w:tcPr>
            <w:tcW w:w="90" w:type="dxa"/>
            <w:tcBorders/>
            <w:vAlign w:val="center"/>
          </w:tcPr>
          <w:p>
            <w:pPr>
              <w:pStyle w:val="TableContents"/>
              <w:bidi w:val="0"/>
              <w:spacing w:before="0" w:after="283"/>
              <w:jc w:val="left"/>
              <w:rPr/>
            </w:pPr>
            <w:r>
              <w:rPr/>
              <w:t> </w:t>
            </w:r>
          </w:p>
        </w:tc>
        <w:tc>
          <w:tcPr>
            <w:tcW w:w="1537" w:type="dxa"/>
            <w:tcBorders>
              <w:bottom w:val="double" w:sz="6" w:space="0" w:color="000000"/>
            </w:tcBorders>
            <w:tcMar>
              <w:bottom w:w="28" w:type="dxa"/>
            </w:tcMar>
            <w:vAlign w:val="center"/>
          </w:tcPr>
          <w:p>
            <w:pPr>
              <w:pStyle w:val="TableContents"/>
              <w:bidi w:val="0"/>
              <w:spacing w:before="0" w:after="283"/>
              <w:jc w:val="right"/>
              <w:rPr/>
            </w:pPr>
            <w:r>
              <w:rPr/>
              <w:t>5.9</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3" w:type="dxa"/>
            <w:tcBorders>
              <w:bottom w:val="double" w:sz="6" w:space="0" w:color="000000"/>
            </w:tcBorders>
            <w:tcMar>
              <w:bottom w:w="28" w:type="dxa"/>
            </w:tcMar>
            <w:vAlign w:val="center"/>
          </w:tcPr>
          <w:p>
            <w:pPr>
              <w:pStyle w:val="TableContents"/>
              <w:bidi w:val="0"/>
              <w:spacing w:before="0" w:after="283"/>
              <w:jc w:val="right"/>
              <w:rPr/>
            </w:pPr>
            <w:r>
              <w:rPr/>
              <w:t>16.6</w:t>
            </w:r>
          </w:p>
        </w:tc>
        <w:tc>
          <w:tcPr>
            <w:tcW w:w="29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047" w:type="dxa"/>
            <w:tcBorders>
              <w:bottom w:val="double" w:sz="6" w:space="0" w:color="000000"/>
            </w:tcBorders>
            <w:tcMar>
              <w:bottom w:w="28" w:type="dxa"/>
            </w:tcMar>
            <w:vAlign w:val="center"/>
          </w:tcPr>
          <w:p>
            <w:pPr>
              <w:pStyle w:val="TableContents"/>
              <w:bidi w:val="0"/>
              <w:spacing w:before="0" w:after="283"/>
              <w:jc w:val="right"/>
              <w:rPr/>
            </w:pPr>
            <w:r>
              <w:rPr/>
              <w:t>16.9</w:t>
            </w:r>
          </w:p>
        </w:tc>
        <w:tc>
          <w:tcPr>
            <w:tcW w:w="347"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We continued to see improving market conditions in the second fiscal quarter of 2026, resulting in revenue growth driven primarily by higher sales volume and improved pricing conditions.  This represents an improvement from most of 2025 when we experienced distribution customers digesting high channel inventories.  The long-term prospects of our business remain favorable.  We continue to increase manufacturing capacities for critical product lines.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color w:val="000000"/>
          <w:sz w:val="24"/>
        </w:rPr>
        <w:t>Gross Profit Margins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Gross profit margins for the fiscal quarter ended July 4, 2026 were 23.3%, versus 21.0% and 19.5% for the comparable prior fiscal quarter and prior year quarter, respectively.  Gross profit margins for the six fiscal months ended July 4, 2026 were 22.2%, versus 19.2% for the comparable prior year period.  Gross profit margin increased versus the prior fiscal quarter and prior year quarter primarily due to higher sales volume, associated manufacturing efficiencies, and higher average selling prices, which offset higher metals and materials costs and unfavorable foreign exchange impacts.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31</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b/>
          <w:i/>
          <w:color w:val="000000"/>
          <w:sz w:val="24"/>
        </w:rPr>
        <w:t>Segments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Analysis of revenues and margins for our segments is provided below.</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color w:val="000000"/>
          <w:sz w:val="24"/>
          <w:u w:val="single"/>
        </w:rPr>
        <w:t>MOSFETs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Net revenues, gross profit margins, and segment operating margins of the MOSFETs segment were as follows </w:t>
      </w:r>
      <w:r>
        <w:rPr>
          <w:rFonts w:ascii="Times New Roman" w:hAnsi="Times New Roman"/>
          <w:i/>
          <w:color w:val="000000"/>
          <w:sz w:val="24"/>
        </w:rPr>
        <w:t>(dollars in thousands):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935"/>
        <w:gridCol w:w="170"/>
        <w:gridCol w:w="1097"/>
        <w:gridCol w:w="245"/>
        <w:gridCol w:w="90"/>
        <w:gridCol w:w="170"/>
        <w:gridCol w:w="1161"/>
        <w:gridCol w:w="245"/>
        <w:gridCol w:w="90"/>
        <w:gridCol w:w="170"/>
        <w:gridCol w:w="1207"/>
        <w:gridCol w:w="291"/>
        <w:gridCol w:w="53"/>
        <w:gridCol w:w="170"/>
        <w:gridCol w:w="1097"/>
        <w:gridCol w:w="245"/>
        <w:gridCol w:w="53"/>
        <w:gridCol w:w="170"/>
        <w:gridCol w:w="1207"/>
        <w:gridCol w:w="339"/>
      </w:tblGrid>
      <w:tr>
        <w:trPr/>
        <w:tc>
          <w:tcPr>
            <w:tcW w:w="193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 </w:t>
            </w:r>
          </w:p>
        </w:tc>
      </w:tr>
      <w:tr>
        <w:trPr/>
        <w:tc>
          <w:tcPr>
            <w:tcW w:w="1935" w:type="dxa"/>
            <w:tcBorders/>
            <w:vAlign w:val="center"/>
          </w:tcPr>
          <w:p>
            <w:pPr>
              <w:pStyle w:val="TableContents"/>
              <w:bidi w:val="0"/>
              <w:spacing w:before="0" w:after="283"/>
              <w:jc w:val="left"/>
              <w:rPr/>
            </w:pPr>
            <w:r>
              <w:rPr/>
              <w:t> </w:t>
            </w:r>
          </w:p>
        </w:tc>
        <w:tc>
          <w:tcPr>
            <w:tcW w:w="4936" w:type="dxa"/>
            <w:gridSpan w:val="11"/>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3281" w:type="dxa"/>
            <w:gridSpan w:val="7"/>
            <w:tcBorders/>
            <w:vAlign w:val="center"/>
          </w:tcPr>
          <w:p>
            <w:pPr>
              <w:pStyle w:val="TableContents"/>
              <w:bidi w:val="0"/>
              <w:spacing w:before="0" w:after="283"/>
              <w:jc w:val="center"/>
              <w:rPr>
                <w:b/>
              </w:rPr>
            </w:pPr>
            <w:r>
              <w:rPr>
                <w:b/>
              </w:rPr>
              <w:t>Six fiscal months ended</w:t>
            </w:r>
          </w:p>
        </w:tc>
      </w:tr>
      <w:tr>
        <w:trPr/>
        <w:tc>
          <w:tcPr>
            <w:tcW w:w="1935"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97"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61" w:type="dxa"/>
            <w:tcBorders>
              <w:bottom w:val="single" w:sz="2" w:space="0" w:color="000000"/>
            </w:tcBorders>
            <w:tcMar>
              <w:bottom w:w="28" w:type="dxa"/>
            </w:tcMar>
            <w:vAlign w:val="center"/>
          </w:tcPr>
          <w:p>
            <w:pPr>
              <w:pStyle w:val="TableContents"/>
              <w:bidi w:val="0"/>
              <w:spacing w:before="0" w:after="283"/>
              <w:jc w:val="center"/>
              <w:rPr>
                <w:b/>
              </w:rPr>
            </w:pPr>
            <w:r>
              <w:rPr>
                <w:b/>
              </w:rPr>
              <w:t>April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07"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91"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97"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07"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339" w:type="dxa"/>
            <w:tcBorders/>
            <w:vAlign w:val="center"/>
          </w:tcPr>
          <w:p>
            <w:pPr>
              <w:pStyle w:val="TableContents"/>
              <w:bidi w:val="0"/>
              <w:spacing w:before="0" w:after="283"/>
              <w:jc w:val="center"/>
              <w:rPr/>
            </w:pPr>
            <w:r>
              <w:rPr/>
              <w:t> </w:t>
            </w:r>
          </w:p>
        </w:tc>
      </w:tr>
      <w:tr>
        <w:trPr/>
        <w:tc>
          <w:tcPr>
            <w:tcW w:w="1935"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188,926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1" w:type="dxa"/>
            <w:tcBorders/>
            <w:shd w:fill="CCEEFF" w:val="clear"/>
            <w:vAlign w:val="center"/>
          </w:tcPr>
          <w:p>
            <w:pPr>
              <w:pStyle w:val="TableContents"/>
              <w:bidi w:val="0"/>
              <w:spacing w:before="0" w:after="283"/>
              <w:jc w:val="right"/>
              <w:rPr/>
            </w:pPr>
            <w:r>
              <w:rPr/>
              <w:t>173,991</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148,633</w:t>
            </w:r>
          </w:p>
        </w:tc>
        <w:tc>
          <w:tcPr>
            <w:tcW w:w="291"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097" w:type="dxa"/>
            <w:tcBorders/>
            <w:shd w:fill="CCEEFF" w:val="clear"/>
            <w:vAlign w:val="center"/>
          </w:tcPr>
          <w:p>
            <w:pPr>
              <w:pStyle w:val="TableContents"/>
              <w:bidi w:val="0"/>
              <w:spacing w:before="0" w:after="283"/>
              <w:jc w:val="right"/>
              <w:rPr/>
            </w:pPr>
            <w:r>
              <w:rPr/>
              <w:t>362,917</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07" w:type="dxa"/>
            <w:tcBorders/>
            <w:shd w:fill="CCEEFF" w:val="clear"/>
            <w:vAlign w:val="center"/>
          </w:tcPr>
          <w:p>
            <w:pPr>
              <w:pStyle w:val="TableContents"/>
              <w:bidi w:val="0"/>
              <w:spacing w:before="0" w:after="283"/>
              <w:jc w:val="right"/>
              <w:rPr/>
            </w:pPr>
            <w:r>
              <w:rPr/>
              <w:t>290,746</w:t>
            </w:r>
          </w:p>
        </w:tc>
        <w:tc>
          <w:tcPr>
            <w:tcW w:w="339" w:type="dxa"/>
            <w:tcBorders/>
            <w:shd w:fill="CCEEFF" w:val="clear"/>
            <w:vAlign w:val="center"/>
          </w:tcPr>
          <w:p>
            <w:pPr>
              <w:pStyle w:val="TableContents"/>
              <w:bidi w:val="0"/>
              <w:spacing w:before="0" w:after="283"/>
              <w:jc w:val="left"/>
              <w:rPr>
                <w:sz w:val="4"/>
                <w:szCs w:val="4"/>
              </w:rPr>
            </w:pPr>
            <w:r>
              <w:rPr>
                <w:sz w:val="4"/>
                <w:szCs w:val="4"/>
              </w:rPr>
            </w:r>
          </w:p>
        </w:tc>
      </w:tr>
      <w:tr>
        <w:trPr/>
        <w:tc>
          <w:tcPr>
            <w:tcW w:w="1935"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pPr>
            <w:r>
              <w:rPr/>
              <w:t> </w:t>
            </w:r>
          </w:p>
        </w:tc>
        <w:tc>
          <w:tcPr>
            <w:tcW w:w="1097" w:type="dxa"/>
            <w:tcBorders/>
            <w:vAlign w:val="center"/>
          </w:tcPr>
          <w:p>
            <w:pPr>
              <w:pStyle w:val="TableContents"/>
              <w:bidi w:val="0"/>
              <w:spacing w:before="0" w:after="283"/>
              <w:jc w:val="right"/>
              <w:rPr/>
            </w:pPr>
            <w:r>
              <w:rPr/>
              <w:t>13.8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right"/>
              <w:rPr/>
            </w:pPr>
            <w:r>
              <w:rPr/>
              <w:t>12.9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6.3</w:t>
            </w:r>
          </w:p>
        </w:tc>
        <w:tc>
          <w:tcPr>
            <w:tcW w:w="291"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right"/>
              <w:rPr/>
            </w:pPr>
            <w:r>
              <w:rPr/>
              <w:t>13.4</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07" w:type="dxa"/>
            <w:tcBorders/>
            <w:vAlign w:val="center"/>
          </w:tcPr>
          <w:p>
            <w:pPr>
              <w:pStyle w:val="TableContents"/>
              <w:bidi w:val="0"/>
              <w:spacing w:before="0" w:after="283"/>
              <w:jc w:val="right"/>
              <w:rPr/>
            </w:pPr>
            <w:r>
              <w:rPr/>
              <w:t>7.2</w:t>
            </w:r>
          </w:p>
        </w:tc>
        <w:tc>
          <w:tcPr>
            <w:tcW w:w="339" w:type="dxa"/>
            <w:tcBorders/>
            <w:vAlign w:val="center"/>
          </w:tcPr>
          <w:p>
            <w:pPr>
              <w:pStyle w:val="TableContents"/>
              <w:bidi w:val="0"/>
              <w:spacing w:before="0" w:after="283"/>
              <w:jc w:val="left"/>
              <w:rPr/>
            </w:pPr>
            <w:r>
              <w:rPr/>
              <w:t>%</w:t>
            </w:r>
          </w:p>
        </w:tc>
      </w:tr>
      <w:tr>
        <w:trPr/>
        <w:tc>
          <w:tcPr>
            <w:tcW w:w="1935"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pPr>
            <w:r>
              <w:rPr/>
              <w:t> </w:t>
            </w:r>
          </w:p>
        </w:tc>
        <w:tc>
          <w:tcPr>
            <w:tcW w:w="1097" w:type="dxa"/>
            <w:tcBorders/>
            <w:shd w:fill="CCEEFF" w:val="clear"/>
            <w:vAlign w:val="center"/>
          </w:tcPr>
          <w:p>
            <w:pPr>
              <w:pStyle w:val="TableContents"/>
              <w:bidi w:val="0"/>
              <w:spacing w:before="0" w:after="283"/>
              <w:jc w:val="right"/>
              <w:rPr/>
            </w:pPr>
            <w:r>
              <w:rPr/>
              <w:t>1.4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(9.7</w:t>
            </w:r>
          </w:p>
        </w:tc>
        <w:tc>
          <w:tcPr>
            <w:tcW w:w="291"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97" w:type="dxa"/>
            <w:tcBorders/>
            <w:shd w:fill="CCEEFF" w:val="clear"/>
            <w:vAlign w:val="center"/>
          </w:tcPr>
          <w:p>
            <w:pPr>
              <w:pStyle w:val="TableContents"/>
              <w:bidi w:val="0"/>
              <w:spacing w:before="0" w:after="283"/>
              <w:jc w:val="right"/>
              <w:rPr/>
            </w:pPr>
            <w:r>
              <w:rPr/>
              <w:t>1.1</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207" w:type="dxa"/>
            <w:tcBorders/>
            <w:shd w:fill="CCEEFF" w:val="clear"/>
            <w:vAlign w:val="center"/>
          </w:tcPr>
          <w:p>
            <w:pPr>
              <w:pStyle w:val="TableContents"/>
              <w:bidi w:val="0"/>
              <w:spacing w:before="0" w:after="283"/>
              <w:jc w:val="right"/>
              <w:rPr/>
            </w:pPr>
            <w:r>
              <w:rPr/>
              <w:t>(8.0</w:t>
            </w:r>
          </w:p>
        </w:tc>
        <w:tc>
          <w:tcPr>
            <w:tcW w:w="339"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change in net revenues versus the comparable prior periods was as follows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9984" w:type="dxa"/>
        <w:jc w:val="left"/>
        <w:tblInd w:w="0" w:type="dxa"/>
        <w:tblLayout w:type="fixed"/>
        <w:tblCellMar>
          <w:top w:w="0" w:type="dxa"/>
          <w:left w:w="0" w:type="dxa"/>
          <w:bottom w:w="0" w:type="dxa"/>
          <w:right w:w="0" w:type="dxa"/>
        </w:tblCellMar>
      </w:tblPr>
      <w:tblGrid>
        <w:gridCol w:w="1400"/>
        <w:gridCol w:w="90"/>
        <w:gridCol w:w="170"/>
        <w:gridCol w:w="2435"/>
        <w:gridCol w:w="90"/>
        <w:gridCol w:w="90"/>
        <w:gridCol w:w="90"/>
        <w:gridCol w:w="1070"/>
        <w:gridCol w:w="245"/>
        <w:gridCol w:w="53"/>
        <w:gridCol w:w="53"/>
        <w:gridCol w:w="170"/>
        <w:gridCol w:w="2435"/>
        <w:gridCol w:w="90"/>
        <w:gridCol w:w="53"/>
        <w:gridCol w:w="90"/>
        <w:gridCol w:w="1070"/>
        <w:gridCol w:w="290"/>
      </w:tblGrid>
      <w:tr>
        <w:trPr/>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Fiscal quarter ended</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Six fiscal months ended</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July 4, 2026</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July 4, 2026</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435" w:type="dxa"/>
            <w:tcBorders>
              <w:bottom w:val="single" w:sz="2"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bottom w:val="single" w:sz="2"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center"/>
              <w:rPr/>
            </w:pPr>
            <w:r>
              <w:rPr/>
              <w:t> </w:t>
            </w:r>
          </w:p>
        </w:tc>
        <w:tc>
          <w:tcPr>
            <w:tcW w:w="2435" w:type="dxa"/>
            <w:tcBorders>
              <w:bottom w:val="single" w:sz="2"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070" w:type="dxa"/>
            <w:tcBorders>
              <w:bottom w:val="single" w:sz="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center"/>
              <w:rPr/>
            </w:pPr>
            <w:r>
              <w:rPr/>
              <w:t> </w:t>
            </w:r>
          </w:p>
        </w:tc>
      </w:tr>
      <w:tr>
        <w:trPr/>
        <w:tc>
          <w:tcPr>
            <w:tcW w:w="1400" w:type="dxa"/>
            <w:tcBorders/>
            <w:shd w:fill="CCEEFF" w:val="clear"/>
            <w:vAlign w:val="center"/>
          </w:tcPr>
          <w:p>
            <w:pPr>
              <w:pStyle w:val="TableContents"/>
              <w:bidi w:val="0"/>
              <w:spacing w:before="0" w:after="283"/>
              <w:jc w:val="right"/>
              <w:rPr/>
            </w:pPr>
            <w:r>
              <w:rPr/>
              <w:t>April 4,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14,935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8.6</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n/a</w:t>
            </w:r>
          </w:p>
        </w:tc>
        <w:tc>
          <w:tcPr>
            <w:tcW w:w="29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right"/>
              <w:rPr/>
            </w:pPr>
            <w:r>
              <w:rPr/>
              <w:t>June 28,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40,293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27.1</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72,171</w:t>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24.8</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Changes in MOSFETs segment net revenues were attributable to the following:</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849"/>
        <w:gridCol w:w="90"/>
        <w:gridCol w:w="1667"/>
        <w:gridCol w:w="308"/>
        <w:gridCol w:w="90"/>
        <w:gridCol w:w="90"/>
        <w:gridCol w:w="2152"/>
        <w:gridCol w:w="245"/>
        <w:gridCol w:w="90"/>
        <w:gridCol w:w="90"/>
        <w:gridCol w:w="2177"/>
        <w:gridCol w:w="357"/>
      </w:tblGrid>
      <w:tr>
        <w:trPr/>
        <w:tc>
          <w:tcPr>
            <w:tcW w:w="284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 </w:t>
            </w:r>
          </w:p>
        </w:tc>
      </w:tr>
      <w:tr>
        <w:trPr/>
        <w:tc>
          <w:tcPr>
            <w:tcW w:w="284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67" w:type="dxa"/>
            <w:tcBorders>
              <w:bottom w:val="single" w:sz="2" w:space="0" w:color="000000"/>
            </w:tcBorders>
            <w:tcMar>
              <w:bottom w:w="28" w:type="dxa"/>
            </w:tcMar>
            <w:vAlign w:val="center"/>
          </w:tcPr>
          <w:p>
            <w:pPr>
              <w:pStyle w:val="TableContents"/>
              <w:bidi w:val="0"/>
              <w:spacing w:before="0" w:after="283"/>
              <w:jc w:val="center"/>
              <w:rPr>
                <w:b/>
              </w:rPr>
            </w:pPr>
            <w:r>
              <w:rPr>
                <w:b/>
              </w:rPr>
              <w:t>vs. Prior Quarter</w:t>
            </w:r>
          </w:p>
        </w:tc>
        <w:tc>
          <w:tcPr>
            <w:tcW w:w="30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52" w:type="dxa"/>
            <w:tcBorders>
              <w:bottom w:val="single" w:sz="2" w:space="0" w:color="000000"/>
            </w:tcBorders>
            <w:tcMar>
              <w:bottom w:w="28" w:type="dxa"/>
            </w:tcMar>
            <w:vAlign w:val="center"/>
          </w:tcPr>
          <w:p>
            <w:pPr>
              <w:pStyle w:val="TableContents"/>
              <w:bidi w:val="0"/>
              <w:spacing w:before="0" w:after="283"/>
              <w:jc w:val="center"/>
              <w:rPr>
                <w:b/>
              </w:rPr>
            </w:pPr>
            <w:r>
              <w:rPr>
                <w:b/>
              </w:rPr>
              <w:t>vs. Prior Year Quarter</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2177" w:type="dxa"/>
            <w:tcBorders>
              <w:bottom w:val="single" w:sz="2" w:space="0" w:color="000000"/>
            </w:tcBorders>
            <w:tcMar>
              <w:bottom w:w="28" w:type="dxa"/>
            </w:tcMar>
            <w:vAlign w:val="center"/>
          </w:tcPr>
          <w:p>
            <w:pPr>
              <w:pStyle w:val="TableContents"/>
              <w:bidi w:val="0"/>
              <w:spacing w:before="0" w:after="283"/>
              <w:jc w:val="center"/>
              <w:rPr>
                <w:b/>
              </w:rPr>
            </w:pPr>
            <w:r>
              <w:rPr>
                <w:b/>
              </w:rPr>
              <w:t>vs. Prior Year-to-Date</w:t>
            </w:r>
          </w:p>
        </w:tc>
        <w:tc>
          <w:tcPr>
            <w:tcW w:w="357" w:type="dxa"/>
            <w:tcBorders/>
            <w:vAlign w:val="center"/>
          </w:tcPr>
          <w:p>
            <w:pPr>
              <w:pStyle w:val="TableContents"/>
              <w:bidi w:val="0"/>
              <w:spacing w:before="0" w:after="283"/>
              <w:jc w:val="center"/>
              <w:rPr/>
            </w:pPr>
            <w:r>
              <w:rPr/>
              <w:t> </w:t>
            </w:r>
          </w:p>
        </w:tc>
      </w:tr>
      <w:tr>
        <w:trPr/>
        <w:tc>
          <w:tcPr>
            <w:tcW w:w="2849" w:type="dxa"/>
            <w:tcBorders/>
            <w:vAlign w:val="center"/>
          </w:tcPr>
          <w:p>
            <w:pPr>
              <w:pStyle w:val="TableContents"/>
              <w:bidi w:val="0"/>
              <w:spacing w:before="0" w:after="283"/>
              <w:jc w:val="left"/>
              <w:rPr>
                <w:b/>
              </w:rPr>
            </w:pPr>
            <w:r>
              <w:rPr>
                <w:b/>
              </w:rPr>
              <w:t>Change attributable to:</w:t>
            </w:r>
          </w:p>
        </w:tc>
        <w:tc>
          <w:tcPr>
            <w:tcW w:w="90" w:type="dxa"/>
            <w:tcBorders/>
            <w:vAlign w:val="center"/>
          </w:tcPr>
          <w:p>
            <w:pPr>
              <w:pStyle w:val="TableContents"/>
              <w:bidi w:val="0"/>
              <w:spacing w:before="0" w:after="283"/>
              <w:jc w:val="left"/>
              <w:rPr/>
            </w:pPr>
            <w:r>
              <w:rPr/>
              <w:t> </w:t>
            </w:r>
          </w:p>
        </w:tc>
        <w:tc>
          <w:tcPr>
            <w:tcW w:w="1667" w:type="dxa"/>
            <w:tcBorders/>
            <w:vAlign w:val="center"/>
          </w:tcPr>
          <w:p>
            <w:pPr>
              <w:pStyle w:val="TableContents"/>
              <w:bidi w:val="0"/>
              <w:spacing w:before="0" w:after="283"/>
              <w:jc w:val="left"/>
              <w:rPr/>
            </w:pPr>
            <w:r>
              <w:rPr/>
              <w:t> </w:t>
            </w:r>
          </w:p>
        </w:tc>
        <w:tc>
          <w:tcPr>
            <w:tcW w:w="3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7" w:type="dxa"/>
            <w:tcBorders/>
            <w:vAlign w:val="center"/>
          </w:tcPr>
          <w:p>
            <w:pPr>
              <w:pStyle w:val="TableContents"/>
              <w:bidi w:val="0"/>
              <w:spacing w:before="0" w:after="283"/>
              <w:jc w:val="left"/>
              <w:rPr/>
            </w:pPr>
            <w:r>
              <w:rPr/>
              <w:t> </w:t>
            </w:r>
          </w:p>
        </w:tc>
        <w:tc>
          <w:tcPr>
            <w:tcW w:w="357" w:type="dxa"/>
            <w:tcBorders/>
            <w:vAlign w:val="center"/>
          </w:tcPr>
          <w:p>
            <w:pPr>
              <w:pStyle w:val="TableContents"/>
              <w:bidi w:val="0"/>
              <w:spacing w:before="0" w:after="283"/>
              <w:jc w:val="left"/>
              <w:rPr/>
            </w:pPr>
            <w:r>
              <w:rPr/>
              <w:t> </w:t>
            </w:r>
          </w:p>
        </w:tc>
      </w:tr>
      <w:tr>
        <w:trPr/>
        <w:tc>
          <w:tcPr>
            <w:tcW w:w="2849" w:type="dxa"/>
            <w:tcBorders/>
            <w:shd w:fill="CCEEFF" w:val="clear"/>
            <w:vAlign w:val="center"/>
          </w:tcPr>
          <w:p>
            <w:pPr>
              <w:pStyle w:val="TableContents"/>
              <w:bidi w:val="0"/>
              <w:spacing w:before="0" w:after="283"/>
              <w:jc w:val="left"/>
              <w:rPr/>
            </w:pPr>
            <w:r>
              <w:rPr/>
              <w:t>Increase in volume</w:t>
            </w:r>
          </w:p>
        </w:tc>
        <w:tc>
          <w:tcPr>
            <w:tcW w:w="90"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7.8</w:t>
            </w:r>
          </w:p>
        </w:tc>
        <w:tc>
          <w:tcPr>
            <w:tcW w:w="30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2" w:type="dxa"/>
            <w:tcBorders/>
            <w:shd w:fill="CCEEFF" w:val="clear"/>
            <w:vAlign w:val="center"/>
          </w:tcPr>
          <w:p>
            <w:pPr>
              <w:pStyle w:val="TableContents"/>
              <w:bidi w:val="0"/>
              <w:spacing w:before="0" w:after="283"/>
              <w:jc w:val="right"/>
              <w:rPr/>
            </w:pPr>
            <w:r>
              <w:rPr/>
              <w:t>26.3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77" w:type="dxa"/>
            <w:tcBorders/>
            <w:shd w:fill="CCEEFF" w:val="clear"/>
            <w:vAlign w:val="center"/>
          </w:tcPr>
          <w:p>
            <w:pPr>
              <w:pStyle w:val="TableContents"/>
              <w:bidi w:val="0"/>
              <w:spacing w:before="0" w:after="283"/>
              <w:jc w:val="right"/>
              <w:rPr/>
            </w:pPr>
            <w:r>
              <w:rPr/>
              <w:t>26.5</w:t>
            </w:r>
          </w:p>
        </w:tc>
        <w:tc>
          <w:tcPr>
            <w:tcW w:w="357" w:type="dxa"/>
            <w:tcBorders/>
            <w:shd w:fill="CCEEFF" w:val="clear"/>
            <w:vAlign w:val="center"/>
          </w:tcPr>
          <w:p>
            <w:pPr>
              <w:pStyle w:val="TableContents"/>
              <w:bidi w:val="0"/>
              <w:spacing w:before="0" w:after="283"/>
              <w:jc w:val="left"/>
              <w:rPr/>
            </w:pPr>
            <w:r>
              <w:rPr/>
              <w:t>%</w:t>
            </w:r>
          </w:p>
        </w:tc>
      </w:tr>
      <w:tr>
        <w:trPr/>
        <w:tc>
          <w:tcPr>
            <w:tcW w:w="2849" w:type="dxa"/>
            <w:tcBorders/>
            <w:vAlign w:val="center"/>
          </w:tcPr>
          <w:p>
            <w:pPr>
              <w:pStyle w:val="TableContents"/>
              <w:bidi w:val="0"/>
              <w:spacing w:before="0" w:after="283"/>
              <w:jc w:val="left"/>
              <w:rPr/>
            </w:pPr>
            <w:r>
              <w:rPr/>
              <w:t>Change in average selling prices</w:t>
            </w:r>
          </w:p>
        </w:tc>
        <w:tc>
          <w:tcPr>
            <w:tcW w:w="90" w:type="dxa"/>
            <w:tcBorders/>
            <w:vAlign w:val="center"/>
          </w:tcPr>
          <w:p>
            <w:pPr>
              <w:pStyle w:val="TableContents"/>
              <w:bidi w:val="0"/>
              <w:spacing w:before="0" w:after="283"/>
              <w:jc w:val="left"/>
              <w:rPr/>
            </w:pPr>
            <w:r>
              <w:rPr/>
              <w:t> </w:t>
            </w:r>
          </w:p>
        </w:tc>
        <w:tc>
          <w:tcPr>
            <w:tcW w:w="1667" w:type="dxa"/>
            <w:tcBorders/>
            <w:vAlign w:val="center"/>
          </w:tcPr>
          <w:p>
            <w:pPr>
              <w:pStyle w:val="TableContents"/>
              <w:bidi w:val="0"/>
              <w:spacing w:before="0" w:after="283"/>
              <w:jc w:val="right"/>
              <w:rPr/>
            </w:pPr>
            <w:r>
              <w:rPr/>
              <w:t>1.0</w:t>
            </w:r>
          </w:p>
        </w:tc>
        <w:tc>
          <w:tcPr>
            <w:tcW w:w="30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2" w:type="dxa"/>
            <w:tcBorders/>
            <w:vAlign w:val="center"/>
          </w:tcPr>
          <w:p>
            <w:pPr>
              <w:pStyle w:val="TableContents"/>
              <w:bidi w:val="0"/>
              <w:spacing w:before="0" w:after="283"/>
              <w:jc w:val="right"/>
              <w:rPr/>
            </w:pPr>
            <w:r>
              <w:rPr/>
              <w:t>0.1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77" w:type="dxa"/>
            <w:tcBorders/>
            <w:vAlign w:val="center"/>
          </w:tcPr>
          <w:p>
            <w:pPr>
              <w:pStyle w:val="TableContents"/>
              <w:bidi w:val="0"/>
              <w:spacing w:before="0" w:after="283"/>
              <w:jc w:val="right"/>
              <w:rPr/>
            </w:pPr>
            <w:r>
              <w:rPr/>
              <w:t>(2.5</w:t>
            </w:r>
          </w:p>
        </w:tc>
        <w:tc>
          <w:tcPr>
            <w:tcW w:w="357" w:type="dxa"/>
            <w:tcBorders/>
            <w:vAlign w:val="center"/>
          </w:tcPr>
          <w:p>
            <w:pPr>
              <w:pStyle w:val="TableContents"/>
              <w:bidi w:val="0"/>
              <w:spacing w:before="0" w:after="283"/>
              <w:jc w:val="left"/>
              <w:rPr/>
            </w:pPr>
            <w:r>
              <w:rPr/>
              <w:t>)%</w:t>
            </w:r>
          </w:p>
        </w:tc>
      </w:tr>
      <w:tr>
        <w:trPr/>
        <w:tc>
          <w:tcPr>
            <w:tcW w:w="2849" w:type="dxa"/>
            <w:tcBorders/>
            <w:shd w:fill="CCEEFF" w:val="clear"/>
            <w:vAlign w:val="center"/>
          </w:tcPr>
          <w:p>
            <w:pPr>
              <w:pStyle w:val="TableContents"/>
              <w:bidi w:val="0"/>
              <w:spacing w:before="0" w:after="283"/>
              <w:jc w:val="left"/>
              <w:rPr/>
            </w:pPr>
            <w:r>
              <w:rPr/>
              <w:t>Foreign currency effects</w:t>
            </w:r>
          </w:p>
        </w:tc>
        <w:tc>
          <w:tcPr>
            <w:tcW w:w="90" w:type="dxa"/>
            <w:tcBorders/>
            <w:shd w:fill="CCEEFF" w:val="clear"/>
            <w:vAlign w:val="center"/>
          </w:tcPr>
          <w:p>
            <w:pPr>
              <w:pStyle w:val="TableContents"/>
              <w:bidi w:val="0"/>
              <w:spacing w:before="0" w:after="283"/>
              <w:jc w:val="left"/>
              <w:rPr/>
            </w:pPr>
            <w:r>
              <w:rPr/>
              <w:t> </w:t>
            </w:r>
          </w:p>
        </w:tc>
        <w:tc>
          <w:tcPr>
            <w:tcW w:w="1667" w:type="dxa"/>
            <w:tcBorders/>
            <w:shd w:fill="CCEEFF" w:val="clear"/>
            <w:vAlign w:val="center"/>
          </w:tcPr>
          <w:p>
            <w:pPr>
              <w:pStyle w:val="TableContents"/>
              <w:bidi w:val="0"/>
              <w:spacing w:before="0" w:after="283"/>
              <w:jc w:val="right"/>
              <w:rPr/>
            </w:pPr>
            <w:r>
              <w:rPr/>
              <w:t>(0.1</w:t>
            </w:r>
          </w:p>
        </w:tc>
        <w:tc>
          <w:tcPr>
            <w:tcW w:w="30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2" w:type="dxa"/>
            <w:tcBorders/>
            <w:shd w:fill="CCEEFF" w:val="clear"/>
            <w:vAlign w:val="center"/>
          </w:tcPr>
          <w:p>
            <w:pPr>
              <w:pStyle w:val="TableContents"/>
              <w:bidi w:val="0"/>
              <w:spacing w:before="0" w:after="283"/>
              <w:jc w:val="right"/>
              <w:rPr/>
            </w:pPr>
            <w:r>
              <w:rPr/>
              <w:t>0.5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77" w:type="dxa"/>
            <w:tcBorders/>
            <w:shd w:fill="CCEEFF" w:val="clear"/>
            <w:vAlign w:val="center"/>
          </w:tcPr>
          <w:p>
            <w:pPr>
              <w:pStyle w:val="TableContents"/>
              <w:bidi w:val="0"/>
              <w:spacing w:before="0" w:after="283"/>
              <w:jc w:val="right"/>
              <w:rPr/>
            </w:pPr>
            <w:r>
              <w:rPr/>
              <w:t>1.4</w:t>
            </w:r>
          </w:p>
        </w:tc>
        <w:tc>
          <w:tcPr>
            <w:tcW w:w="357" w:type="dxa"/>
            <w:tcBorders/>
            <w:shd w:fill="CCEEFF" w:val="clear"/>
            <w:vAlign w:val="center"/>
          </w:tcPr>
          <w:p>
            <w:pPr>
              <w:pStyle w:val="TableContents"/>
              <w:bidi w:val="0"/>
              <w:spacing w:before="0" w:after="283"/>
              <w:jc w:val="left"/>
              <w:rPr/>
            </w:pPr>
            <w:r>
              <w:rPr/>
              <w:t>%</w:t>
            </w:r>
          </w:p>
        </w:tc>
      </w:tr>
      <w:tr>
        <w:trPr/>
        <w:tc>
          <w:tcPr>
            <w:tcW w:w="2849"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667" w:type="dxa"/>
            <w:tcBorders>
              <w:bottom w:val="single" w:sz="6" w:space="0" w:color="000000"/>
            </w:tcBorders>
            <w:tcMar>
              <w:bottom w:w="28" w:type="dxa"/>
            </w:tcMar>
            <w:vAlign w:val="center"/>
          </w:tcPr>
          <w:p>
            <w:pPr>
              <w:pStyle w:val="TableContents"/>
              <w:bidi w:val="0"/>
              <w:spacing w:before="0" w:after="283"/>
              <w:jc w:val="right"/>
              <w:rPr/>
            </w:pPr>
            <w:r>
              <w:rPr/>
              <w:t>(0.1</w:t>
            </w:r>
          </w:p>
        </w:tc>
        <w:tc>
          <w:tcPr>
            <w:tcW w:w="30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2" w:type="dxa"/>
            <w:tcBorders>
              <w:bottom w:val="single" w:sz="6" w:space="0" w:color="000000"/>
            </w:tcBorders>
            <w:tcMar>
              <w:bottom w:w="28" w:type="dxa"/>
            </w:tcMar>
            <w:vAlign w:val="center"/>
          </w:tcPr>
          <w:p>
            <w:pPr>
              <w:pStyle w:val="TableContents"/>
              <w:bidi w:val="0"/>
              <w:spacing w:before="0" w:after="283"/>
              <w:jc w:val="right"/>
              <w:rPr/>
            </w:pPr>
            <w:r>
              <w:rPr/>
              <w:t>0.2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77" w:type="dxa"/>
            <w:tcBorders>
              <w:bottom w:val="single" w:sz="6" w:space="0" w:color="000000"/>
            </w:tcBorders>
            <w:tcMar>
              <w:bottom w:w="28" w:type="dxa"/>
            </w:tcMar>
            <w:vAlign w:val="center"/>
          </w:tcPr>
          <w:p>
            <w:pPr>
              <w:pStyle w:val="TableContents"/>
              <w:bidi w:val="0"/>
              <w:spacing w:before="0" w:after="283"/>
              <w:jc w:val="right"/>
              <w:rPr/>
            </w:pPr>
            <w:r>
              <w:rPr/>
              <w:t>(0.6</w:t>
            </w:r>
          </w:p>
        </w:tc>
        <w:tc>
          <w:tcPr>
            <w:tcW w:w="357" w:type="dxa"/>
            <w:tcBorders/>
            <w:vAlign w:val="center"/>
          </w:tcPr>
          <w:p>
            <w:pPr>
              <w:pStyle w:val="TableContents"/>
              <w:bidi w:val="0"/>
              <w:spacing w:before="0" w:after="283"/>
              <w:jc w:val="left"/>
              <w:rPr/>
            </w:pPr>
            <w:r>
              <w:rPr/>
              <w:t>)%</w:t>
            </w:r>
          </w:p>
        </w:tc>
      </w:tr>
      <w:tr>
        <w:trPr/>
        <w:tc>
          <w:tcPr>
            <w:tcW w:w="2849" w:type="dxa"/>
            <w:tcBorders/>
            <w:shd w:fill="CCEEFF" w:val="clear"/>
            <w:vAlign w:val="center"/>
          </w:tcPr>
          <w:p>
            <w:pPr>
              <w:pStyle w:val="TableContents"/>
              <w:bidi w:val="0"/>
              <w:spacing w:before="0" w:after="283"/>
              <w:jc w:val="left"/>
              <w:rPr/>
            </w:pPr>
            <w:r>
              <w:rPr/>
              <w:t>Net change</w:t>
            </w:r>
          </w:p>
        </w:tc>
        <w:tc>
          <w:tcPr>
            <w:tcW w:w="90" w:type="dxa"/>
            <w:tcBorders/>
            <w:shd w:fill="CCEEFF" w:val="clear"/>
            <w:vAlign w:val="center"/>
          </w:tcPr>
          <w:p>
            <w:pPr>
              <w:pStyle w:val="TableContents"/>
              <w:bidi w:val="0"/>
              <w:spacing w:before="0" w:after="283"/>
              <w:jc w:val="left"/>
              <w:rPr/>
            </w:pPr>
            <w:r>
              <w:rPr/>
              <w:t> </w:t>
            </w:r>
          </w:p>
        </w:tc>
        <w:tc>
          <w:tcPr>
            <w:tcW w:w="1667" w:type="dxa"/>
            <w:tcBorders>
              <w:bottom w:val="double" w:sz="6" w:space="0" w:color="000000"/>
            </w:tcBorders>
            <w:shd w:fill="CCEEFF" w:val="clear"/>
            <w:tcMar>
              <w:bottom w:w="28" w:type="dxa"/>
            </w:tcMar>
            <w:vAlign w:val="center"/>
          </w:tcPr>
          <w:p>
            <w:pPr>
              <w:pStyle w:val="TableContents"/>
              <w:bidi w:val="0"/>
              <w:spacing w:before="0" w:after="283"/>
              <w:jc w:val="right"/>
              <w:rPr/>
            </w:pPr>
            <w:r>
              <w:rPr/>
              <w:t>8.6</w:t>
            </w:r>
          </w:p>
        </w:tc>
        <w:tc>
          <w:tcPr>
            <w:tcW w:w="30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2" w:type="dxa"/>
            <w:tcBorders>
              <w:bottom w:val="double" w:sz="6" w:space="0" w:color="000000"/>
            </w:tcBorders>
            <w:shd w:fill="CCEEFF" w:val="clear"/>
            <w:tcMar>
              <w:bottom w:w="28" w:type="dxa"/>
            </w:tcMar>
            <w:vAlign w:val="center"/>
          </w:tcPr>
          <w:p>
            <w:pPr>
              <w:pStyle w:val="TableContents"/>
              <w:bidi w:val="0"/>
              <w:spacing w:before="0" w:after="283"/>
              <w:jc w:val="right"/>
              <w:rPr/>
            </w:pPr>
            <w:r>
              <w:rPr/>
              <w:t>27.1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77" w:type="dxa"/>
            <w:tcBorders>
              <w:bottom w:val="double" w:sz="6" w:space="0" w:color="000000"/>
            </w:tcBorders>
            <w:shd w:fill="CCEEFF" w:val="clear"/>
            <w:tcMar>
              <w:bottom w:w="28" w:type="dxa"/>
            </w:tcMar>
            <w:vAlign w:val="center"/>
          </w:tcPr>
          <w:p>
            <w:pPr>
              <w:pStyle w:val="TableContents"/>
              <w:bidi w:val="0"/>
              <w:spacing w:before="0" w:after="283"/>
              <w:jc w:val="right"/>
              <w:rPr/>
            </w:pPr>
            <w:r>
              <w:rPr/>
              <w:t>24.8</w:t>
            </w:r>
          </w:p>
        </w:tc>
        <w:tc>
          <w:tcPr>
            <w:tcW w:w="357"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Net revenues of the MOSFETs segment increased versus the prior fiscal quarter and prior year periods.  The increase versus the prior fiscal quarter is primarily due to increased sales to distribution customers, industrial end market end market customers, and customers in all regions.  The increases versus the prior year periods are primarily due to increased sales to OEM and distribution customers, industrial and automotive end market customers, and customers in all regions.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Gross profit margin increased versus the prior fiscal quarter and prior year periods.  The increase versus the prior fiscal quarter is primarily due to higher sales volume and higher average selling prices.  The increase versus the prior year periods is primarily due to higher sales volume.</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Segment operating margin increased versus the prior fiscal quarter and prior year periods.  The increases are primarily due to changes in gross profit and decreased segment SG&amp;A expenses associated with the Newport wafer fab.</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Average selling prices increased versus the prior fiscal quarter and prior year quarter, but decreased versus the prior year-to-date period.</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continue to invest to expand mid- and long-term manufacturing capacity for strategic product lines.  We plan to use the Newport wafer fab, acquired in 2024, to further develop and scale our SiC MOSFETs and diodes capabilities.  We are also committed to building a 12-inch wafer fab in Itzehoe, Germany.  These are long-term investments which were not expected to generate significant income or cash flows in the near-term, but should greatly enhance the long-term position of our MOSFETs business.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32</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i/>
          <w:color w:val="000000"/>
          <w:sz w:val="24"/>
          <w:u w:val="single"/>
        </w:rPr>
      </w:pPr>
      <w:r>
        <w:rPr>
          <w:rFonts w:ascii="Times New Roman" w:hAnsi="Times New Roman"/>
          <w:i/>
          <w:color w:val="000000"/>
          <w:sz w:val="24"/>
          <w:u w:val="single"/>
        </w:rPr>
        <w:t>Diodes</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Net revenues, gross profit margins, and segment operating margins of the Diodes segment were as follows </w:t>
      </w:r>
      <w:r>
        <w:rPr>
          <w:rFonts w:ascii="Times New Roman" w:hAnsi="Times New Roman"/>
          <w:i/>
          <w:color w:val="000000"/>
          <w:sz w:val="24"/>
        </w:rPr>
        <w:t>(dollars in thousands):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970"/>
        <w:gridCol w:w="170"/>
        <w:gridCol w:w="1106"/>
        <w:gridCol w:w="245"/>
        <w:gridCol w:w="90"/>
        <w:gridCol w:w="170"/>
        <w:gridCol w:w="1173"/>
        <w:gridCol w:w="245"/>
        <w:gridCol w:w="90"/>
        <w:gridCol w:w="170"/>
        <w:gridCol w:w="1221"/>
        <w:gridCol w:w="245"/>
        <w:gridCol w:w="53"/>
        <w:gridCol w:w="170"/>
        <w:gridCol w:w="1106"/>
        <w:gridCol w:w="245"/>
        <w:gridCol w:w="53"/>
        <w:gridCol w:w="170"/>
        <w:gridCol w:w="1221"/>
        <w:gridCol w:w="292"/>
      </w:tblGrid>
      <w:tr>
        <w:trPr/>
        <w:tc>
          <w:tcPr>
            <w:tcW w:w="19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center"/>
              <w:rPr/>
            </w:pPr>
            <w:r>
              <w:rPr/>
              <w:t> </w:t>
            </w:r>
          </w:p>
        </w:tc>
        <w:tc>
          <w:tcPr>
            <w:tcW w:w="4925" w:type="dxa"/>
            <w:gridSpan w:val="11"/>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3257" w:type="dxa"/>
            <w:gridSpan w:val="7"/>
            <w:tcBorders/>
            <w:vAlign w:val="center"/>
          </w:tcPr>
          <w:p>
            <w:pPr>
              <w:pStyle w:val="TableContents"/>
              <w:bidi w:val="0"/>
              <w:spacing w:before="0" w:after="283"/>
              <w:jc w:val="center"/>
              <w:rPr>
                <w:b/>
              </w:rPr>
            </w:pPr>
            <w:r>
              <w:rPr>
                <w:b/>
              </w:rPr>
              <w:t>Six fiscal months ended</w:t>
            </w:r>
          </w:p>
        </w:tc>
      </w:tr>
      <w:tr>
        <w:trPr/>
        <w:tc>
          <w:tcPr>
            <w:tcW w:w="197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06"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73" w:type="dxa"/>
            <w:tcBorders>
              <w:bottom w:val="single" w:sz="2" w:space="0" w:color="000000"/>
            </w:tcBorders>
            <w:tcMar>
              <w:bottom w:w="28" w:type="dxa"/>
            </w:tcMar>
            <w:vAlign w:val="center"/>
          </w:tcPr>
          <w:p>
            <w:pPr>
              <w:pStyle w:val="TableContents"/>
              <w:bidi w:val="0"/>
              <w:spacing w:before="0" w:after="283"/>
              <w:jc w:val="center"/>
              <w:rPr>
                <w:b/>
              </w:rPr>
            </w:pPr>
            <w:r>
              <w:rPr>
                <w:b/>
              </w:rPr>
              <w:t>April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21"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06"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21"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92" w:type="dxa"/>
            <w:tcBorders/>
            <w:vAlign w:val="center"/>
          </w:tcPr>
          <w:p>
            <w:pPr>
              <w:pStyle w:val="TableContents"/>
              <w:bidi w:val="0"/>
              <w:spacing w:before="0" w:after="283"/>
              <w:jc w:val="center"/>
              <w:rPr/>
            </w:pPr>
            <w:r>
              <w:rPr/>
              <w:t> </w:t>
            </w:r>
          </w:p>
        </w:tc>
      </w:tr>
      <w:tr>
        <w:trPr/>
        <w:tc>
          <w:tcPr>
            <w:tcW w:w="1970"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186,965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163,669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147,942</w:t>
            </w:r>
          </w:p>
        </w:tc>
        <w:tc>
          <w:tcPr>
            <w:tcW w:w="24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350,634</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288,905</w:t>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24.4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21.3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20.0</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right"/>
              <w:rPr/>
            </w:pPr>
            <w:r>
              <w:rPr/>
              <w:t>23.0</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19.9</w:t>
            </w:r>
          </w:p>
        </w:tc>
        <w:tc>
          <w:tcPr>
            <w:tcW w:w="292" w:type="dxa"/>
            <w:tcBorders/>
            <w:vAlign w:val="center"/>
          </w:tcPr>
          <w:p>
            <w:pPr>
              <w:pStyle w:val="TableContents"/>
              <w:bidi w:val="0"/>
              <w:spacing w:before="0" w:after="283"/>
              <w:jc w:val="left"/>
              <w:rPr/>
            </w:pPr>
            <w:r>
              <w:rPr/>
              <w:t>%</w:t>
            </w:r>
          </w:p>
        </w:tc>
      </w:tr>
      <w:tr>
        <w:trPr/>
        <w:tc>
          <w:tcPr>
            <w:tcW w:w="1970"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19.6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15.8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15.0</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right"/>
              <w:rPr/>
            </w:pPr>
            <w:r>
              <w:rPr/>
              <w:t>17.9</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15.0</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change in net revenues versus the comparable prior periods was as follows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9984" w:type="dxa"/>
        <w:jc w:val="left"/>
        <w:tblInd w:w="0" w:type="dxa"/>
        <w:tblLayout w:type="fixed"/>
        <w:tblCellMar>
          <w:top w:w="0" w:type="dxa"/>
          <w:left w:w="0" w:type="dxa"/>
          <w:bottom w:w="0" w:type="dxa"/>
          <w:right w:w="0" w:type="dxa"/>
        </w:tblCellMar>
      </w:tblPr>
      <w:tblGrid>
        <w:gridCol w:w="1400"/>
        <w:gridCol w:w="90"/>
        <w:gridCol w:w="170"/>
        <w:gridCol w:w="2435"/>
        <w:gridCol w:w="90"/>
        <w:gridCol w:w="90"/>
        <w:gridCol w:w="90"/>
        <w:gridCol w:w="1070"/>
        <w:gridCol w:w="245"/>
        <w:gridCol w:w="53"/>
        <w:gridCol w:w="53"/>
        <w:gridCol w:w="170"/>
        <w:gridCol w:w="2435"/>
        <w:gridCol w:w="90"/>
        <w:gridCol w:w="53"/>
        <w:gridCol w:w="90"/>
        <w:gridCol w:w="1070"/>
        <w:gridCol w:w="290"/>
      </w:tblGrid>
      <w:tr>
        <w:trPr/>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Fiscal quarter ended</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Six fiscal months ended</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July 4, 2026</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July 4, 2026</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435" w:type="dxa"/>
            <w:tcBorders>
              <w:bottom w:val="single" w:sz="2"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bottom w:val="single" w:sz="2"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center"/>
              <w:rPr/>
            </w:pPr>
            <w:r>
              <w:rPr/>
              <w:t> </w:t>
            </w:r>
          </w:p>
        </w:tc>
        <w:tc>
          <w:tcPr>
            <w:tcW w:w="2435" w:type="dxa"/>
            <w:tcBorders>
              <w:bottom w:val="single" w:sz="2"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070" w:type="dxa"/>
            <w:tcBorders>
              <w:bottom w:val="single" w:sz="2"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center"/>
              <w:rPr/>
            </w:pPr>
            <w:r>
              <w:rPr/>
              <w:t> </w:t>
            </w:r>
          </w:p>
        </w:tc>
      </w:tr>
      <w:tr>
        <w:trPr/>
        <w:tc>
          <w:tcPr>
            <w:tcW w:w="1400" w:type="dxa"/>
            <w:tcBorders/>
            <w:shd w:fill="CCEEFF" w:val="clear"/>
            <w:vAlign w:val="center"/>
          </w:tcPr>
          <w:p>
            <w:pPr>
              <w:pStyle w:val="TableContents"/>
              <w:bidi w:val="0"/>
              <w:spacing w:before="0" w:after="283"/>
              <w:jc w:val="right"/>
              <w:rPr/>
            </w:pPr>
            <w:r>
              <w:rPr/>
              <w:t>April 4,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23,296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14.2</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n/a</w:t>
            </w:r>
          </w:p>
        </w:tc>
        <w:tc>
          <w:tcPr>
            <w:tcW w:w="29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right"/>
              <w:rPr/>
            </w:pPr>
            <w:r>
              <w:rPr/>
              <w:t>June 28,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39,023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26.4</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61,729</w:t>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21.4</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Changes in Diodes segment net revenues were attributable to the following:</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897"/>
        <w:gridCol w:w="90"/>
        <w:gridCol w:w="1671"/>
        <w:gridCol w:w="309"/>
        <w:gridCol w:w="90"/>
        <w:gridCol w:w="90"/>
        <w:gridCol w:w="2160"/>
        <w:gridCol w:w="245"/>
        <w:gridCol w:w="90"/>
        <w:gridCol w:w="90"/>
        <w:gridCol w:w="2181"/>
        <w:gridCol w:w="292"/>
      </w:tblGrid>
      <w:tr>
        <w:trPr/>
        <w:tc>
          <w:tcPr>
            <w:tcW w:w="289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71" w:type="dxa"/>
            <w:tcBorders>
              <w:bottom w:val="single" w:sz="2" w:space="0" w:color="000000"/>
            </w:tcBorders>
            <w:tcMar>
              <w:bottom w:w="28" w:type="dxa"/>
            </w:tcMar>
            <w:vAlign w:val="center"/>
          </w:tcPr>
          <w:p>
            <w:pPr>
              <w:pStyle w:val="TableContents"/>
              <w:bidi w:val="0"/>
              <w:spacing w:before="0" w:after="283"/>
              <w:jc w:val="center"/>
              <w:rPr>
                <w:b/>
              </w:rPr>
            </w:pPr>
            <w:r>
              <w:rPr>
                <w:b/>
              </w:rPr>
              <w:t>vs. Prior Quarter</w:t>
            </w:r>
          </w:p>
        </w:tc>
        <w:tc>
          <w:tcPr>
            <w:tcW w:w="3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60" w:type="dxa"/>
            <w:tcBorders>
              <w:bottom w:val="single" w:sz="2" w:space="0" w:color="000000"/>
            </w:tcBorders>
            <w:tcMar>
              <w:bottom w:w="28" w:type="dxa"/>
            </w:tcMar>
            <w:vAlign w:val="center"/>
          </w:tcPr>
          <w:p>
            <w:pPr>
              <w:pStyle w:val="TableContents"/>
              <w:bidi w:val="0"/>
              <w:spacing w:before="0" w:after="283"/>
              <w:jc w:val="center"/>
              <w:rPr>
                <w:b/>
              </w:rPr>
            </w:pPr>
            <w:r>
              <w:rPr>
                <w:b/>
              </w:rPr>
              <w:t>vs. Prior Year Quarter</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2181" w:type="dxa"/>
            <w:tcBorders>
              <w:bottom w:val="single" w:sz="2" w:space="0" w:color="000000"/>
            </w:tcBorders>
            <w:tcMar>
              <w:bottom w:w="28" w:type="dxa"/>
            </w:tcMar>
            <w:vAlign w:val="center"/>
          </w:tcPr>
          <w:p>
            <w:pPr>
              <w:pStyle w:val="TableContents"/>
              <w:bidi w:val="0"/>
              <w:spacing w:before="0" w:after="283"/>
              <w:jc w:val="center"/>
              <w:rPr>
                <w:b/>
              </w:rPr>
            </w:pPr>
            <w:r>
              <w:rPr>
                <w:b/>
              </w:rPr>
              <w:t>vs. Prior Year-to-Date</w:t>
            </w:r>
          </w:p>
        </w:tc>
        <w:tc>
          <w:tcPr>
            <w:tcW w:w="292" w:type="dxa"/>
            <w:tcBorders/>
            <w:vAlign w:val="center"/>
          </w:tcPr>
          <w:p>
            <w:pPr>
              <w:pStyle w:val="TableContents"/>
              <w:bidi w:val="0"/>
              <w:spacing w:before="0" w:after="283"/>
              <w:jc w:val="center"/>
              <w:rPr/>
            </w:pPr>
            <w:r>
              <w:rPr/>
              <w:t> </w:t>
            </w:r>
          </w:p>
        </w:tc>
      </w:tr>
      <w:tr>
        <w:trPr/>
        <w:tc>
          <w:tcPr>
            <w:tcW w:w="2897" w:type="dxa"/>
            <w:tcBorders/>
            <w:vAlign w:val="center"/>
          </w:tcPr>
          <w:p>
            <w:pPr>
              <w:pStyle w:val="TableContents"/>
              <w:bidi w:val="0"/>
              <w:spacing w:before="0" w:after="283"/>
              <w:jc w:val="left"/>
              <w:rPr>
                <w:b/>
              </w:rPr>
            </w:pPr>
            <w:r>
              <w:rPr>
                <w:b/>
              </w:rPr>
              <w:t>Change attributable to:</w:t>
            </w:r>
          </w:p>
        </w:tc>
        <w:tc>
          <w:tcPr>
            <w:tcW w:w="9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897" w:type="dxa"/>
            <w:tcBorders/>
            <w:shd w:fill="CCEEFF" w:val="clear"/>
            <w:vAlign w:val="center"/>
          </w:tcPr>
          <w:p>
            <w:pPr>
              <w:pStyle w:val="TableContents"/>
              <w:bidi w:val="0"/>
              <w:spacing w:before="0" w:after="283"/>
              <w:jc w:val="left"/>
              <w:rPr/>
            </w:pPr>
            <w:r>
              <w:rPr/>
              <w:t>Increase in volume</w:t>
            </w:r>
          </w:p>
        </w:tc>
        <w:tc>
          <w:tcPr>
            <w:tcW w:w="9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8.4</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shd w:fill="CCEEFF" w:val="clear"/>
            <w:vAlign w:val="center"/>
          </w:tcPr>
          <w:p>
            <w:pPr>
              <w:pStyle w:val="TableContents"/>
              <w:bidi w:val="0"/>
              <w:spacing w:before="0" w:after="283"/>
              <w:jc w:val="right"/>
              <w:rPr/>
            </w:pPr>
            <w:r>
              <w:rPr/>
              <w:t>20.1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17.3</w:t>
            </w:r>
          </w:p>
        </w:tc>
        <w:tc>
          <w:tcPr>
            <w:tcW w:w="292" w:type="dxa"/>
            <w:tcBorders/>
            <w:shd w:fill="CCEEFF" w:val="clear"/>
            <w:vAlign w:val="center"/>
          </w:tcPr>
          <w:p>
            <w:pPr>
              <w:pStyle w:val="TableContents"/>
              <w:bidi w:val="0"/>
              <w:spacing w:before="0" w:after="283"/>
              <w:jc w:val="left"/>
              <w:rPr/>
            </w:pPr>
            <w:r>
              <w:rPr/>
              <w:t>%</w:t>
            </w:r>
          </w:p>
        </w:tc>
      </w:tr>
      <w:tr>
        <w:trPr/>
        <w:tc>
          <w:tcPr>
            <w:tcW w:w="2897" w:type="dxa"/>
            <w:tcBorders/>
            <w:vAlign w:val="center"/>
          </w:tcPr>
          <w:p>
            <w:pPr>
              <w:pStyle w:val="TableContents"/>
              <w:bidi w:val="0"/>
              <w:spacing w:before="0" w:after="283"/>
              <w:jc w:val="left"/>
              <w:rPr/>
            </w:pPr>
            <w:r>
              <w:rPr/>
              <w:t>Increase in average selling prices</w:t>
            </w:r>
          </w:p>
        </w:tc>
        <w:tc>
          <w:tcPr>
            <w:tcW w:w="9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5.5</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vAlign w:val="center"/>
          </w:tcPr>
          <w:p>
            <w:pPr>
              <w:pStyle w:val="TableContents"/>
              <w:bidi w:val="0"/>
              <w:spacing w:before="0" w:after="283"/>
              <w:jc w:val="right"/>
              <w:rPr/>
            </w:pPr>
            <w:r>
              <w:rPr/>
              <w:t>4.7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1.9</w:t>
            </w:r>
          </w:p>
        </w:tc>
        <w:tc>
          <w:tcPr>
            <w:tcW w:w="292" w:type="dxa"/>
            <w:tcBorders/>
            <w:vAlign w:val="center"/>
          </w:tcPr>
          <w:p>
            <w:pPr>
              <w:pStyle w:val="TableContents"/>
              <w:bidi w:val="0"/>
              <w:spacing w:before="0" w:after="283"/>
              <w:jc w:val="left"/>
              <w:rPr/>
            </w:pPr>
            <w:r>
              <w:rPr/>
              <w:t>%</w:t>
            </w:r>
          </w:p>
        </w:tc>
      </w:tr>
      <w:tr>
        <w:trPr/>
        <w:tc>
          <w:tcPr>
            <w:tcW w:w="2897" w:type="dxa"/>
            <w:tcBorders/>
            <w:shd w:fill="CCEEFF" w:val="clear"/>
            <w:vAlign w:val="center"/>
          </w:tcPr>
          <w:p>
            <w:pPr>
              <w:pStyle w:val="TableContents"/>
              <w:bidi w:val="0"/>
              <w:spacing w:before="0" w:after="283"/>
              <w:jc w:val="left"/>
              <w:rPr/>
            </w:pPr>
            <w:r>
              <w:rPr/>
              <w:t>Foreign currency effects</w:t>
            </w:r>
          </w:p>
        </w:tc>
        <w:tc>
          <w:tcPr>
            <w:tcW w:w="9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(0.2</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shd w:fill="CCEEFF" w:val="clear"/>
            <w:vAlign w:val="center"/>
          </w:tcPr>
          <w:p>
            <w:pPr>
              <w:pStyle w:val="TableContents"/>
              <w:bidi w:val="0"/>
              <w:spacing w:before="0" w:after="283"/>
              <w:jc w:val="right"/>
              <w:rPr/>
            </w:pPr>
            <w:r>
              <w:rPr/>
              <w:t>0.8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1.9</w:t>
            </w:r>
          </w:p>
        </w:tc>
        <w:tc>
          <w:tcPr>
            <w:tcW w:w="292" w:type="dxa"/>
            <w:tcBorders/>
            <w:shd w:fill="CCEEFF" w:val="clear"/>
            <w:vAlign w:val="center"/>
          </w:tcPr>
          <w:p>
            <w:pPr>
              <w:pStyle w:val="TableContents"/>
              <w:bidi w:val="0"/>
              <w:spacing w:before="0" w:after="283"/>
              <w:jc w:val="left"/>
              <w:rPr/>
            </w:pPr>
            <w:r>
              <w:rPr/>
              <w:t>%</w:t>
            </w:r>
          </w:p>
        </w:tc>
      </w:tr>
      <w:tr>
        <w:trPr/>
        <w:tc>
          <w:tcPr>
            <w:tcW w:w="2897"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671" w:type="dxa"/>
            <w:tcBorders>
              <w:bottom w:val="single" w:sz="6" w:space="0" w:color="000000"/>
            </w:tcBorders>
            <w:tcMar>
              <w:bottom w:w="28" w:type="dxa"/>
            </w:tcMar>
            <w:vAlign w:val="center"/>
          </w:tcPr>
          <w:p>
            <w:pPr>
              <w:pStyle w:val="TableContents"/>
              <w:bidi w:val="0"/>
              <w:spacing w:before="0" w:after="283"/>
              <w:jc w:val="right"/>
              <w:rPr/>
            </w:pPr>
            <w:r>
              <w:rPr/>
              <w:t>0.5</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bottom w:val="single" w:sz="6" w:space="0" w:color="000000"/>
            </w:tcBorders>
            <w:tcMar>
              <w:bottom w:w="28" w:type="dxa"/>
            </w:tcMar>
            <w:vAlign w:val="center"/>
          </w:tcPr>
          <w:p>
            <w:pPr>
              <w:pStyle w:val="TableContents"/>
              <w:bidi w:val="0"/>
              <w:spacing w:before="0" w:after="283"/>
              <w:jc w:val="right"/>
              <w:rPr/>
            </w:pPr>
            <w:r>
              <w:rPr/>
              <w:t>0.8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1" w:type="dxa"/>
            <w:tcBorders>
              <w:bottom w:val="single" w:sz="6" w:space="0" w:color="000000"/>
            </w:tcBorders>
            <w:tcMar>
              <w:bottom w:w="28" w:type="dxa"/>
            </w:tcMar>
            <w:vAlign w:val="center"/>
          </w:tcPr>
          <w:p>
            <w:pPr>
              <w:pStyle w:val="TableContents"/>
              <w:bidi w:val="0"/>
              <w:spacing w:before="0" w:after="283"/>
              <w:jc w:val="right"/>
              <w:rPr/>
            </w:pPr>
            <w:r>
              <w:rPr/>
              <w:t>0.3</w:t>
            </w:r>
          </w:p>
        </w:tc>
        <w:tc>
          <w:tcPr>
            <w:tcW w:w="292" w:type="dxa"/>
            <w:tcBorders/>
            <w:vAlign w:val="center"/>
          </w:tcPr>
          <w:p>
            <w:pPr>
              <w:pStyle w:val="TableContents"/>
              <w:bidi w:val="0"/>
              <w:spacing w:before="0" w:after="283"/>
              <w:jc w:val="left"/>
              <w:rPr/>
            </w:pPr>
            <w:r>
              <w:rPr/>
              <w:t>%</w:t>
            </w:r>
          </w:p>
        </w:tc>
      </w:tr>
      <w:tr>
        <w:trPr/>
        <w:tc>
          <w:tcPr>
            <w:tcW w:w="2897" w:type="dxa"/>
            <w:tcBorders/>
            <w:shd w:fill="CCEEFF" w:val="clear"/>
            <w:vAlign w:val="center"/>
          </w:tcPr>
          <w:p>
            <w:pPr>
              <w:pStyle w:val="TableContents"/>
              <w:bidi w:val="0"/>
              <w:spacing w:before="0" w:after="283"/>
              <w:jc w:val="left"/>
              <w:rPr/>
            </w:pPr>
            <w:r>
              <w:rPr/>
              <w:t>Net change</w:t>
            </w:r>
          </w:p>
        </w:tc>
        <w:tc>
          <w:tcPr>
            <w:tcW w:w="90" w:type="dxa"/>
            <w:tcBorders/>
            <w:shd w:fill="CCEEFF" w:val="clear"/>
            <w:vAlign w:val="center"/>
          </w:tcPr>
          <w:p>
            <w:pPr>
              <w:pStyle w:val="TableContents"/>
              <w:bidi w:val="0"/>
              <w:spacing w:before="0" w:after="283"/>
              <w:jc w:val="left"/>
              <w:rPr/>
            </w:pPr>
            <w:r>
              <w:rPr/>
              <w:t> </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14.2</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bottom w:val="double" w:sz="6" w:space="0" w:color="000000"/>
            </w:tcBorders>
            <w:shd w:fill="CCEEFF" w:val="clear"/>
            <w:tcMar>
              <w:bottom w:w="28" w:type="dxa"/>
            </w:tcMar>
            <w:vAlign w:val="center"/>
          </w:tcPr>
          <w:p>
            <w:pPr>
              <w:pStyle w:val="TableContents"/>
              <w:bidi w:val="0"/>
              <w:spacing w:before="0" w:after="283"/>
              <w:jc w:val="right"/>
              <w:rPr/>
            </w:pPr>
            <w:r>
              <w:rPr/>
              <w:t>26.4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1" w:type="dxa"/>
            <w:tcBorders>
              <w:bottom w:val="double" w:sz="6" w:space="0" w:color="000000"/>
            </w:tcBorders>
            <w:shd w:fill="CCEEFF" w:val="clear"/>
            <w:tcMar>
              <w:bottom w:w="28" w:type="dxa"/>
            </w:tcMar>
            <w:vAlign w:val="center"/>
          </w:tcPr>
          <w:p>
            <w:pPr>
              <w:pStyle w:val="TableContents"/>
              <w:bidi w:val="0"/>
              <w:spacing w:before="0" w:after="283"/>
              <w:jc w:val="right"/>
              <w:rPr/>
            </w:pPr>
            <w:r>
              <w:rPr/>
              <w:t>21.4</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Net revenues of the Diodes segment increased versus the prior fiscal quarter and prior year periods.  The increases versus the prior fiscal quarter and prior year periods are primarily due to increased sales to distribution customers, industrial and automotive end markets customers, and customers in all regions.  Increased sales to OEM customers also contributed to the increase versus the prior year periods.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Gross profit margin increased versus the prior fiscal quarter and prior year periods.  The increases versus the prior fiscal quarter and prior year periods were primarily due to higher sales volume and higher average selling prices.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Segment operating margin increased versus the prior fiscal quarter and prior year periods.  The increases are primarily due to changes in gross profit.</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Average selling prices increased versus the prior fiscal quarter and prior year periods.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33</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i/>
          <w:color w:val="000000"/>
          <w:sz w:val="24"/>
          <w:u w:val="single"/>
        </w:rPr>
        <w:t>Optoelectronic Components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Net revenues, gross profit margins, and segment operating margins of the Optoelectronic Components segment were as follows </w:t>
      </w:r>
      <w:r>
        <w:rPr>
          <w:rFonts w:ascii="Times New Roman" w:hAnsi="Times New Roman"/>
          <w:i/>
          <w:color w:val="000000"/>
          <w:sz w:val="24"/>
        </w:rPr>
        <w:t>(dollars in thousands):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016"/>
        <w:gridCol w:w="170"/>
        <w:gridCol w:w="1078"/>
        <w:gridCol w:w="245"/>
        <w:gridCol w:w="90"/>
        <w:gridCol w:w="170"/>
        <w:gridCol w:w="1148"/>
        <w:gridCol w:w="245"/>
        <w:gridCol w:w="90"/>
        <w:gridCol w:w="170"/>
        <w:gridCol w:w="1198"/>
        <w:gridCol w:w="245"/>
        <w:gridCol w:w="53"/>
        <w:gridCol w:w="170"/>
        <w:gridCol w:w="1118"/>
        <w:gridCol w:w="245"/>
        <w:gridCol w:w="53"/>
        <w:gridCol w:w="170"/>
        <w:gridCol w:w="1238"/>
        <w:gridCol w:w="293"/>
      </w:tblGrid>
      <w:tr>
        <w:trPr/>
        <w:tc>
          <w:tcPr>
            <w:tcW w:w="20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283"/>
              <w:jc w:val="center"/>
              <w:rPr/>
            </w:pPr>
            <w:r>
              <w:rPr/>
              <w:t> </w:t>
            </w:r>
          </w:p>
        </w:tc>
        <w:tc>
          <w:tcPr>
            <w:tcW w:w="4849" w:type="dxa"/>
            <w:gridSpan w:val="11"/>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3287" w:type="dxa"/>
            <w:gridSpan w:val="7"/>
            <w:tcBorders/>
            <w:vAlign w:val="center"/>
          </w:tcPr>
          <w:p>
            <w:pPr>
              <w:pStyle w:val="TableContents"/>
              <w:bidi w:val="0"/>
              <w:spacing w:before="0" w:after="283"/>
              <w:jc w:val="center"/>
              <w:rPr>
                <w:b/>
              </w:rPr>
            </w:pPr>
            <w:r>
              <w:rPr>
                <w:b/>
              </w:rPr>
              <w:t>Six fiscal months ended</w:t>
            </w:r>
          </w:p>
        </w:tc>
      </w:tr>
      <w:tr>
        <w:trPr/>
        <w:tc>
          <w:tcPr>
            <w:tcW w:w="2016"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78"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48" w:type="dxa"/>
            <w:tcBorders>
              <w:bottom w:val="single" w:sz="2" w:space="0" w:color="000000"/>
            </w:tcBorders>
            <w:tcMar>
              <w:bottom w:w="28" w:type="dxa"/>
            </w:tcMar>
            <w:vAlign w:val="center"/>
          </w:tcPr>
          <w:p>
            <w:pPr>
              <w:pStyle w:val="TableContents"/>
              <w:bidi w:val="0"/>
              <w:spacing w:before="0" w:after="283"/>
              <w:jc w:val="center"/>
              <w:rPr>
                <w:b/>
              </w:rPr>
            </w:pPr>
            <w:r>
              <w:rPr>
                <w:b/>
              </w:rPr>
              <w:t>April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98"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18"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38"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93" w:type="dxa"/>
            <w:tcBorders/>
            <w:vAlign w:val="center"/>
          </w:tcPr>
          <w:p>
            <w:pPr>
              <w:pStyle w:val="TableContents"/>
              <w:bidi w:val="0"/>
              <w:spacing w:before="0" w:after="283"/>
              <w:jc w:val="center"/>
              <w:rPr/>
            </w:pPr>
            <w:r>
              <w:rPr/>
              <w:t> </w:t>
            </w:r>
          </w:p>
        </w:tc>
      </w:tr>
      <w:tr>
        <w:trPr/>
        <w:tc>
          <w:tcPr>
            <w:tcW w:w="2016"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078" w:type="dxa"/>
            <w:tcBorders/>
            <w:shd w:fill="CCEEFF" w:val="clear"/>
            <w:vAlign w:val="center"/>
          </w:tcPr>
          <w:p>
            <w:pPr>
              <w:pStyle w:val="TableContents"/>
              <w:bidi w:val="0"/>
              <w:spacing w:before="0" w:after="283"/>
              <w:jc w:val="right"/>
              <w:rPr/>
            </w:pPr>
            <w:r>
              <w:rPr/>
              <w:t>70,076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8" w:type="dxa"/>
            <w:tcBorders/>
            <w:shd w:fill="CCEEFF" w:val="clear"/>
            <w:vAlign w:val="center"/>
          </w:tcPr>
          <w:p>
            <w:pPr>
              <w:pStyle w:val="TableContents"/>
              <w:bidi w:val="0"/>
              <w:spacing w:before="0" w:after="283"/>
              <w:jc w:val="right"/>
              <w:rPr/>
            </w:pPr>
            <w:r>
              <w:rPr/>
              <w:t>58,875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8" w:type="dxa"/>
            <w:tcBorders/>
            <w:shd w:fill="CCEEFF" w:val="clear"/>
            <w:vAlign w:val="center"/>
          </w:tcPr>
          <w:p>
            <w:pPr>
              <w:pStyle w:val="TableContents"/>
              <w:bidi w:val="0"/>
              <w:spacing w:before="0" w:after="283"/>
              <w:jc w:val="right"/>
              <w:rPr/>
            </w:pPr>
            <w:r>
              <w:rPr/>
              <w:t>54,119</w:t>
            </w:r>
          </w:p>
        </w:tc>
        <w:tc>
          <w:tcPr>
            <w:tcW w:w="24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118" w:type="dxa"/>
            <w:tcBorders/>
            <w:shd w:fill="CCEEFF" w:val="clear"/>
            <w:vAlign w:val="center"/>
          </w:tcPr>
          <w:p>
            <w:pPr>
              <w:pStyle w:val="TableContents"/>
              <w:bidi w:val="0"/>
              <w:spacing w:before="0" w:after="283"/>
              <w:jc w:val="right"/>
              <w:rPr/>
            </w:pPr>
            <w:r>
              <w:rPr/>
              <w:t>128,951</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38" w:type="dxa"/>
            <w:tcBorders/>
            <w:shd w:fill="CCEEFF" w:val="clear"/>
            <w:vAlign w:val="center"/>
          </w:tcPr>
          <w:p>
            <w:pPr>
              <w:pStyle w:val="TableContents"/>
              <w:bidi w:val="0"/>
              <w:spacing w:before="0" w:after="283"/>
              <w:jc w:val="right"/>
              <w:rPr/>
            </w:pPr>
            <w:r>
              <w:rPr/>
              <w:t>105,287</w:t>
            </w:r>
          </w:p>
        </w:tc>
        <w:tc>
          <w:tcPr>
            <w:tcW w:w="293" w:type="dxa"/>
            <w:tcBorders/>
            <w:shd w:fill="CCEEFF" w:val="clear"/>
            <w:vAlign w:val="center"/>
          </w:tcPr>
          <w:p>
            <w:pPr>
              <w:pStyle w:val="TableContents"/>
              <w:bidi w:val="0"/>
              <w:spacing w:before="0" w:after="283"/>
              <w:jc w:val="left"/>
              <w:rPr>
                <w:sz w:val="4"/>
                <w:szCs w:val="4"/>
              </w:rPr>
            </w:pPr>
            <w:r>
              <w:rPr>
                <w:sz w:val="4"/>
                <w:szCs w:val="4"/>
              </w:rPr>
            </w:r>
          </w:p>
        </w:tc>
      </w:tr>
      <w:tr>
        <w:trPr/>
        <w:tc>
          <w:tcPr>
            <w:tcW w:w="2016"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pPr>
            <w:r>
              <w:rPr/>
              <w:t> </w:t>
            </w:r>
          </w:p>
        </w:tc>
        <w:tc>
          <w:tcPr>
            <w:tcW w:w="1078" w:type="dxa"/>
            <w:tcBorders/>
            <w:vAlign w:val="center"/>
          </w:tcPr>
          <w:p>
            <w:pPr>
              <w:pStyle w:val="TableContents"/>
              <w:bidi w:val="0"/>
              <w:spacing w:before="0" w:after="283"/>
              <w:jc w:val="right"/>
              <w:rPr/>
            </w:pPr>
            <w:r>
              <w:rPr/>
              <w:t>22.8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8" w:type="dxa"/>
            <w:tcBorders/>
            <w:vAlign w:val="center"/>
          </w:tcPr>
          <w:p>
            <w:pPr>
              <w:pStyle w:val="TableContents"/>
              <w:bidi w:val="0"/>
              <w:spacing w:before="0" w:after="283"/>
              <w:jc w:val="right"/>
              <w:rPr/>
            </w:pPr>
            <w:r>
              <w:rPr/>
              <w:t>18.6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right"/>
              <w:rPr/>
            </w:pPr>
            <w:r>
              <w:rPr/>
              <w:t>23.2</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right"/>
              <w:rPr/>
            </w:pPr>
            <w:r>
              <w:rPr/>
              <w:t>20.9</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22.1</w:t>
            </w:r>
          </w:p>
        </w:tc>
        <w:tc>
          <w:tcPr>
            <w:tcW w:w="293" w:type="dxa"/>
            <w:tcBorders/>
            <w:vAlign w:val="center"/>
          </w:tcPr>
          <w:p>
            <w:pPr>
              <w:pStyle w:val="TableContents"/>
              <w:bidi w:val="0"/>
              <w:spacing w:before="0" w:after="283"/>
              <w:jc w:val="left"/>
              <w:rPr/>
            </w:pPr>
            <w:r>
              <w:rPr/>
              <w:t>%</w:t>
            </w:r>
          </w:p>
        </w:tc>
      </w:tr>
      <w:tr>
        <w:trPr/>
        <w:tc>
          <w:tcPr>
            <w:tcW w:w="2016"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pPr>
            <w:r>
              <w:rPr/>
              <w:t>13.6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8" w:type="dxa"/>
            <w:tcBorders/>
            <w:shd w:fill="CCEEFF" w:val="clear"/>
            <w:vAlign w:val="center"/>
          </w:tcPr>
          <w:p>
            <w:pPr>
              <w:pStyle w:val="TableContents"/>
              <w:bidi w:val="0"/>
              <w:spacing w:before="0" w:after="283"/>
              <w:jc w:val="right"/>
              <w:rPr/>
            </w:pPr>
            <w:r>
              <w:rPr/>
              <w:t>8.0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8" w:type="dxa"/>
            <w:tcBorders/>
            <w:shd w:fill="CCEEFF" w:val="clear"/>
            <w:vAlign w:val="center"/>
          </w:tcPr>
          <w:p>
            <w:pPr>
              <w:pStyle w:val="TableContents"/>
              <w:bidi w:val="0"/>
              <w:spacing w:before="0" w:after="283"/>
              <w:jc w:val="right"/>
              <w:rPr/>
            </w:pPr>
            <w:r>
              <w:rPr/>
              <w:t>12.6</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18" w:type="dxa"/>
            <w:tcBorders/>
            <w:shd w:fill="CCEEFF" w:val="clear"/>
            <w:vAlign w:val="center"/>
          </w:tcPr>
          <w:p>
            <w:pPr>
              <w:pStyle w:val="TableContents"/>
              <w:bidi w:val="0"/>
              <w:spacing w:before="0" w:after="283"/>
              <w:jc w:val="right"/>
              <w:rPr/>
            </w:pPr>
            <w:r>
              <w:rPr/>
              <w:t>11.0</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11.6</w:t>
            </w:r>
          </w:p>
        </w:tc>
        <w:tc>
          <w:tcPr>
            <w:tcW w:w="293"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change in net revenues versus the comparable prior periods was as follows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9984" w:type="dxa"/>
        <w:jc w:val="left"/>
        <w:tblInd w:w="0" w:type="dxa"/>
        <w:tblLayout w:type="fixed"/>
        <w:tblCellMar>
          <w:top w:w="0" w:type="dxa"/>
          <w:left w:w="0" w:type="dxa"/>
          <w:bottom w:w="0" w:type="dxa"/>
          <w:right w:w="0" w:type="dxa"/>
        </w:tblCellMar>
      </w:tblPr>
      <w:tblGrid>
        <w:gridCol w:w="1400"/>
        <w:gridCol w:w="90"/>
        <w:gridCol w:w="170"/>
        <w:gridCol w:w="2435"/>
        <w:gridCol w:w="90"/>
        <w:gridCol w:w="90"/>
        <w:gridCol w:w="90"/>
        <w:gridCol w:w="1070"/>
        <w:gridCol w:w="245"/>
        <w:gridCol w:w="53"/>
        <w:gridCol w:w="53"/>
        <w:gridCol w:w="170"/>
        <w:gridCol w:w="2435"/>
        <w:gridCol w:w="90"/>
        <w:gridCol w:w="53"/>
        <w:gridCol w:w="90"/>
        <w:gridCol w:w="1070"/>
        <w:gridCol w:w="290"/>
      </w:tblGrid>
      <w:tr>
        <w:trPr/>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Fiscal quarter ended</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Six fiscal months ended</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July 4, 2026</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July 4, 2026</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center"/>
              <w:rPr/>
            </w:pPr>
            <w:r>
              <w:rPr/>
              <w:t> </w:t>
            </w:r>
          </w:p>
        </w:tc>
      </w:tr>
      <w:tr>
        <w:trPr/>
        <w:tc>
          <w:tcPr>
            <w:tcW w:w="1400" w:type="dxa"/>
            <w:tcBorders/>
            <w:shd w:fill="CCEEFF" w:val="clear"/>
            <w:vAlign w:val="center"/>
          </w:tcPr>
          <w:p>
            <w:pPr>
              <w:pStyle w:val="TableContents"/>
              <w:bidi w:val="0"/>
              <w:spacing w:before="0" w:after="283"/>
              <w:jc w:val="right"/>
              <w:rPr/>
            </w:pPr>
            <w:r>
              <w:rPr/>
              <w:t>April 4,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11,201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19.0</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n/a</w:t>
            </w:r>
          </w:p>
        </w:tc>
        <w:tc>
          <w:tcPr>
            <w:tcW w:w="29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right"/>
              <w:rPr/>
            </w:pPr>
            <w:r>
              <w:rPr/>
              <w:t>June 28,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15,957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29.5</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23,664</w:t>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right"/>
              <w:rPr/>
            </w:pPr>
            <w:r>
              <w:rPr/>
              <w:t>22.5</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Changes in Optoelectronic Components segment net revenues were attributable to the following:</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910"/>
        <w:gridCol w:w="90"/>
        <w:gridCol w:w="1678"/>
        <w:gridCol w:w="309"/>
        <w:gridCol w:w="90"/>
        <w:gridCol w:w="90"/>
        <w:gridCol w:w="2170"/>
        <w:gridCol w:w="245"/>
        <w:gridCol w:w="53"/>
        <w:gridCol w:w="90"/>
        <w:gridCol w:w="2188"/>
        <w:gridCol w:w="292"/>
      </w:tblGrid>
      <w:tr>
        <w:trPr/>
        <w:tc>
          <w:tcPr>
            <w:tcW w:w="291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678" w:type="dxa"/>
            <w:tcBorders/>
            <w:shd w:fill="CCEEFF" w:val="clear"/>
            <w:vAlign w:val="center"/>
          </w:tcPr>
          <w:p>
            <w:pPr>
              <w:pStyle w:val="TableContents"/>
              <w:bidi w:val="0"/>
              <w:spacing w:before="0" w:after="283"/>
              <w:jc w:val="left"/>
              <w:rPr>
                <w:sz w:val="4"/>
                <w:szCs w:val="4"/>
              </w:rPr>
            </w:pPr>
            <w:r>
              <w:rPr>
                <w:sz w:val="4"/>
                <w:szCs w:val="4"/>
              </w:rPr>
            </w:r>
          </w:p>
        </w:tc>
        <w:tc>
          <w:tcPr>
            <w:tcW w:w="309"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170"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8"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left"/>
              <w:rPr/>
            </w:pPr>
            <w:r>
              <w:rPr/>
              <w:t> </w:t>
            </w:r>
          </w:p>
        </w:tc>
      </w:tr>
      <w:tr>
        <w:trPr/>
        <w:tc>
          <w:tcPr>
            <w:tcW w:w="29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78" w:type="dxa"/>
            <w:tcBorders>
              <w:bottom w:val="single" w:sz="2" w:space="0" w:color="000000"/>
            </w:tcBorders>
            <w:tcMar>
              <w:bottom w:w="28" w:type="dxa"/>
            </w:tcMar>
            <w:vAlign w:val="center"/>
          </w:tcPr>
          <w:p>
            <w:pPr>
              <w:pStyle w:val="TableContents"/>
              <w:bidi w:val="0"/>
              <w:spacing w:before="0" w:after="283"/>
              <w:jc w:val="center"/>
              <w:rPr>
                <w:b/>
              </w:rPr>
            </w:pPr>
            <w:r>
              <w:rPr>
                <w:b/>
              </w:rPr>
              <w:t>vs. Prior Quarter</w:t>
            </w:r>
          </w:p>
        </w:tc>
        <w:tc>
          <w:tcPr>
            <w:tcW w:w="3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70" w:type="dxa"/>
            <w:tcBorders>
              <w:bottom w:val="single" w:sz="2" w:space="0" w:color="000000"/>
            </w:tcBorders>
            <w:tcMar>
              <w:bottom w:w="28" w:type="dxa"/>
            </w:tcMar>
            <w:vAlign w:val="center"/>
          </w:tcPr>
          <w:p>
            <w:pPr>
              <w:pStyle w:val="TableContents"/>
              <w:bidi w:val="0"/>
              <w:spacing w:before="0" w:after="283"/>
              <w:jc w:val="center"/>
              <w:rPr>
                <w:b/>
              </w:rPr>
            </w:pPr>
            <w:r>
              <w:rPr>
                <w:b/>
              </w:rPr>
              <w:t>vs. Prior Year Quarter</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2188" w:type="dxa"/>
            <w:tcBorders>
              <w:bottom w:val="single" w:sz="2" w:space="0" w:color="000000"/>
            </w:tcBorders>
            <w:tcMar>
              <w:bottom w:w="28" w:type="dxa"/>
            </w:tcMar>
            <w:vAlign w:val="center"/>
          </w:tcPr>
          <w:p>
            <w:pPr>
              <w:pStyle w:val="TableContents"/>
              <w:bidi w:val="0"/>
              <w:spacing w:before="0" w:after="283"/>
              <w:jc w:val="center"/>
              <w:rPr>
                <w:b/>
              </w:rPr>
            </w:pPr>
            <w:r>
              <w:rPr>
                <w:b/>
              </w:rPr>
              <w:t>vs. Prior Year-to-Date</w:t>
            </w:r>
          </w:p>
        </w:tc>
        <w:tc>
          <w:tcPr>
            <w:tcW w:w="292" w:type="dxa"/>
            <w:tcBorders/>
            <w:vAlign w:val="center"/>
          </w:tcPr>
          <w:p>
            <w:pPr>
              <w:pStyle w:val="TableContents"/>
              <w:bidi w:val="0"/>
              <w:spacing w:before="0" w:after="283"/>
              <w:jc w:val="center"/>
              <w:rPr/>
            </w:pPr>
            <w:r>
              <w:rPr/>
              <w:t> </w:t>
            </w:r>
          </w:p>
        </w:tc>
      </w:tr>
      <w:tr>
        <w:trPr/>
        <w:tc>
          <w:tcPr>
            <w:tcW w:w="2910" w:type="dxa"/>
            <w:tcBorders/>
            <w:shd w:fill="CCEEFF" w:val="clear"/>
            <w:vAlign w:val="center"/>
          </w:tcPr>
          <w:p>
            <w:pPr>
              <w:pStyle w:val="TableContents"/>
              <w:bidi w:val="0"/>
              <w:spacing w:before="0" w:after="283"/>
              <w:jc w:val="left"/>
              <w:rPr>
                <w:b/>
              </w:rPr>
            </w:pPr>
            <w:r>
              <w:rPr>
                <w:b/>
              </w:rPr>
              <w:t>Change attributable to:</w:t>
            </w:r>
          </w:p>
        </w:tc>
        <w:tc>
          <w:tcPr>
            <w:tcW w:w="90" w:type="dxa"/>
            <w:tcBorders/>
            <w:shd w:fill="CCEEFF" w:val="clear"/>
            <w:vAlign w:val="center"/>
          </w:tcPr>
          <w:p>
            <w:pPr>
              <w:pStyle w:val="TableContents"/>
              <w:bidi w:val="0"/>
              <w:spacing w:before="0" w:after="283"/>
              <w:jc w:val="center"/>
              <w:rPr/>
            </w:pPr>
            <w:r>
              <w:rPr/>
              <w:t> </w:t>
            </w:r>
          </w:p>
        </w:tc>
        <w:tc>
          <w:tcPr>
            <w:tcW w:w="1678" w:type="dxa"/>
            <w:tcBorders/>
            <w:shd w:fill="CCEEFF" w:val="clear"/>
            <w:vAlign w:val="center"/>
          </w:tcPr>
          <w:p>
            <w:pPr>
              <w:pStyle w:val="TableContents"/>
              <w:bidi w:val="0"/>
              <w:spacing w:before="0" w:after="283"/>
              <w:jc w:val="left"/>
              <w:rPr>
                <w:sz w:val="4"/>
                <w:szCs w:val="4"/>
              </w:rPr>
            </w:pPr>
            <w:r>
              <w:rPr>
                <w:sz w:val="4"/>
                <w:szCs w:val="4"/>
              </w:rPr>
            </w:r>
          </w:p>
        </w:tc>
        <w:tc>
          <w:tcPr>
            <w:tcW w:w="309"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2170" w:type="dxa"/>
            <w:tcBorders/>
            <w:shd w:fill="CCEEFF" w:val="clear"/>
            <w:vAlign w:val="center"/>
          </w:tcPr>
          <w:p>
            <w:pPr>
              <w:pStyle w:val="TableContents"/>
              <w:bidi w:val="0"/>
              <w:spacing w:before="0" w:after="283"/>
              <w:jc w:val="left"/>
              <w:rPr>
                <w:sz w:val="4"/>
                <w:szCs w:val="4"/>
              </w:rPr>
            </w:pPr>
            <w:r>
              <w:rPr>
                <w:sz w:val="4"/>
                <w:szCs w:val="4"/>
              </w:rPr>
            </w:r>
          </w:p>
        </w:tc>
        <w:tc>
          <w:tcPr>
            <w:tcW w:w="245" w:type="dxa"/>
            <w:tcBorders/>
            <w:shd w:fill="CCEEFF" w:val="clear"/>
            <w:vAlign w:val="center"/>
          </w:tcPr>
          <w:p>
            <w:pPr>
              <w:pStyle w:val="TableContents"/>
              <w:bidi w:val="0"/>
              <w:spacing w:before="0" w:after="283"/>
              <w:jc w:val="center"/>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center"/>
              <w:rPr/>
            </w:pPr>
            <w:r>
              <w:rPr/>
              <w:t> </w:t>
            </w:r>
          </w:p>
        </w:tc>
        <w:tc>
          <w:tcPr>
            <w:tcW w:w="2188" w:type="dxa"/>
            <w:tcBorders/>
            <w:shd w:fill="CCEEFF" w:val="clear"/>
            <w:vAlign w:val="center"/>
          </w:tcPr>
          <w:p>
            <w:pPr>
              <w:pStyle w:val="TableContents"/>
              <w:bidi w:val="0"/>
              <w:spacing w:before="0" w:after="283"/>
              <w:jc w:val="left"/>
              <w:rPr>
                <w:sz w:val="4"/>
                <w:szCs w:val="4"/>
              </w:rPr>
            </w:pPr>
            <w:r>
              <w:rPr>
                <w:sz w:val="4"/>
                <w:szCs w:val="4"/>
              </w:rPr>
            </w:r>
          </w:p>
        </w:tc>
        <w:tc>
          <w:tcPr>
            <w:tcW w:w="292" w:type="dxa"/>
            <w:tcBorders/>
            <w:shd w:fill="CCEEFF" w:val="clear"/>
            <w:vAlign w:val="center"/>
          </w:tcPr>
          <w:p>
            <w:pPr>
              <w:pStyle w:val="TableContents"/>
              <w:bidi w:val="0"/>
              <w:spacing w:before="0" w:after="283"/>
              <w:jc w:val="center"/>
              <w:rPr/>
            </w:pPr>
            <w:r>
              <w:rPr/>
              <w:t> </w:t>
            </w:r>
          </w:p>
        </w:tc>
      </w:tr>
      <w:tr>
        <w:trPr/>
        <w:tc>
          <w:tcPr>
            <w:tcW w:w="2910" w:type="dxa"/>
            <w:tcBorders/>
            <w:vAlign w:val="center"/>
          </w:tcPr>
          <w:p>
            <w:pPr>
              <w:pStyle w:val="TableContents"/>
              <w:bidi w:val="0"/>
              <w:spacing w:before="0" w:after="283"/>
              <w:jc w:val="left"/>
              <w:rPr/>
            </w:pPr>
            <w:r>
              <w:rPr/>
              <w:t>Increase in volume</w:t>
            </w:r>
          </w:p>
        </w:tc>
        <w:tc>
          <w:tcPr>
            <w:tcW w:w="9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right"/>
              <w:rPr/>
            </w:pPr>
            <w:r>
              <w:rPr/>
              <w:t>15.3</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tcBorders/>
            <w:vAlign w:val="center"/>
          </w:tcPr>
          <w:p>
            <w:pPr>
              <w:pStyle w:val="TableContents"/>
              <w:bidi w:val="0"/>
              <w:spacing w:before="0" w:after="283"/>
              <w:jc w:val="right"/>
              <w:rPr/>
            </w:pPr>
            <w:r>
              <w:rPr/>
              <w:t>23.8</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8" w:type="dxa"/>
            <w:tcBorders/>
            <w:vAlign w:val="center"/>
          </w:tcPr>
          <w:p>
            <w:pPr>
              <w:pStyle w:val="TableContents"/>
              <w:bidi w:val="0"/>
              <w:spacing w:before="0" w:after="283"/>
              <w:jc w:val="right"/>
              <w:rPr/>
            </w:pPr>
            <w:r>
              <w:rPr/>
              <w:t>18.1</w:t>
            </w:r>
          </w:p>
        </w:tc>
        <w:tc>
          <w:tcPr>
            <w:tcW w:w="292" w:type="dxa"/>
            <w:tcBorders/>
            <w:vAlign w:val="center"/>
          </w:tcPr>
          <w:p>
            <w:pPr>
              <w:pStyle w:val="TableContents"/>
              <w:bidi w:val="0"/>
              <w:spacing w:before="0" w:after="283"/>
              <w:jc w:val="left"/>
              <w:rPr/>
            </w:pPr>
            <w:r>
              <w:rPr/>
              <w:t>%</w:t>
            </w:r>
          </w:p>
        </w:tc>
      </w:tr>
      <w:tr>
        <w:trPr/>
        <w:tc>
          <w:tcPr>
            <w:tcW w:w="2910" w:type="dxa"/>
            <w:tcBorders/>
            <w:shd w:fill="CCEEFF" w:val="clear"/>
            <w:vAlign w:val="center"/>
          </w:tcPr>
          <w:p>
            <w:pPr>
              <w:pStyle w:val="TableContents"/>
              <w:bidi w:val="0"/>
              <w:spacing w:before="0" w:after="283"/>
              <w:jc w:val="left"/>
              <w:rPr/>
            </w:pPr>
            <w:r>
              <w:rPr/>
              <w:t>Increase in average selling prices</w:t>
            </w:r>
          </w:p>
        </w:tc>
        <w:tc>
          <w:tcPr>
            <w:tcW w:w="90" w:type="dxa"/>
            <w:tcBorders/>
            <w:shd w:fill="CCEEFF" w:val="clear"/>
            <w:vAlign w:val="center"/>
          </w:tcPr>
          <w:p>
            <w:pPr>
              <w:pStyle w:val="TableContents"/>
              <w:bidi w:val="0"/>
              <w:spacing w:before="0" w:after="283"/>
              <w:jc w:val="left"/>
              <w:rPr/>
            </w:pPr>
            <w:r>
              <w:rPr/>
              <w:t> </w:t>
            </w:r>
          </w:p>
        </w:tc>
        <w:tc>
          <w:tcPr>
            <w:tcW w:w="1678" w:type="dxa"/>
            <w:tcBorders/>
            <w:shd w:fill="CCEEFF" w:val="clear"/>
            <w:vAlign w:val="center"/>
          </w:tcPr>
          <w:p>
            <w:pPr>
              <w:pStyle w:val="TableContents"/>
              <w:bidi w:val="0"/>
              <w:spacing w:before="0" w:after="283"/>
              <w:jc w:val="right"/>
              <w:rPr/>
            </w:pPr>
            <w:r>
              <w:rPr/>
              <w:t>3.2</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0" w:type="dxa"/>
            <w:tcBorders/>
            <w:shd w:fill="CCEEFF" w:val="clear"/>
            <w:vAlign w:val="center"/>
          </w:tcPr>
          <w:p>
            <w:pPr>
              <w:pStyle w:val="TableContents"/>
              <w:bidi w:val="0"/>
              <w:spacing w:before="0" w:after="283"/>
              <w:jc w:val="right"/>
              <w:rPr/>
            </w:pPr>
            <w:r>
              <w:rPr/>
              <w:t>2.6</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8" w:type="dxa"/>
            <w:tcBorders/>
            <w:shd w:fill="CCEEFF" w:val="clear"/>
            <w:vAlign w:val="center"/>
          </w:tcPr>
          <w:p>
            <w:pPr>
              <w:pStyle w:val="TableContents"/>
              <w:bidi w:val="0"/>
              <w:spacing w:before="0" w:after="283"/>
              <w:jc w:val="right"/>
              <w:rPr/>
            </w:pPr>
            <w:r>
              <w:rPr/>
              <w:t>0.4</w:t>
            </w:r>
          </w:p>
        </w:tc>
        <w:tc>
          <w:tcPr>
            <w:tcW w:w="292" w:type="dxa"/>
            <w:tcBorders/>
            <w:shd w:fill="CCEEFF" w:val="clear"/>
            <w:vAlign w:val="center"/>
          </w:tcPr>
          <w:p>
            <w:pPr>
              <w:pStyle w:val="TableContents"/>
              <w:bidi w:val="0"/>
              <w:spacing w:before="0" w:after="283"/>
              <w:jc w:val="left"/>
              <w:rPr/>
            </w:pPr>
            <w:r>
              <w:rPr/>
              <w:t>%</w:t>
            </w:r>
          </w:p>
        </w:tc>
      </w:tr>
      <w:tr>
        <w:trPr/>
        <w:tc>
          <w:tcPr>
            <w:tcW w:w="2910" w:type="dxa"/>
            <w:tcBorders/>
            <w:vAlign w:val="center"/>
          </w:tcPr>
          <w:p>
            <w:pPr>
              <w:pStyle w:val="TableContents"/>
              <w:bidi w:val="0"/>
              <w:spacing w:before="0" w:after="283"/>
              <w:jc w:val="left"/>
              <w:rPr/>
            </w:pPr>
            <w:r>
              <w:rPr/>
              <w:t>Foreign currency effects</w:t>
            </w:r>
          </w:p>
        </w:tc>
        <w:tc>
          <w:tcPr>
            <w:tcW w:w="9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right"/>
              <w:rPr/>
            </w:pPr>
            <w:r>
              <w:rPr/>
              <w:t>(0.4</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tcBorders/>
            <w:vAlign w:val="center"/>
          </w:tcPr>
          <w:p>
            <w:pPr>
              <w:pStyle w:val="TableContents"/>
              <w:bidi w:val="0"/>
              <w:spacing w:before="0" w:after="283"/>
              <w:jc w:val="right"/>
              <w:rPr/>
            </w:pPr>
            <w:r>
              <w:rPr/>
              <w:t>1.6</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8" w:type="dxa"/>
            <w:tcBorders/>
            <w:vAlign w:val="center"/>
          </w:tcPr>
          <w:p>
            <w:pPr>
              <w:pStyle w:val="TableContents"/>
              <w:bidi w:val="0"/>
              <w:spacing w:before="0" w:after="283"/>
              <w:jc w:val="right"/>
              <w:rPr/>
            </w:pPr>
            <w:r>
              <w:rPr/>
              <w:t>3.5</w:t>
            </w:r>
          </w:p>
        </w:tc>
        <w:tc>
          <w:tcPr>
            <w:tcW w:w="292" w:type="dxa"/>
            <w:tcBorders/>
            <w:vAlign w:val="center"/>
          </w:tcPr>
          <w:p>
            <w:pPr>
              <w:pStyle w:val="TableContents"/>
              <w:bidi w:val="0"/>
              <w:spacing w:before="0" w:after="283"/>
              <w:jc w:val="left"/>
              <w:rPr/>
            </w:pPr>
            <w:r>
              <w:rPr/>
              <w:t>%</w:t>
            </w:r>
          </w:p>
        </w:tc>
      </w:tr>
      <w:tr>
        <w:trPr/>
        <w:tc>
          <w:tcPr>
            <w:tcW w:w="291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678" w:type="dxa"/>
            <w:tcBorders>
              <w:bottom w:val="single" w:sz="6" w:space="0" w:color="000000"/>
            </w:tcBorders>
            <w:shd w:fill="CCEEFF" w:val="clear"/>
            <w:tcMar>
              <w:bottom w:w="28" w:type="dxa"/>
            </w:tcMar>
            <w:vAlign w:val="center"/>
          </w:tcPr>
          <w:p>
            <w:pPr>
              <w:pStyle w:val="TableContents"/>
              <w:bidi w:val="0"/>
              <w:spacing w:before="0" w:after="283"/>
              <w:jc w:val="right"/>
              <w:rPr/>
            </w:pPr>
            <w:r>
              <w:rPr/>
              <w:t>0.9</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0" w:type="dxa"/>
            <w:tcBorders>
              <w:bottom w:val="single" w:sz="6" w:space="0" w:color="000000"/>
            </w:tcBorders>
            <w:shd w:fill="CCEEFF" w:val="clear"/>
            <w:tcMar>
              <w:bottom w:w="28" w:type="dxa"/>
            </w:tcMar>
            <w:vAlign w:val="center"/>
          </w:tcPr>
          <w:p>
            <w:pPr>
              <w:pStyle w:val="TableContents"/>
              <w:bidi w:val="0"/>
              <w:spacing w:before="0" w:after="283"/>
              <w:jc w:val="right"/>
              <w:rPr/>
            </w:pPr>
            <w:r>
              <w:rPr/>
              <w:t>1.5</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8" w:type="dxa"/>
            <w:tcBorders>
              <w:bottom w:val="single" w:sz="6" w:space="0" w:color="000000"/>
            </w:tcBorders>
            <w:shd w:fill="CCEEFF" w:val="clear"/>
            <w:tcMar>
              <w:bottom w:w="28" w:type="dxa"/>
            </w:tcMar>
            <w:vAlign w:val="center"/>
          </w:tcPr>
          <w:p>
            <w:pPr>
              <w:pStyle w:val="TableContents"/>
              <w:bidi w:val="0"/>
              <w:spacing w:before="0" w:after="283"/>
              <w:jc w:val="right"/>
              <w:rPr/>
            </w:pPr>
            <w:r>
              <w:rPr/>
              <w:t>0.5</w:t>
            </w:r>
          </w:p>
        </w:tc>
        <w:tc>
          <w:tcPr>
            <w:tcW w:w="292" w:type="dxa"/>
            <w:tcBorders/>
            <w:shd w:fill="CCEEFF" w:val="clear"/>
            <w:vAlign w:val="center"/>
          </w:tcPr>
          <w:p>
            <w:pPr>
              <w:pStyle w:val="TableContents"/>
              <w:bidi w:val="0"/>
              <w:spacing w:before="0" w:after="283"/>
              <w:jc w:val="left"/>
              <w:rPr/>
            </w:pPr>
            <w:r>
              <w:rPr/>
              <w:t>%</w:t>
            </w:r>
          </w:p>
        </w:tc>
      </w:tr>
      <w:tr>
        <w:trPr/>
        <w:tc>
          <w:tcPr>
            <w:tcW w:w="2910" w:type="dxa"/>
            <w:tcBorders/>
            <w:vAlign w:val="center"/>
          </w:tcPr>
          <w:p>
            <w:pPr>
              <w:pStyle w:val="TableContents"/>
              <w:bidi w:val="0"/>
              <w:spacing w:before="0" w:after="283"/>
              <w:jc w:val="left"/>
              <w:rPr/>
            </w:pPr>
            <w:r>
              <w:rPr/>
              <w:t>Net change</w:t>
            </w:r>
          </w:p>
        </w:tc>
        <w:tc>
          <w:tcPr>
            <w:tcW w:w="90" w:type="dxa"/>
            <w:tcBorders/>
            <w:vAlign w:val="center"/>
          </w:tcPr>
          <w:p>
            <w:pPr>
              <w:pStyle w:val="TableContents"/>
              <w:bidi w:val="0"/>
              <w:spacing w:before="0" w:after="283"/>
              <w:jc w:val="left"/>
              <w:rPr/>
            </w:pPr>
            <w:r>
              <w:rPr/>
              <w:t> </w:t>
            </w:r>
          </w:p>
        </w:tc>
        <w:tc>
          <w:tcPr>
            <w:tcW w:w="1678" w:type="dxa"/>
            <w:tcBorders>
              <w:bottom w:val="double" w:sz="6" w:space="0" w:color="000000"/>
            </w:tcBorders>
            <w:tcMar>
              <w:bottom w:w="28" w:type="dxa"/>
            </w:tcMar>
            <w:vAlign w:val="center"/>
          </w:tcPr>
          <w:p>
            <w:pPr>
              <w:pStyle w:val="TableContents"/>
              <w:bidi w:val="0"/>
              <w:spacing w:before="0" w:after="283"/>
              <w:jc w:val="right"/>
              <w:rPr/>
            </w:pPr>
            <w:r>
              <w:rPr/>
              <w:t>19.0</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tcBorders>
              <w:bottom w:val="double" w:sz="6" w:space="0" w:color="000000"/>
            </w:tcBorders>
            <w:tcMar>
              <w:bottom w:w="28" w:type="dxa"/>
            </w:tcMar>
            <w:vAlign w:val="center"/>
          </w:tcPr>
          <w:p>
            <w:pPr>
              <w:pStyle w:val="TableContents"/>
              <w:bidi w:val="0"/>
              <w:spacing w:before="0" w:after="283"/>
              <w:jc w:val="right"/>
              <w:rPr/>
            </w:pPr>
            <w:r>
              <w:rPr/>
              <w:t>29.5</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8" w:type="dxa"/>
            <w:tcBorders>
              <w:bottom w:val="double" w:sz="6" w:space="0" w:color="000000"/>
            </w:tcBorders>
            <w:tcMar>
              <w:bottom w:w="28" w:type="dxa"/>
            </w:tcMar>
            <w:vAlign w:val="center"/>
          </w:tcPr>
          <w:p>
            <w:pPr>
              <w:pStyle w:val="TableContents"/>
              <w:bidi w:val="0"/>
              <w:spacing w:before="0" w:after="283"/>
              <w:jc w:val="right"/>
              <w:rPr/>
            </w:pPr>
            <w:r>
              <w:rPr/>
              <w:t>22.5</w:t>
            </w:r>
          </w:p>
        </w:tc>
        <w:tc>
          <w:tcPr>
            <w:tcW w:w="292"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Net revenues of the Optoelectronic Components segment increased versus the prior fiscal quarter and prior year periods.  The increases versus the prior fiscal quarter and prior year periods are primarily due to increased sales to customers in nearly all sales channels, end markets, and regions, most significantly distribution customers and industrial end market customers.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Gross profit margin increased versus the prior fiscal quarter, but decreased versus the prior year periods.  The increase versus the prior fiscal quarter is primarily due to higher sales volume and higher average selling prices.  The decreases versus the prior year periods are primarily due to higher metals prices and fixed overhead costs, partially offset by higher sales volume and higher average selling prices.</w:t>
      </w:r>
    </w:p>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Segment operating margin increased versus the prior fiscal quarter and prior year quarter, but decreased versus the prior year-to-date period.  The changes are primarily due to changes in gross profit.</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Average selling prices increased versus the prior fiscal quarter and prior year periods.</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34</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i/>
          <w:color w:val="000000"/>
          <w:sz w:val="24"/>
          <w:u w:val="single"/>
        </w:rPr>
        <w:t>Resistors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Net revenues, gross profit margins, and segment operating margins of the Resistors segment were as follows </w:t>
      </w:r>
      <w:r>
        <w:rPr>
          <w:rFonts w:ascii="Times New Roman" w:hAnsi="Times New Roman"/>
          <w:i/>
          <w:color w:val="000000"/>
          <w:sz w:val="24"/>
        </w:rPr>
        <w:t>(dollars in thousands):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970"/>
        <w:gridCol w:w="170"/>
        <w:gridCol w:w="1106"/>
        <w:gridCol w:w="245"/>
        <w:gridCol w:w="90"/>
        <w:gridCol w:w="170"/>
        <w:gridCol w:w="1173"/>
        <w:gridCol w:w="245"/>
        <w:gridCol w:w="90"/>
        <w:gridCol w:w="170"/>
        <w:gridCol w:w="1221"/>
        <w:gridCol w:w="245"/>
        <w:gridCol w:w="53"/>
        <w:gridCol w:w="170"/>
        <w:gridCol w:w="1106"/>
        <w:gridCol w:w="245"/>
        <w:gridCol w:w="53"/>
        <w:gridCol w:w="170"/>
        <w:gridCol w:w="1221"/>
        <w:gridCol w:w="292"/>
      </w:tblGrid>
      <w:tr>
        <w:trPr/>
        <w:tc>
          <w:tcPr>
            <w:tcW w:w="19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center"/>
              <w:rPr/>
            </w:pPr>
            <w:r>
              <w:rPr/>
              <w:t> </w:t>
            </w:r>
          </w:p>
        </w:tc>
        <w:tc>
          <w:tcPr>
            <w:tcW w:w="4925" w:type="dxa"/>
            <w:gridSpan w:val="11"/>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3257" w:type="dxa"/>
            <w:gridSpan w:val="7"/>
            <w:tcBorders/>
            <w:vAlign w:val="center"/>
          </w:tcPr>
          <w:p>
            <w:pPr>
              <w:pStyle w:val="TableContents"/>
              <w:bidi w:val="0"/>
              <w:spacing w:before="0" w:after="283"/>
              <w:jc w:val="center"/>
              <w:rPr>
                <w:b/>
              </w:rPr>
            </w:pPr>
            <w:r>
              <w:rPr>
                <w:b/>
              </w:rPr>
              <w:t>Six fiscal months ended</w:t>
            </w:r>
          </w:p>
        </w:tc>
      </w:tr>
      <w:tr>
        <w:trPr/>
        <w:tc>
          <w:tcPr>
            <w:tcW w:w="197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06"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73" w:type="dxa"/>
            <w:tcBorders>
              <w:bottom w:val="single" w:sz="2" w:space="0" w:color="000000"/>
            </w:tcBorders>
            <w:tcMar>
              <w:bottom w:w="28" w:type="dxa"/>
            </w:tcMar>
            <w:vAlign w:val="center"/>
          </w:tcPr>
          <w:p>
            <w:pPr>
              <w:pStyle w:val="TableContents"/>
              <w:bidi w:val="0"/>
              <w:spacing w:before="0" w:after="283"/>
              <w:jc w:val="center"/>
              <w:rPr>
                <w:b/>
              </w:rPr>
            </w:pPr>
            <w:r>
              <w:rPr>
                <w:b/>
              </w:rPr>
              <w:t>April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21"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06"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21"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92" w:type="dxa"/>
            <w:tcBorders/>
            <w:vAlign w:val="center"/>
          </w:tcPr>
          <w:p>
            <w:pPr>
              <w:pStyle w:val="TableContents"/>
              <w:bidi w:val="0"/>
              <w:spacing w:before="0" w:after="283"/>
              <w:jc w:val="center"/>
              <w:rPr/>
            </w:pPr>
            <w:r>
              <w:rPr/>
              <w:t> </w:t>
            </w:r>
          </w:p>
        </w:tc>
      </w:tr>
      <w:tr>
        <w:trPr/>
        <w:tc>
          <w:tcPr>
            <w:tcW w:w="1970"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215,028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203,743</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194,769</w:t>
            </w:r>
          </w:p>
        </w:tc>
        <w:tc>
          <w:tcPr>
            <w:tcW w:w="24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106" w:type="dxa"/>
            <w:tcBorders/>
            <w:shd w:fill="CCEEFF" w:val="clear"/>
            <w:vAlign w:val="center"/>
          </w:tcPr>
          <w:p>
            <w:pPr>
              <w:pStyle w:val="TableContents"/>
              <w:bidi w:val="0"/>
              <w:spacing w:before="0" w:after="283"/>
              <w:jc w:val="right"/>
              <w:rPr/>
            </w:pPr>
            <w:r>
              <w:rPr/>
              <w:t>418,771</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21" w:type="dxa"/>
            <w:tcBorders/>
            <w:shd w:fill="CCEEFF" w:val="clear"/>
            <w:vAlign w:val="center"/>
          </w:tcPr>
          <w:p>
            <w:pPr>
              <w:pStyle w:val="TableContents"/>
              <w:bidi w:val="0"/>
              <w:spacing w:before="0" w:after="283"/>
              <w:jc w:val="right"/>
              <w:rPr/>
            </w:pPr>
            <w:r>
              <w:rPr/>
              <w:t>374,269</w:t>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pPr>
            <w:r>
              <w:rPr/>
              <w:t> </w:t>
            </w:r>
          </w:p>
        </w:tc>
        <w:tc>
          <w:tcPr>
            <w:tcW w:w="1106" w:type="dxa"/>
            <w:tcBorders/>
            <w:vAlign w:val="center"/>
          </w:tcPr>
          <w:p>
            <w:pPr>
              <w:pStyle w:val="TableContents"/>
              <w:bidi w:val="0"/>
              <w:spacing w:before="0" w:after="283"/>
              <w:jc w:val="right"/>
              <w:rPr/>
            </w:pPr>
            <w:r>
              <w:rPr/>
              <w:t>22.1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73" w:type="dxa"/>
            <w:tcBorders/>
            <w:vAlign w:val="center"/>
          </w:tcPr>
          <w:p>
            <w:pPr>
              <w:pStyle w:val="TableContents"/>
              <w:bidi w:val="0"/>
              <w:spacing w:before="0" w:after="283"/>
              <w:jc w:val="right"/>
              <w:rPr/>
            </w:pPr>
            <w:r>
              <w:rPr/>
              <w:t>22.0</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22.8</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right"/>
              <w:rPr/>
            </w:pPr>
            <w:r>
              <w:rPr/>
              <w:t>22.0</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21" w:type="dxa"/>
            <w:tcBorders/>
            <w:vAlign w:val="center"/>
          </w:tcPr>
          <w:p>
            <w:pPr>
              <w:pStyle w:val="TableContents"/>
              <w:bidi w:val="0"/>
              <w:spacing w:before="0" w:after="283"/>
              <w:jc w:val="right"/>
              <w:rPr/>
            </w:pPr>
            <w:r>
              <w:rPr/>
              <w:t>22.6</w:t>
            </w:r>
          </w:p>
        </w:tc>
        <w:tc>
          <w:tcPr>
            <w:tcW w:w="292" w:type="dxa"/>
            <w:tcBorders/>
            <w:vAlign w:val="center"/>
          </w:tcPr>
          <w:p>
            <w:pPr>
              <w:pStyle w:val="TableContents"/>
              <w:bidi w:val="0"/>
              <w:spacing w:before="0" w:after="283"/>
              <w:jc w:val="left"/>
              <w:rPr/>
            </w:pPr>
            <w:r>
              <w:rPr/>
              <w:t>%</w:t>
            </w:r>
          </w:p>
        </w:tc>
      </w:tr>
      <w:tr>
        <w:trPr/>
        <w:tc>
          <w:tcPr>
            <w:tcW w:w="1970"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17.1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16.8</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17.9</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06" w:type="dxa"/>
            <w:tcBorders/>
            <w:shd w:fill="CCEEFF" w:val="clear"/>
            <w:vAlign w:val="center"/>
          </w:tcPr>
          <w:p>
            <w:pPr>
              <w:pStyle w:val="TableContents"/>
              <w:bidi w:val="0"/>
              <w:spacing w:before="0" w:after="283"/>
              <w:jc w:val="right"/>
              <w:rPr/>
            </w:pPr>
            <w:r>
              <w:rPr/>
              <w:t>16.9</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221" w:type="dxa"/>
            <w:tcBorders/>
            <w:shd w:fill="CCEEFF" w:val="clear"/>
            <w:vAlign w:val="center"/>
          </w:tcPr>
          <w:p>
            <w:pPr>
              <w:pStyle w:val="TableContents"/>
              <w:bidi w:val="0"/>
              <w:spacing w:before="0" w:after="283"/>
              <w:jc w:val="right"/>
              <w:rPr/>
            </w:pPr>
            <w:r>
              <w:rPr/>
              <w:t>17.7</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change in net revenues versus the comparable prior periods was as follows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9984" w:type="dxa"/>
        <w:jc w:val="left"/>
        <w:tblInd w:w="0" w:type="dxa"/>
        <w:tblLayout w:type="fixed"/>
        <w:tblCellMar>
          <w:top w:w="0" w:type="dxa"/>
          <w:left w:w="0" w:type="dxa"/>
          <w:bottom w:w="0" w:type="dxa"/>
          <w:right w:w="0" w:type="dxa"/>
        </w:tblCellMar>
      </w:tblPr>
      <w:tblGrid>
        <w:gridCol w:w="1400"/>
        <w:gridCol w:w="90"/>
        <w:gridCol w:w="170"/>
        <w:gridCol w:w="2435"/>
        <w:gridCol w:w="90"/>
        <w:gridCol w:w="90"/>
        <w:gridCol w:w="90"/>
        <w:gridCol w:w="1070"/>
        <w:gridCol w:w="245"/>
        <w:gridCol w:w="53"/>
        <w:gridCol w:w="53"/>
        <w:gridCol w:w="170"/>
        <w:gridCol w:w="2435"/>
        <w:gridCol w:w="90"/>
        <w:gridCol w:w="53"/>
        <w:gridCol w:w="90"/>
        <w:gridCol w:w="1070"/>
        <w:gridCol w:w="290"/>
      </w:tblGrid>
      <w:tr>
        <w:trPr/>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Fiscal quarter ended</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Six fiscal months ended</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July 4, 2026</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July 4, 2026</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center"/>
              <w:rPr/>
            </w:pPr>
            <w:r>
              <w:rPr/>
              <w:t> </w:t>
            </w:r>
          </w:p>
        </w:tc>
      </w:tr>
      <w:tr>
        <w:trPr/>
        <w:tc>
          <w:tcPr>
            <w:tcW w:w="1400" w:type="dxa"/>
            <w:tcBorders/>
            <w:shd w:fill="CCEEFF" w:val="clear"/>
            <w:vAlign w:val="center"/>
          </w:tcPr>
          <w:p>
            <w:pPr>
              <w:pStyle w:val="TableContents"/>
              <w:bidi w:val="0"/>
              <w:spacing w:before="0" w:after="283"/>
              <w:jc w:val="right"/>
              <w:rPr/>
            </w:pPr>
            <w:r>
              <w:rPr/>
              <w:t>April 4,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11,285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5.5</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n/a</w:t>
            </w:r>
          </w:p>
        </w:tc>
        <w:tc>
          <w:tcPr>
            <w:tcW w:w="29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right"/>
              <w:rPr/>
            </w:pPr>
            <w:r>
              <w:rPr/>
              <w:t>June 28,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20,259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10.4</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44,502</w:t>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11.9</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Changes in Resistors segment net revenues were attributable to the following:</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897"/>
        <w:gridCol w:w="90"/>
        <w:gridCol w:w="1671"/>
        <w:gridCol w:w="309"/>
        <w:gridCol w:w="90"/>
        <w:gridCol w:w="90"/>
        <w:gridCol w:w="2160"/>
        <w:gridCol w:w="245"/>
        <w:gridCol w:w="90"/>
        <w:gridCol w:w="90"/>
        <w:gridCol w:w="2181"/>
        <w:gridCol w:w="292"/>
      </w:tblGrid>
      <w:tr>
        <w:trPr/>
        <w:tc>
          <w:tcPr>
            <w:tcW w:w="289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71" w:type="dxa"/>
            <w:tcBorders>
              <w:bottom w:val="single" w:sz="2" w:space="0" w:color="000000"/>
            </w:tcBorders>
            <w:tcMar>
              <w:bottom w:w="28" w:type="dxa"/>
            </w:tcMar>
            <w:vAlign w:val="center"/>
          </w:tcPr>
          <w:p>
            <w:pPr>
              <w:pStyle w:val="TableContents"/>
              <w:bidi w:val="0"/>
              <w:spacing w:before="0" w:after="283"/>
              <w:jc w:val="center"/>
              <w:rPr>
                <w:b/>
              </w:rPr>
            </w:pPr>
            <w:r>
              <w:rPr>
                <w:b/>
              </w:rPr>
              <w:t>vs. Prior Quarter</w:t>
            </w:r>
          </w:p>
        </w:tc>
        <w:tc>
          <w:tcPr>
            <w:tcW w:w="30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60" w:type="dxa"/>
            <w:tcBorders>
              <w:bottom w:val="single" w:sz="2" w:space="0" w:color="000000"/>
            </w:tcBorders>
            <w:tcMar>
              <w:bottom w:w="28" w:type="dxa"/>
            </w:tcMar>
            <w:vAlign w:val="center"/>
          </w:tcPr>
          <w:p>
            <w:pPr>
              <w:pStyle w:val="TableContents"/>
              <w:bidi w:val="0"/>
              <w:spacing w:before="0" w:after="283"/>
              <w:jc w:val="center"/>
              <w:rPr>
                <w:b/>
              </w:rPr>
            </w:pPr>
            <w:r>
              <w:rPr>
                <w:b/>
              </w:rPr>
              <w:t>vs. Prior Year Quarter</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2181" w:type="dxa"/>
            <w:tcBorders>
              <w:bottom w:val="single" w:sz="2" w:space="0" w:color="000000"/>
            </w:tcBorders>
            <w:tcMar>
              <w:bottom w:w="28" w:type="dxa"/>
            </w:tcMar>
            <w:vAlign w:val="center"/>
          </w:tcPr>
          <w:p>
            <w:pPr>
              <w:pStyle w:val="TableContents"/>
              <w:bidi w:val="0"/>
              <w:spacing w:before="0" w:after="283"/>
              <w:jc w:val="center"/>
              <w:rPr>
                <w:b/>
              </w:rPr>
            </w:pPr>
            <w:r>
              <w:rPr>
                <w:b/>
              </w:rPr>
              <w:t>vs. Prior Year-to-Date</w:t>
            </w:r>
          </w:p>
        </w:tc>
        <w:tc>
          <w:tcPr>
            <w:tcW w:w="292" w:type="dxa"/>
            <w:tcBorders/>
            <w:vAlign w:val="center"/>
          </w:tcPr>
          <w:p>
            <w:pPr>
              <w:pStyle w:val="TableContents"/>
              <w:bidi w:val="0"/>
              <w:spacing w:before="0" w:after="283"/>
              <w:jc w:val="center"/>
              <w:rPr/>
            </w:pPr>
            <w:r>
              <w:rPr/>
              <w:t> </w:t>
            </w:r>
          </w:p>
        </w:tc>
      </w:tr>
      <w:tr>
        <w:trPr/>
        <w:tc>
          <w:tcPr>
            <w:tcW w:w="2897" w:type="dxa"/>
            <w:tcBorders/>
            <w:vAlign w:val="center"/>
          </w:tcPr>
          <w:p>
            <w:pPr>
              <w:pStyle w:val="TableContents"/>
              <w:bidi w:val="0"/>
              <w:spacing w:before="0" w:after="283"/>
              <w:jc w:val="left"/>
              <w:rPr>
                <w:b/>
              </w:rPr>
            </w:pPr>
            <w:r>
              <w:rPr>
                <w:b/>
              </w:rPr>
              <w:t>Change attributable to:</w:t>
            </w:r>
          </w:p>
        </w:tc>
        <w:tc>
          <w:tcPr>
            <w:tcW w:w="9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897" w:type="dxa"/>
            <w:tcBorders/>
            <w:shd w:fill="CCEEFF" w:val="clear"/>
            <w:vAlign w:val="center"/>
          </w:tcPr>
          <w:p>
            <w:pPr>
              <w:pStyle w:val="TableContents"/>
              <w:bidi w:val="0"/>
              <w:spacing w:before="0" w:after="283"/>
              <w:jc w:val="left"/>
              <w:rPr/>
            </w:pPr>
            <w:r>
              <w:rPr/>
              <w:t>Increase in volume</w:t>
            </w:r>
          </w:p>
        </w:tc>
        <w:tc>
          <w:tcPr>
            <w:tcW w:w="9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4.8</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shd w:fill="CCEEFF" w:val="clear"/>
            <w:vAlign w:val="center"/>
          </w:tcPr>
          <w:p>
            <w:pPr>
              <w:pStyle w:val="TableContents"/>
              <w:bidi w:val="0"/>
              <w:spacing w:before="0" w:after="283"/>
              <w:jc w:val="right"/>
              <w:rPr/>
            </w:pPr>
            <w:r>
              <w:rPr/>
              <w:t>6.2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6.3</w:t>
            </w:r>
          </w:p>
        </w:tc>
        <w:tc>
          <w:tcPr>
            <w:tcW w:w="292" w:type="dxa"/>
            <w:tcBorders/>
            <w:shd w:fill="CCEEFF" w:val="clear"/>
            <w:vAlign w:val="center"/>
          </w:tcPr>
          <w:p>
            <w:pPr>
              <w:pStyle w:val="TableContents"/>
              <w:bidi w:val="0"/>
              <w:spacing w:before="0" w:after="283"/>
              <w:jc w:val="left"/>
              <w:rPr/>
            </w:pPr>
            <w:r>
              <w:rPr/>
              <w:t>%</w:t>
            </w:r>
          </w:p>
        </w:tc>
      </w:tr>
      <w:tr>
        <w:trPr/>
        <w:tc>
          <w:tcPr>
            <w:tcW w:w="2897" w:type="dxa"/>
            <w:tcBorders/>
            <w:vAlign w:val="center"/>
          </w:tcPr>
          <w:p>
            <w:pPr>
              <w:pStyle w:val="TableContents"/>
              <w:bidi w:val="0"/>
              <w:spacing w:before="0" w:after="283"/>
              <w:jc w:val="left"/>
              <w:rPr/>
            </w:pPr>
            <w:r>
              <w:rPr/>
              <w:t>Increase in average selling prices</w:t>
            </w:r>
          </w:p>
        </w:tc>
        <w:tc>
          <w:tcPr>
            <w:tcW w:w="9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1.0</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vAlign w:val="center"/>
          </w:tcPr>
          <w:p>
            <w:pPr>
              <w:pStyle w:val="TableContents"/>
              <w:bidi w:val="0"/>
              <w:spacing w:before="0" w:after="283"/>
              <w:jc w:val="right"/>
              <w:rPr/>
            </w:pPr>
            <w:r>
              <w:rPr/>
              <w:t>2.9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2.6</w:t>
            </w:r>
          </w:p>
        </w:tc>
        <w:tc>
          <w:tcPr>
            <w:tcW w:w="292" w:type="dxa"/>
            <w:tcBorders/>
            <w:vAlign w:val="center"/>
          </w:tcPr>
          <w:p>
            <w:pPr>
              <w:pStyle w:val="TableContents"/>
              <w:bidi w:val="0"/>
              <w:spacing w:before="0" w:after="283"/>
              <w:jc w:val="left"/>
              <w:rPr/>
            </w:pPr>
            <w:r>
              <w:rPr/>
              <w:t>%</w:t>
            </w:r>
          </w:p>
        </w:tc>
      </w:tr>
      <w:tr>
        <w:trPr/>
        <w:tc>
          <w:tcPr>
            <w:tcW w:w="2897" w:type="dxa"/>
            <w:tcBorders/>
            <w:shd w:fill="CCEEFF" w:val="clear"/>
            <w:vAlign w:val="center"/>
          </w:tcPr>
          <w:p>
            <w:pPr>
              <w:pStyle w:val="TableContents"/>
              <w:bidi w:val="0"/>
              <w:spacing w:before="0" w:after="283"/>
              <w:jc w:val="left"/>
              <w:rPr/>
            </w:pPr>
            <w:r>
              <w:rPr/>
              <w:t>Foreign currency effects</w:t>
            </w:r>
          </w:p>
        </w:tc>
        <w:tc>
          <w:tcPr>
            <w:tcW w:w="9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(0.3</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shd w:fill="CCEEFF" w:val="clear"/>
            <w:vAlign w:val="center"/>
          </w:tcPr>
          <w:p>
            <w:pPr>
              <w:pStyle w:val="TableContents"/>
              <w:bidi w:val="0"/>
              <w:spacing w:before="0" w:after="283"/>
              <w:jc w:val="right"/>
              <w:rPr/>
            </w:pPr>
            <w:r>
              <w:rPr/>
              <w:t>1.2</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2.8</w:t>
            </w:r>
          </w:p>
        </w:tc>
        <w:tc>
          <w:tcPr>
            <w:tcW w:w="292" w:type="dxa"/>
            <w:tcBorders/>
            <w:shd w:fill="CCEEFF" w:val="clear"/>
            <w:vAlign w:val="center"/>
          </w:tcPr>
          <w:p>
            <w:pPr>
              <w:pStyle w:val="TableContents"/>
              <w:bidi w:val="0"/>
              <w:spacing w:before="0" w:after="283"/>
              <w:jc w:val="left"/>
              <w:rPr/>
            </w:pPr>
            <w:r>
              <w:rPr/>
              <w:t>%</w:t>
            </w:r>
          </w:p>
        </w:tc>
      </w:tr>
      <w:tr>
        <w:trPr/>
        <w:tc>
          <w:tcPr>
            <w:tcW w:w="2897"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671" w:type="dxa"/>
            <w:tcBorders>
              <w:bottom w:val="single" w:sz="6" w:space="0" w:color="000000"/>
            </w:tcBorders>
            <w:tcMar>
              <w:bottom w:w="28" w:type="dxa"/>
            </w:tcMar>
            <w:vAlign w:val="center"/>
          </w:tcPr>
          <w:p>
            <w:pPr>
              <w:pStyle w:val="TableContents"/>
              <w:bidi w:val="0"/>
              <w:spacing w:before="0" w:after="283"/>
              <w:jc w:val="right"/>
              <w:rPr/>
            </w:pPr>
            <w:r>
              <w:rPr/>
              <w:t>0.0</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bottom w:val="single" w:sz="6" w:space="0" w:color="000000"/>
            </w:tcBorders>
            <w:tcMar>
              <w:bottom w:w="28" w:type="dxa"/>
            </w:tcMar>
            <w:vAlign w:val="center"/>
          </w:tcPr>
          <w:p>
            <w:pPr>
              <w:pStyle w:val="TableContents"/>
              <w:bidi w:val="0"/>
              <w:spacing w:before="0" w:after="283"/>
              <w:jc w:val="right"/>
              <w:rPr/>
            </w:pPr>
            <w:r>
              <w:rPr/>
              <w:t>0.1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81" w:type="dxa"/>
            <w:tcBorders>
              <w:bottom w:val="single" w:sz="6" w:space="0" w:color="000000"/>
            </w:tcBorders>
            <w:tcMar>
              <w:bottom w:w="28" w:type="dxa"/>
            </w:tcMar>
            <w:vAlign w:val="center"/>
          </w:tcPr>
          <w:p>
            <w:pPr>
              <w:pStyle w:val="TableContents"/>
              <w:bidi w:val="0"/>
              <w:spacing w:before="0" w:after="283"/>
              <w:jc w:val="right"/>
              <w:rPr/>
            </w:pPr>
            <w:r>
              <w:rPr/>
              <w:t>0.2</w:t>
            </w:r>
          </w:p>
        </w:tc>
        <w:tc>
          <w:tcPr>
            <w:tcW w:w="292" w:type="dxa"/>
            <w:tcBorders/>
            <w:vAlign w:val="center"/>
          </w:tcPr>
          <w:p>
            <w:pPr>
              <w:pStyle w:val="TableContents"/>
              <w:bidi w:val="0"/>
              <w:spacing w:before="0" w:after="283"/>
              <w:jc w:val="left"/>
              <w:rPr/>
            </w:pPr>
            <w:r>
              <w:rPr/>
              <w:t>%</w:t>
            </w:r>
          </w:p>
        </w:tc>
      </w:tr>
      <w:tr>
        <w:trPr/>
        <w:tc>
          <w:tcPr>
            <w:tcW w:w="2897" w:type="dxa"/>
            <w:tcBorders/>
            <w:shd w:fill="CCEEFF" w:val="clear"/>
            <w:vAlign w:val="center"/>
          </w:tcPr>
          <w:p>
            <w:pPr>
              <w:pStyle w:val="TableContents"/>
              <w:bidi w:val="0"/>
              <w:spacing w:before="0" w:after="283"/>
              <w:jc w:val="left"/>
              <w:rPr/>
            </w:pPr>
            <w:r>
              <w:rPr/>
              <w:t>Net change</w:t>
            </w:r>
          </w:p>
        </w:tc>
        <w:tc>
          <w:tcPr>
            <w:tcW w:w="90" w:type="dxa"/>
            <w:tcBorders/>
            <w:shd w:fill="CCEEFF" w:val="clear"/>
            <w:vAlign w:val="center"/>
          </w:tcPr>
          <w:p>
            <w:pPr>
              <w:pStyle w:val="TableContents"/>
              <w:bidi w:val="0"/>
              <w:spacing w:before="0" w:after="283"/>
              <w:jc w:val="left"/>
              <w:rPr/>
            </w:pPr>
            <w:r>
              <w:rPr/>
              <w:t> </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5.5</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bottom w:val="double" w:sz="6" w:space="0" w:color="000000"/>
            </w:tcBorders>
            <w:shd w:fill="CCEEFF" w:val="clear"/>
            <w:tcMar>
              <w:bottom w:w="28" w:type="dxa"/>
            </w:tcMar>
            <w:vAlign w:val="center"/>
          </w:tcPr>
          <w:p>
            <w:pPr>
              <w:pStyle w:val="TableContents"/>
              <w:bidi w:val="0"/>
              <w:spacing w:before="0" w:after="283"/>
              <w:jc w:val="right"/>
              <w:rPr/>
            </w:pPr>
            <w:r>
              <w:rPr/>
              <w:t>10.4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81" w:type="dxa"/>
            <w:tcBorders>
              <w:bottom w:val="double" w:sz="6" w:space="0" w:color="000000"/>
            </w:tcBorders>
            <w:shd w:fill="CCEEFF" w:val="clear"/>
            <w:tcMar>
              <w:bottom w:w="28" w:type="dxa"/>
            </w:tcMar>
            <w:vAlign w:val="center"/>
          </w:tcPr>
          <w:p>
            <w:pPr>
              <w:pStyle w:val="TableContents"/>
              <w:bidi w:val="0"/>
              <w:spacing w:before="0" w:after="283"/>
              <w:jc w:val="right"/>
              <w:rPr/>
            </w:pPr>
            <w:r>
              <w:rPr/>
              <w:t>11.9</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Net revenues of the Resistors segment increased versus the prior fiscal quarter and prior year periods.  The increases versus the prior fiscal quarter and prior year periods are primarily due to increased sales to distribution customers, industrial end market customers, and customers in all regions.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Gross profit margin increased slightly versus the prior fiscal quarter, but decreased versus the prior year periods.  The increase versus the prior fiscal quarter is primarily due to higher sales volume and higher average selling prices, partially offset by higher metals costs.  The decreases versus the prior year periods are primarily due to higher metals costs, unfavorable product mix, and unfavorable foreign exchange impacts, partially offset by higher sales volume and higher average selling prices.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Segment operating margin increased versus the prior fiscal quarter, but decreased versus the prior year periods.  The changes are primarily due to changes in gross profit.</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Average selling prices increased versus the prior fiscal quarter and prior year periods.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We are increasing critical manufacturing capacities for certain product lines.  We continue to broaden our business with targeted acquisitions of specialty resistors businesses.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35</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i/>
          <w:color w:val="000000"/>
          <w:sz w:val="24"/>
          <w:u w:val="single"/>
        </w:rPr>
        <w:t>Inductors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Net revenues, gross profit margins, and segment operating margins of the Inductors segment were as follows </w:t>
      </w:r>
      <w:r>
        <w:rPr>
          <w:rFonts w:ascii="Times New Roman" w:hAnsi="Times New Roman"/>
          <w:i/>
          <w:color w:val="000000"/>
          <w:sz w:val="24"/>
        </w:rPr>
        <w:t>(dollars in thousands):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001"/>
        <w:gridCol w:w="170"/>
        <w:gridCol w:w="1115"/>
        <w:gridCol w:w="245"/>
        <w:gridCol w:w="90"/>
        <w:gridCol w:w="170"/>
        <w:gridCol w:w="1142"/>
        <w:gridCol w:w="245"/>
        <w:gridCol w:w="90"/>
        <w:gridCol w:w="170"/>
        <w:gridCol w:w="1191"/>
        <w:gridCol w:w="245"/>
        <w:gridCol w:w="53"/>
        <w:gridCol w:w="170"/>
        <w:gridCol w:w="1115"/>
        <w:gridCol w:w="245"/>
        <w:gridCol w:w="53"/>
        <w:gridCol w:w="170"/>
        <w:gridCol w:w="1233"/>
        <w:gridCol w:w="292"/>
      </w:tblGrid>
      <w:tr>
        <w:trPr/>
        <w:tc>
          <w:tcPr>
            <w:tcW w:w="200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 </w:t>
            </w:r>
          </w:p>
        </w:tc>
      </w:tr>
      <w:tr>
        <w:trPr/>
        <w:tc>
          <w:tcPr>
            <w:tcW w:w="2001" w:type="dxa"/>
            <w:tcBorders/>
            <w:vAlign w:val="center"/>
          </w:tcPr>
          <w:p>
            <w:pPr>
              <w:pStyle w:val="TableContents"/>
              <w:bidi w:val="0"/>
              <w:spacing w:before="0" w:after="283"/>
              <w:jc w:val="center"/>
              <w:rPr/>
            </w:pPr>
            <w:r>
              <w:rPr/>
              <w:t> </w:t>
            </w:r>
          </w:p>
        </w:tc>
        <w:tc>
          <w:tcPr>
            <w:tcW w:w="4873" w:type="dxa"/>
            <w:gridSpan w:val="11"/>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3278" w:type="dxa"/>
            <w:gridSpan w:val="7"/>
            <w:tcBorders/>
            <w:vAlign w:val="center"/>
          </w:tcPr>
          <w:p>
            <w:pPr>
              <w:pStyle w:val="TableContents"/>
              <w:bidi w:val="0"/>
              <w:spacing w:before="0" w:after="283"/>
              <w:jc w:val="center"/>
              <w:rPr>
                <w:b/>
              </w:rPr>
            </w:pPr>
            <w:r>
              <w:rPr>
                <w:b/>
              </w:rPr>
              <w:t>Six fiscal months ended</w:t>
            </w:r>
          </w:p>
        </w:tc>
      </w:tr>
      <w:tr>
        <w:trPr/>
        <w:tc>
          <w:tcPr>
            <w:tcW w:w="2001"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42" w:type="dxa"/>
            <w:tcBorders>
              <w:bottom w:val="single" w:sz="2" w:space="0" w:color="000000"/>
            </w:tcBorders>
            <w:tcMar>
              <w:bottom w:w="28" w:type="dxa"/>
            </w:tcMar>
            <w:vAlign w:val="center"/>
          </w:tcPr>
          <w:p>
            <w:pPr>
              <w:pStyle w:val="TableContents"/>
              <w:bidi w:val="0"/>
              <w:spacing w:before="0" w:after="283"/>
              <w:jc w:val="center"/>
              <w:rPr>
                <w:b/>
              </w:rPr>
            </w:pPr>
            <w:r>
              <w:rPr>
                <w:b/>
              </w:rPr>
              <w:t>April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91"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1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33"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92" w:type="dxa"/>
            <w:tcBorders/>
            <w:vAlign w:val="center"/>
          </w:tcPr>
          <w:p>
            <w:pPr>
              <w:pStyle w:val="TableContents"/>
              <w:bidi w:val="0"/>
              <w:spacing w:before="0" w:after="283"/>
              <w:jc w:val="center"/>
              <w:rPr/>
            </w:pPr>
            <w:r>
              <w:rPr/>
              <w:t> </w:t>
            </w:r>
          </w:p>
        </w:tc>
      </w:tr>
      <w:tr>
        <w:trPr/>
        <w:tc>
          <w:tcPr>
            <w:tcW w:w="2001"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104,189</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42" w:type="dxa"/>
            <w:tcBorders/>
            <w:shd w:fill="CCEEFF" w:val="clear"/>
            <w:vAlign w:val="center"/>
          </w:tcPr>
          <w:p>
            <w:pPr>
              <w:pStyle w:val="TableContents"/>
              <w:bidi w:val="0"/>
              <w:spacing w:before="0" w:after="283"/>
              <w:jc w:val="right"/>
              <w:rPr/>
            </w:pPr>
            <w:r>
              <w:rPr/>
              <w:t>92,225</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91" w:type="dxa"/>
            <w:tcBorders/>
            <w:shd w:fill="CCEEFF" w:val="clear"/>
            <w:vAlign w:val="center"/>
          </w:tcPr>
          <w:p>
            <w:pPr>
              <w:pStyle w:val="TableContents"/>
              <w:bidi w:val="0"/>
              <w:spacing w:before="0" w:after="283"/>
              <w:jc w:val="right"/>
              <w:rPr/>
            </w:pPr>
            <w:r>
              <w:rPr/>
              <w:t>95,675</w:t>
            </w:r>
          </w:p>
        </w:tc>
        <w:tc>
          <w:tcPr>
            <w:tcW w:w="24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115" w:type="dxa"/>
            <w:tcBorders/>
            <w:shd w:fill="CCEEFF" w:val="clear"/>
            <w:vAlign w:val="center"/>
          </w:tcPr>
          <w:p>
            <w:pPr>
              <w:pStyle w:val="TableContents"/>
              <w:bidi w:val="0"/>
              <w:spacing w:before="0" w:after="283"/>
              <w:jc w:val="right"/>
              <w:rPr/>
            </w:pPr>
            <w:r>
              <w:rPr/>
              <w:t>196,414</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179,796</w:t>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2001"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right"/>
              <w:rPr/>
            </w:pPr>
            <w:r>
              <w:rPr/>
              <w:t>31.1</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2" w:type="dxa"/>
            <w:tcBorders/>
            <w:vAlign w:val="center"/>
          </w:tcPr>
          <w:p>
            <w:pPr>
              <w:pStyle w:val="TableContents"/>
              <w:bidi w:val="0"/>
              <w:spacing w:before="0" w:after="283"/>
              <w:jc w:val="right"/>
              <w:rPr/>
            </w:pPr>
            <w:r>
              <w:rPr/>
              <w:t>31.8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91" w:type="dxa"/>
            <w:tcBorders/>
            <w:vAlign w:val="center"/>
          </w:tcPr>
          <w:p>
            <w:pPr>
              <w:pStyle w:val="TableContents"/>
              <w:bidi w:val="0"/>
              <w:spacing w:before="0" w:after="283"/>
              <w:jc w:val="right"/>
              <w:rPr/>
            </w:pPr>
            <w:r>
              <w:rPr/>
              <w:t>28.0</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right"/>
              <w:rPr/>
            </w:pPr>
            <w:r>
              <w:rPr/>
              <w:t>31.4</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33" w:type="dxa"/>
            <w:tcBorders/>
            <w:vAlign w:val="center"/>
          </w:tcPr>
          <w:p>
            <w:pPr>
              <w:pStyle w:val="TableContents"/>
              <w:bidi w:val="0"/>
              <w:spacing w:before="0" w:after="283"/>
              <w:jc w:val="right"/>
              <w:rPr/>
            </w:pPr>
            <w:r>
              <w:rPr/>
              <w:t>24.7</w:t>
            </w:r>
          </w:p>
        </w:tc>
        <w:tc>
          <w:tcPr>
            <w:tcW w:w="292" w:type="dxa"/>
            <w:tcBorders/>
            <w:vAlign w:val="center"/>
          </w:tcPr>
          <w:p>
            <w:pPr>
              <w:pStyle w:val="TableContents"/>
              <w:bidi w:val="0"/>
              <w:spacing w:before="0" w:after="283"/>
              <w:jc w:val="left"/>
              <w:rPr/>
            </w:pPr>
            <w:r>
              <w:rPr/>
              <w:t>%</w:t>
            </w:r>
          </w:p>
        </w:tc>
      </w:tr>
      <w:tr>
        <w:trPr/>
        <w:tc>
          <w:tcPr>
            <w:tcW w:w="2001"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27.1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42" w:type="dxa"/>
            <w:tcBorders/>
            <w:shd w:fill="CCEEFF" w:val="clear"/>
            <w:vAlign w:val="center"/>
          </w:tcPr>
          <w:p>
            <w:pPr>
              <w:pStyle w:val="TableContents"/>
              <w:bidi w:val="0"/>
              <w:spacing w:before="0" w:after="283"/>
              <w:jc w:val="right"/>
              <w:rPr/>
            </w:pPr>
            <w:r>
              <w:rPr/>
              <w:t>27.4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91" w:type="dxa"/>
            <w:tcBorders/>
            <w:shd w:fill="CCEEFF" w:val="clear"/>
            <w:vAlign w:val="center"/>
          </w:tcPr>
          <w:p>
            <w:pPr>
              <w:pStyle w:val="TableContents"/>
              <w:bidi w:val="0"/>
              <w:spacing w:before="0" w:after="283"/>
              <w:jc w:val="right"/>
              <w:rPr/>
            </w:pPr>
            <w:r>
              <w:rPr/>
              <w:t>24.0</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115" w:type="dxa"/>
            <w:tcBorders/>
            <w:shd w:fill="CCEEFF" w:val="clear"/>
            <w:vAlign w:val="center"/>
          </w:tcPr>
          <w:p>
            <w:pPr>
              <w:pStyle w:val="TableContents"/>
              <w:bidi w:val="0"/>
              <w:spacing w:before="0" w:after="283"/>
              <w:jc w:val="right"/>
              <w:rPr/>
            </w:pPr>
            <w:r>
              <w:rPr/>
              <w:t>27.3</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20.5</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change in net revenues versus the comparable prior periods was as follows </w:t>
      </w:r>
      <w:r>
        <w:rPr>
          <w:rFonts w:ascii="Times New Roman" w:hAnsi="Times New Roman"/>
          <w:i/>
          <w:color w:val="000000"/>
          <w:sz w:val="24"/>
        </w:rPr>
        <w:t>(dollars 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9984" w:type="dxa"/>
        <w:jc w:val="left"/>
        <w:tblInd w:w="0" w:type="dxa"/>
        <w:tblLayout w:type="fixed"/>
        <w:tblCellMar>
          <w:top w:w="0" w:type="dxa"/>
          <w:left w:w="0" w:type="dxa"/>
          <w:bottom w:w="0" w:type="dxa"/>
          <w:right w:w="0" w:type="dxa"/>
        </w:tblCellMar>
      </w:tblPr>
      <w:tblGrid>
        <w:gridCol w:w="1400"/>
        <w:gridCol w:w="90"/>
        <w:gridCol w:w="170"/>
        <w:gridCol w:w="2435"/>
        <w:gridCol w:w="90"/>
        <w:gridCol w:w="90"/>
        <w:gridCol w:w="90"/>
        <w:gridCol w:w="1070"/>
        <w:gridCol w:w="245"/>
        <w:gridCol w:w="53"/>
        <w:gridCol w:w="53"/>
        <w:gridCol w:w="170"/>
        <w:gridCol w:w="2435"/>
        <w:gridCol w:w="90"/>
        <w:gridCol w:w="53"/>
        <w:gridCol w:w="90"/>
        <w:gridCol w:w="1070"/>
        <w:gridCol w:w="290"/>
      </w:tblGrid>
      <w:tr>
        <w:trPr/>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Fiscal quarter ended</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Six fiscal months ended</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4190" w:type="dxa"/>
            <w:gridSpan w:val="7"/>
            <w:tcBorders/>
            <w:vAlign w:val="center"/>
          </w:tcPr>
          <w:p>
            <w:pPr>
              <w:pStyle w:val="TableContents"/>
              <w:bidi w:val="0"/>
              <w:spacing w:before="0" w:after="283"/>
              <w:jc w:val="center"/>
              <w:rPr>
                <w:b/>
              </w:rPr>
            </w:pPr>
            <w:r>
              <w:rPr>
                <w:b/>
              </w:rPr>
              <w:t>July 4, 2026</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4198" w:type="dxa"/>
            <w:gridSpan w:val="7"/>
            <w:tcBorders/>
            <w:vAlign w:val="center"/>
          </w:tcPr>
          <w:p>
            <w:pPr>
              <w:pStyle w:val="TableContents"/>
              <w:bidi w:val="0"/>
              <w:spacing w:before="0" w:after="283"/>
              <w:jc w:val="center"/>
              <w:rPr>
                <w:b/>
              </w:rPr>
            </w:pPr>
            <w:r>
              <w:rPr>
                <w:b/>
              </w:rPr>
              <w:t>July 4, 2026</w:t>
            </w:r>
          </w:p>
        </w:tc>
      </w:tr>
      <w:tr>
        <w:trPr/>
        <w:tc>
          <w:tcPr>
            <w:tcW w:w="14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center"/>
              <w:rPr/>
            </w:pPr>
            <w:r>
              <w:rPr/>
              <w:t> </w:t>
            </w:r>
          </w:p>
        </w:tc>
      </w:tr>
      <w:tr>
        <w:trPr/>
        <w:tc>
          <w:tcPr>
            <w:tcW w:w="1400" w:type="dxa"/>
            <w:tcBorders/>
            <w:shd w:fill="CCEEFF" w:val="clear"/>
            <w:vAlign w:val="center"/>
          </w:tcPr>
          <w:p>
            <w:pPr>
              <w:pStyle w:val="TableContents"/>
              <w:bidi w:val="0"/>
              <w:spacing w:before="0" w:after="283"/>
              <w:jc w:val="right"/>
              <w:rPr/>
            </w:pPr>
            <w:r>
              <w:rPr/>
              <w:t>April 4,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11,964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13.0</w:t>
            </w:r>
          </w:p>
        </w:tc>
        <w:tc>
          <w:tcPr>
            <w:tcW w:w="245"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n/a</w:t>
            </w:r>
          </w:p>
        </w:tc>
        <w:tc>
          <w:tcPr>
            <w:tcW w:w="29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right"/>
              <w:rPr/>
            </w:pPr>
            <w:r>
              <w:rPr/>
              <w:t>June 28,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8,514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8.9</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16,618</w:t>
            </w:r>
          </w:p>
        </w:tc>
        <w:tc>
          <w:tcPr>
            <w:tcW w:w="9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9.2</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Changes in Inductors segment net revenues were attributable to the following:</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840"/>
        <w:gridCol w:w="90"/>
        <w:gridCol w:w="1662"/>
        <w:gridCol w:w="308"/>
        <w:gridCol w:w="90"/>
        <w:gridCol w:w="90"/>
        <w:gridCol w:w="2145"/>
        <w:gridCol w:w="308"/>
        <w:gridCol w:w="53"/>
        <w:gridCol w:w="90"/>
        <w:gridCol w:w="2172"/>
        <w:gridCol w:w="357"/>
      </w:tblGrid>
      <w:tr>
        <w:trPr/>
        <w:tc>
          <w:tcPr>
            <w:tcW w:w="284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662" w:type="dxa"/>
            <w:tcBorders/>
            <w:shd w:fill="CCEEFF" w:val="clear"/>
            <w:vAlign w:val="center"/>
          </w:tcPr>
          <w:p>
            <w:pPr>
              <w:pStyle w:val="TableContents"/>
              <w:bidi w:val="0"/>
              <w:spacing w:before="0" w:after="283"/>
              <w:jc w:val="left"/>
              <w:rPr>
                <w:sz w:val="4"/>
                <w:szCs w:val="4"/>
              </w:rPr>
            </w:pPr>
            <w:r>
              <w:rPr>
                <w:sz w:val="4"/>
                <w:szCs w:val="4"/>
              </w:rPr>
            </w:r>
          </w:p>
        </w:tc>
        <w:tc>
          <w:tcPr>
            <w:tcW w:w="308"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145" w:type="dxa"/>
            <w:tcBorders/>
            <w:shd w:fill="CCEEFF" w:val="clear"/>
            <w:vAlign w:val="center"/>
          </w:tcPr>
          <w:p>
            <w:pPr>
              <w:pStyle w:val="TableContents"/>
              <w:bidi w:val="0"/>
              <w:spacing w:before="0" w:after="283"/>
              <w:jc w:val="left"/>
              <w:rPr>
                <w:sz w:val="4"/>
                <w:szCs w:val="4"/>
              </w:rPr>
            </w:pPr>
            <w:r>
              <w:rPr>
                <w:sz w:val="4"/>
                <w:szCs w:val="4"/>
              </w:rPr>
            </w:r>
          </w:p>
        </w:tc>
        <w:tc>
          <w:tcPr>
            <w:tcW w:w="308"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72" w:type="dxa"/>
            <w:tcBorders/>
            <w:shd w:fill="CCEEFF" w:val="clear"/>
            <w:vAlign w:val="center"/>
          </w:tcPr>
          <w:p>
            <w:pPr>
              <w:pStyle w:val="TableContents"/>
              <w:bidi w:val="0"/>
              <w:spacing w:before="0" w:after="283"/>
              <w:jc w:val="left"/>
              <w:rPr>
                <w:sz w:val="4"/>
                <w:szCs w:val="4"/>
              </w:rPr>
            </w:pPr>
            <w:r>
              <w:rPr>
                <w:sz w:val="4"/>
                <w:szCs w:val="4"/>
              </w:rPr>
            </w:r>
          </w:p>
        </w:tc>
        <w:tc>
          <w:tcPr>
            <w:tcW w:w="357" w:type="dxa"/>
            <w:tcBorders/>
            <w:shd w:fill="CCEEFF" w:val="cle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662" w:type="dxa"/>
            <w:tcBorders>
              <w:bottom w:val="single" w:sz="2" w:space="0" w:color="000000"/>
            </w:tcBorders>
            <w:tcMar>
              <w:bottom w:w="28" w:type="dxa"/>
            </w:tcMar>
            <w:vAlign w:val="center"/>
          </w:tcPr>
          <w:p>
            <w:pPr>
              <w:pStyle w:val="TableContents"/>
              <w:bidi w:val="0"/>
              <w:spacing w:before="0" w:after="283"/>
              <w:jc w:val="center"/>
              <w:rPr>
                <w:b/>
              </w:rPr>
            </w:pPr>
            <w:r>
              <w:rPr>
                <w:b/>
              </w:rPr>
              <w:t>vs. Prior Quarter</w:t>
            </w:r>
          </w:p>
        </w:tc>
        <w:tc>
          <w:tcPr>
            <w:tcW w:w="30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45" w:type="dxa"/>
            <w:tcBorders>
              <w:bottom w:val="single" w:sz="2" w:space="0" w:color="000000"/>
            </w:tcBorders>
            <w:tcMar>
              <w:bottom w:w="28" w:type="dxa"/>
            </w:tcMar>
            <w:vAlign w:val="center"/>
          </w:tcPr>
          <w:p>
            <w:pPr>
              <w:pStyle w:val="TableContents"/>
              <w:bidi w:val="0"/>
              <w:spacing w:before="0" w:after="283"/>
              <w:jc w:val="center"/>
              <w:rPr>
                <w:b/>
              </w:rPr>
            </w:pPr>
            <w:r>
              <w:rPr>
                <w:b/>
              </w:rPr>
              <w:t>vs. Prior Year Quarter</w:t>
            </w:r>
          </w:p>
        </w:tc>
        <w:tc>
          <w:tcPr>
            <w:tcW w:w="308"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center"/>
              <w:rPr/>
            </w:pPr>
            <w:r>
              <w:rPr/>
              <w:t> </w:t>
            </w:r>
          </w:p>
        </w:tc>
        <w:tc>
          <w:tcPr>
            <w:tcW w:w="2172" w:type="dxa"/>
            <w:tcBorders>
              <w:bottom w:val="single" w:sz="2" w:space="0" w:color="000000"/>
            </w:tcBorders>
            <w:tcMar>
              <w:bottom w:w="28" w:type="dxa"/>
            </w:tcMar>
            <w:vAlign w:val="center"/>
          </w:tcPr>
          <w:p>
            <w:pPr>
              <w:pStyle w:val="TableContents"/>
              <w:bidi w:val="0"/>
              <w:spacing w:before="0" w:after="283"/>
              <w:jc w:val="center"/>
              <w:rPr>
                <w:b/>
              </w:rPr>
            </w:pPr>
            <w:r>
              <w:rPr>
                <w:b/>
              </w:rPr>
              <w:t>vs. Prior Year-to-Date</w:t>
            </w:r>
          </w:p>
        </w:tc>
        <w:tc>
          <w:tcPr>
            <w:tcW w:w="357" w:type="dxa"/>
            <w:tcBorders/>
            <w:vAlign w:val="center"/>
          </w:tcPr>
          <w:p>
            <w:pPr>
              <w:pStyle w:val="TableContents"/>
              <w:bidi w:val="0"/>
              <w:spacing w:before="0" w:after="283"/>
              <w:jc w:val="center"/>
              <w:rPr/>
            </w:pPr>
            <w:r>
              <w:rPr/>
              <w:t> </w:t>
            </w:r>
          </w:p>
        </w:tc>
      </w:tr>
      <w:tr>
        <w:trPr/>
        <w:tc>
          <w:tcPr>
            <w:tcW w:w="2840" w:type="dxa"/>
            <w:tcBorders/>
            <w:shd w:fill="CCEEFF" w:val="clear"/>
            <w:vAlign w:val="center"/>
          </w:tcPr>
          <w:p>
            <w:pPr>
              <w:pStyle w:val="TableContents"/>
              <w:bidi w:val="0"/>
              <w:spacing w:before="0" w:after="283"/>
              <w:jc w:val="left"/>
              <w:rPr>
                <w:b/>
              </w:rPr>
            </w:pPr>
            <w:r>
              <w:rPr>
                <w:b/>
              </w:rPr>
              <w:t>Change attributable to:</w:t>
            </w:r>
          </w:p>
        </w:tc>
        <w:tc>
          <w:tcPr>
            <w:tcW w:w="90" w:type="dxa"/>
            <w:tcBorders/>
            <w:shd w:fill="CCEEFF" w:val="clear"/>
            <w:vAlign w:val="center"/>
          </w:tcPr>
          <w:p>
            <w:pPr>
              <w:pStyle w:val="TableContents"/>
              <w:bidi w:val="0"/>
              <w:spacing w:before="0" w:after="283"/>
              <w:jc w:val="center"/>
              <w:rPr/>
            </w:pPr>
            <w:r>
              <w:rPr/>
              <w:t> </w:t>
            </w:r>
          </w:p>
        </w:tc>
        <w:tc>
          <w:tcPr>
            <w:tcW w:w="1662" w:type="dxa"/>
            <w:tcBorders/>
            <w:shd w:fill="CCEEFF" w:val="clear"/>
            <w:vAlign w:val="center"/>
          </w:tcPr>
          <w:p>
            <w:pPr>
              <w:pStyle w:val="TableContents"/>
              <w:bidi w:val="0"/>
              <w:spacing w:before="0" w:after="283"/>
              <w:jc w:val="left"/>
              <w:rPr>
                <w:sz w:val="4"/>
                <w:szCs w:val="4"/>
              </w:rPr>
            </w:pPr>
            <w:r>
              <w:rPr>
                <w:sz w:val="4"/>
                <w:szCs w:val="4"/>
              </w:rPr>
            </w:r>
          </w:p>
        </w:tc>
        <w:tc>
          <w:tcPr>
            <w:tcW w:w="308"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center"/>
              <w:rPr/>
            </w:pPr>
            <w:r>
              <w:rPr/>
              <w:t> </w:t>
            </w:r>
          </w:p>
        </w:tc>
        <w:tc>
          <w:tcPr>
            <w:tcW w:w="2145" w:type="dxa"/>
            <w:tcBorders/>
            <w:shd w:fill="CCEEFF" w:val="clear"/>
            <w:vAlign w:val="center"/>
          </w:tcPr>
          <w:p>
            <w:pPr>
              <w:pStyle w:val="TableContents"/>
              <w:bidi w:val="0"/>
              <w:spacing w:before="0" w:after="283"/>
              <w:jc w:val="left"/>
              <w:rPr>
                <w:sz w:val="4"/>
                <w:szCs w:val="4"/>
              </w:rPr>
            </w:pPr>
            <w:r>
              <w:rPr>
                <w:sz w:val="4"/>
                <w:szCs w:val="4"/>
              </w:rPr>
            </w:r>
          </w:p>
        </w:tc>
        <w:tc>
          <w:tcPr>
            <w:tcW w:w="308" w:type="dxa"/>
            <w:tcBorders/>
            <w:shd w:fill="CCEEFF" w:val="clear"/>
            <w:vAlign w:val="center"/>
          </w:tcPr>
          <w:p>
            <w:pPr>
              <w:pStyle w:val="TableContents"/>
              <w:bidi w:val="0"/>
              <w:spacing w:before="0" w:after="283"/>
              <w:jc w:val="center"/>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center"/>
              <w:rPr/>
            </w:pPr>
            <w:r>
              <w:rPr/>
              <w:t> </w:t>
            </w:r>
          </w:p>
        </w:tc>
        <w:tc>
          <w:tcPr>
            <w:tcW w:w="2172" w:type="dxa"/>
            <w:tcBorders/>
            <w:shd w:fill="CCEEFF" w:val="clear"/>
            <w:vAlign w:val="center"/>
          </w:tcPr>
          <w:p>
            <w:pPr>
              <w:pStyle w:val="TableContents"/>
              <w:bidi w:val="0"/>
              <w:spacing w:before="0" w:after="283"/>
              <w:jc w:val="left"/>
              <w:rPr>
                <w:sz w:val="4"/>
                <w:szCs w:val="4"/>
              </w:rPr>
            </w:pPr>
            <w:r>
              <w:rPr>
                <w:sz w:val="4"/>
                <w:szCs w:val="4"/>
              </w:rPr>
            </w:r>
          </w:p>
        </w:tc>
        <w:tc>
          <w:tcPr>
            <w:tcW w:w="357" w:type="dxa"/>
            <w:tcBorders/>
            <w:shd w:fill="CCEEFF" w:val="clear"/>
            <w:vAlign w:val="center"/>
          </w:tcPr>
          <w:p>
            <w:pPr>
              <w:pStyle w:val="TableContents"/>
              <w:bidi w:val="0"/>
              <w:spacing w:before="0" w:after="283"/>
              <w:jc w:val="center"/>
              <w:rPr/>
            </w:pPr>
            <w:r>
              <w:rPr/>
              <w:t> </w:t>
            </w:r>
          </w:p>
        </w:tc>
      </w:tr>
      <w:tr>
        <w:trPr/>
        <w:tc>
          <w:tcPr>
            <w:tcW w:w="2840" w:type="dxa"/>
            <w:tcBorders/>
            <w:vAlign w:val="center"/>
          </w:tcPr>
          <w:p>
            <w:pPr>
              <w:pStyle w:val="TableContents"/>
              <w:bidi w:val="0"/>
              <w:spacing w:before="0" w:after="283"/>
              <w:jc w:val="left"/>
              <w:rPr/>
            </w:pPr>
            <w:r>
              <w:rPr/>
              <w:t>Increase in volume</w:t>
            </w:r>
          </w:p>
        </w:tc>
        <w:tc>
          <w:tcPr>
            <w:tcW w:w="90" w:type="dxa"/>
            <w:tcBorders/>
            <w:vAlign w:val="center"/>
          </w:tcPr>
          <w:p>
            <w:pPr>
              <w:pStyle w:val="TableContents"/>
              <w:bidi w:val="0"/>
              <w:spacing w:before="0" w:after="283"/>
              <w:jc w:val="left"/>
              <w:rPr/>
            </w:pPr>
            <w:r>
              <w:rPr/>
              <w:t> </w:t>
            </w:r>
          </w:p>
        </w:tc>
        <w:tc>
          <w:tcPr>
            <w:tcW w:w="1662" w:type="dxa"/>
            <w:tcBorders/>
            <w:vAlign w:val="center"/>
          </w:tcPr>
          <w:p>
            <w:pPr>
              <w:pStyle w:val="TableContents"/>
              <w:bidi w:val="0"/>
              <w:spacing w:before="0" w:after="283"/>
              <w:jc w:val="right"/>
              <w:rPr/>
            </w:pPr>
            <w:r>
              <w:rPr/>
              <w:t>11.4</w:t>
            </w:r>
          </w:p>
        </w:tc>
        <w:tc>
          <w:tcPr>
            <w:tcW w:w="30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5" w:type="dxa"/>
            <w:tcBorders/>
            <w:vAlign w:val="center"/>
          </w:tcPr>
          <w:p>
            <w:pPr>
              <w:pStyle w:val="TableContents"/>
              <w:bidi w:val="0"/>
              <w:spacing w:before="0" w:after="283"/>
              <w:jc w:val="right"/>
              <w:rPr/>
            </w:pPr>
            <w:r>
              <w:rPr/>
              <w:t>13.2</w:t>
            </w:r>
          </w:p>
        </w:tc>
        <w:tc>
          <w:tcPr>
            <w:tcW w:w="308"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72" w:type="dxa"/>
            <w:tcBorders/>
            <w:vAlign w:val="center"/>
          </w:tcPr>
          <w:p>
            <w:pPr>
              <w:pStyle w:val="TableContents"/>
              <w:bidi w:val="0"/>
              <w:spacing w:before="0" w:after="283"/>
              <w:jc w:val="right"/>
              <w:rPr/>
            </w:pPr>
            <w:r>
              <w:rPr/>
              <w:t>11.2</w:t>
            </w:r>
          </w:p>
        </w:tc>
        <w:tc>
          <w:tcPr>
            <w:tcW w:w="357" w:type="dxa"/>
            <w:tcBorders/>
            <w:vAlign w:val="center"/>
          </w:tcPr>
          <w:p>
            <w:pPr>
              <w:pStyle w:val="TableContents"/>
              <w:bidi w:val="0"/>
              <w:spacing w:before="0" w:after="283"/>
              <w:jc w:val="left"/>
              <w:rPr/>
            </w:pPr>
            <w:r>
              <w:rPr/>
              <w:t>%</w:t>
            </w:r>
          </w:p>
        </w:tc>
      </w:tr>
      <w:tr>
        <w:trPr/>
        <w:tc>
          <w:tcPr>
            <w:tcW w:w="2840" w:type="dxa"/>
            <w:tcBorders/>
            <w:shd w:fill="CCEEFF" w:val="clear"/>
            <w:vAlign w:val="center"/>
          </w:tcPr>
          <w:p>
            <w:pPr>
              <w:pStyle w:val="TableContents"/>
              <w:bidi w:val="0"/>
              <w:spacing w:before="0" w:after="283"/>
              <w:jc w:val="left"/>
              <w:rPr/>
            </w:pPr>
            <w:r>
              <w:rPr/>
              <w:t>Change in average selling prices</w:t>
            </w:r>
          </w:p>
        </w:tc>
        <w:tc>
          <w:tcPr>
            <w:tcW w:w="90" w:type="dxa"/>
            <w:tcBorders/>
            <w:shd w:fill="CCEEFF" w:val="clear"/>
            <w:vAlign w:val="center"/>
          </w:tcPr>
          <w:p>
            <w:pPr>
              <w:pStyle w:val="TableContents"/>
              <w:bidi w:val="0"/>
              <w:spacing w:before="0" w:after="283"/>
              <w:jc w:val="left"/>
              <w:rPr/>
            </w:pPr>
            <w:r>
              <w:rPr/>
              <w:t> </w:t>
            </w:r>
          </w:p>
        </w:tc>
        <w:tc>
          <w:tcPr>
            <w:tcW w:w="1662" w:type="dxa"/>
            <w:tcBorders/>
            <w:shd w:fill="CCEEFF" w:val="clear"/>
            <w:vAlign w:val="center"/>
          </w:tcPr>
          <w:p>
            <w:pPr>
              <w:pStyle w:val="TableContents"/>
              <w:bidi w:val="0"/>
              <w:spacing w:before="0" w:after="283"/>
              <w:jc w:val="right"/>
              <w:rPr/>
            </w:pPr>
            <w:r>
              <w:rPr/>
              <w:t>1.5</w:t>
            </w:r>
          </w:p>
        </w:tc>
        <w:tc>
          <w:tcPr>
            <w:tcW w:w="30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5" w:type="dxa"/>
            <w:tcBorders/>
            <w:shd w:fill="CCEEFF" w:val="clear"/>
            <w:vAlign w:val="center"/>
          </w:tcPr>
          <w:p>
            <w:pPr>
              <w:pStyle w:val="TableContents"/>
              <w:bidi w:val="0"/>
              <w:spacing w:before="0" w:after="283"/>
              <w:jc w:val="right"/>
              <w:rPr/>
            </w:pPr>
            <w:r>
              <w:rPr/>
              <w:t>(4.2</w:t>
            </w:r>
          </w:p>
        </w:tc>
        <w:tc>
          <w:tcPr>
            <w:tcW w:w="308"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72" w:type="dxa"/>
            <w:tcBorders/>
            <w:shd w:fill="CCEEFF" w:val="clear"/>
            <w:vAlign w:val="center"/>
          </w:tcPr>
          <w:p>
            <w:pPr>
              <w:pStyle w:val="TableContents"/>
              <w:bidi w:val="0"/>
              <w:spacing w:before="0" w:after="283"/>
              <w:jc w:val="right"/>
              <w:rPr/>
            </w:pPr>
            <w:r>
              <w:rPr/>
              <w:t>(2.8</w:t>
            </w:r>
          </w:p>
        </w:tc>
        <w:tc>
          <w:tcPr>
            <w:tcW w:w="357" w:type="dxa"/>
            <w:tcBorders/>
            <w:shd w:fill="CCEEFF" w:val="clear"/>
            <w:vAlign w:val="center"/>
          </w:tcPr>
          <w:p>
            <w:pPr>
              <w:pStyle w:val="TableContents"/>
              <w:bidi w:val="0"/>
              <w:spacing w:before="0" w:after="283"/>
              <w:jc w:val="left"/>
              <w:rPr/>
            </w:pPr>
            <w:r>
              <w:rPr/>
              <w:t>)%</w:t>
            </w:r>
          </w:p>
        </w:tc>
      </w:tr>
      <w:tr>
        <w:trPr/>
        <w:tc>
          <w:tcPr>
            <w:tcW w:w="2840" w:type="dxa"/>
            <w:tcBorders/>
            <w:vAlign w:val="center"/>
          </w:tcPr>
          <w:p>
            <w:pPr>
              <w:pStyle w:val="TableContents"/>
              <w:bidi w:val="0"/>
              <w:spacing w:before="0" w:after="283"/>
              <w:jc w:val="left"/>
              <w:rPr/>
            </w:pPr>
            <w:r>
              <w:rPr/>
              <w:t>Foreign currency effects</w:t>
            </w:r>
          </w:p>
        </w:tc>
        <w:tc>
          <w:tcPr>
            <w:tcW w:w="90" w:type="dxa"/>
            <w:tcBorders/>
            <w:vAlign w:val="center"/>
          </w:tcPr>
          <w:p>
            <w:pPr>
              <w:pStyle w:val="TableContents"/>
              <w:bidi w:val="0"/>
              <w:spacing w:before="0" w:after="283"/>
              <w:jc w:val="left"/>
              <w:rPr/>
            </w:pPr>
            <w:r>
              <w:rPr/>
              <w:t> </w:t>
            </w:r>
          </w:p>
        </w:tc>
        <w:tc>
          <w:tcPr>
            <w:tcW w:w="1662" w:type="dxa"/>
            <w:tcBorders/>
            <w:vAlign w:val="center"/>
          </w:tcPr>
          <w:p>
            <w:pPr>
              <w:pStyle w:val="TableContents"/>
              <w:bidi w:val="0"/>
              <w:spacing w:before="0" w:after="283"/>
              <w:jc w:val="right"/>
              <w:rPr/>
            </w:pPr>
            <w:r>
              <w:rPr/>
              <w:t>(0.1</w:t>
            </w:r>
          </w:p>
        </w:tc>
        <w:tc>
          <w:tcPr>
            <w:tcW w:w="30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5" w:type="dxa"/>
            <w:tcBorders/>
            <w:vAlign w:val="center"/>
          </w:tcPr>
          <w:p>
            <w:pPr>
              <w:pStyle w:val="TableContents"/>
              <w:bidi w:val="0"/>
              <w:spacing w:before="0" w:after="283"/>
              <w:jc w:val="right"/>
              <w:rPr/>
            </w:pPr>
            <w:r>
              <w:rPr/>
              <w:t>0.4</w:t>
            </w:r>
          </w:p>
        </w:tc>
        <w:tc>
          <w:tcPr>
            <w:tcW w:w="308"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72" w:type="dxa"/>
            <w:tcBorders/>
            <w:vAlign w:val="center"/>
          </w:tcPr>
          <w:p>
            <w:pPr>
              <w:pStyle w:val="TableContents"/>
              <w:bidi w:val="0"/>
              <w:spacing w:before="0" w:after="283"/>
              <w:jc w:val="right"/>
              <w:rPr/>
            </w:pPr>
            <w:r>
              <w:rPr/>
              <w:t>1.1</w:t>
            </w:r>
          </w:p>
        </w:tc>
        <w:tc>
          <w:tcPr>
            <w:tcW w:w="357" w:type="dxa"/>
            <w:tcBorders/>
            <w:vAlign w:val="center"/>
          </w:tcPr>
          <w:p>
            <w:pPr>
              <w:pStyle w:val="TableContents"/>
              <w:bidi w:val="0"/>
              <w:spacing w:before="0" w:after="283"/>
              <w:jc w:val="left"/>
              <w:rPr/>
            </w:pPr>
            <w:r>
              <w:rPr/>
              <w:t>%</w:t>
            </w:r>
          </w:p>
        </w:tc>
      </w:tr>
      <w:tr>
        <w:trPr/>
        <w:tc>
          <w:tcPr>
            <w:tcW w:w="2840" w:type="dxa"/>
            <w:tcBorders/>
            <w:shd w:fill="CCEEFF" w:val="clear"/>
            <w:vAlign w:val="center"/>
          </w:tcPr>
          <w:p>
            <w:pPr>
              <w:pStyle w:val="TableContents"/>
              <w:bidi w:val="0"/>
              <w:spacing w:before="0" w:after="283"/>
              <w:jc w:val="left"/>
              <w:rPr/>
            </w:pPr>
            <w:r>
              <w:rPr/>
              <w:t>Other</w:t>
            </w:r>
          </w:p>
        </w:tc>
        <w:tc>
          <w:tcPr>
            <w:tcW w:w="90" w:type="dxa"/>
            <w:tcBorders/>
            <w:shd w:fill="CCEEFF" w:val="clear"/>
            <w:vAlign w:val="center"/>
          </w:tcPr>
          <w:p>
            <w:pPr>
              <w:pStyle w:val="TableContents"/>
              <w:bidi w:val="0"/>
              <w:spacing w:before="0" w:after="283"/>
              <w:jc w:val="left"/>
              <w:rPr/>
            </w:pPr>
            <w:r>
              <w:rPr/>
              <w:t> </w:t>
            </w:r>
          </w:p>
        </w:tc>
        <w:tc>
          <w:tcPr>
            <w:tcW w:w="1662" w:type="dxa"/>
            <w:tcBorders>
              <w:bottom w:val="single" w:sz="6" w:space="0" w:color="000000"/>
            </w:tcBorders>
            <w:shd w:fill="CCEEFF" w:val="clear"/>
            <w:tcMar>
              <w:bottom w:w="28" w:type="dxa"/>
            </w:tcMar>
            <w:vAlign w:val="center"/>
          </w:tcPr>
          <w:p>
            <w:pPr>
              <w:pStyle w:val="TableContents"/>
              <w:bidi w:val="0"/>
              <w:spacing w:before="0" w:after="283"/>
              <w:jc w:val="right"/>
              <w:rPr/>
            </w:pPr>
            <w:r>
              <w:rPr/>
              <w:t>0.2</w:t>
            </w:r>
          </w:p>
        </w:tc>
        <w:tc>
          <w:tcPr>
            <w:tcW w:w="308"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5" w:type="dxa"/>
            <w:tcBorders>
              <w:bottom w:val="single" w:sz="6" w:space="0" w:color="000000"/>
            </w:tcBorders>
            <w:shd w:fill="CCEEFF" w:val="clear"/>
            <w:tcMar>
              <w:bottom w:w="28" w:type="dxa"/>
            </w:tcMar>
            <w:vAlign w:val="center"/>
          </w:tcPr>
          <w:p>
            <w:pPr>
              <w:pStyle w:val="TableContents"/>
              <w:bidi w:val="0"/>
              <w:spacing w:before="0" w:after="283"/>
              <w:jc w:val="right"/>
              <w:rPr/>
            </w:pPr>
            <w:r>
              <w:rPr/>
              <w:t>(0.5</w:t>
            </w:r>
          </w:p>
        </w:tc>
        <w:tc>
          <w:tcPr>
            <w:tcW w:w="308" w:type="dxa"/>
            <w:tcBorders/>
            <w:shd w:fill="CCEEFF" w:val="clear"/>
            <w:vAlign w:val="center"/>
          </w:tcPr>
          <w:p>
            <w:pPr>
              <w:pStyle w:val="TableContents"/>
              <w:bidi w:val="0"/>
              <w:spacing w:before="0" w:after="283"/>
              <w:jc w:val="left"/>
              <w:rPr/>
            </w:pPr>
            <w:r>
              <w:rPr/>
              <w: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172" w:type="dxa"/>
            <w:tcBorders>
              <w:bottom w:val="single" w:sz="6" w:space="0" w:color="000000"/>
            </w:tcBorders>
            <w:shd w:fill="CCEEFF" w:val="clear"/>
            <w:tcMar>
              <w:bottom w:w="28" w:type="dxa"/>
            </w:tcMar>
            <w:vAlign w:val="center"/>
          </w:tcPr>
          <w:p>
            <w:pPr>
              <w:pStyle w:val="TableContents"/>
              <w:bidi w:val="0"/>
              <w:spacing w:before="0" w:after="283"/>
              <w:jc w:val="right"/>
              <w:rPr/>
            </w:pPr>
            <w:r>
              <w:rPr/>
              <w:t>(0.3</w:t>
            </w:r>
          </w:p>
        </w:tc>
        <w:tc>
          <w:tcPr>
            <w:tcW w:w="357" w:type="dxa"/>
            <w:tcBorders/>
            <w:shd w:fill="CCEEFF" w:val="clear"/>
            <w:vAlign w:val="center"/>
          </w:tcPr>
          <w:p>
            <w:pPr>
              <w:pStyle w:val="TableContents"/>
              <w:bidi w:val="0"/>
              <w:spacing w:before="0" w:after="283"/>
              <w:jc w:val="left"/>
              <w:rPr/>
            </w:pPr>
            <w:r>
              <w:rPr/>
              <w:t>)%</w:t>
            </w:r>
          </w:p>
        </w:tc>
      </w:tr>
      <w:tr>
        <w:trPr/>
        <w:tc>
          <w:tcPr>
            <w:tcW w:w="2840" w:type="dxa"/>
            <w:tcBorders/>
            <w:vAlign w:val="center"/>
          </w:tcPr>
          <w:p>
            <w:pPr>
              <w:pStyle w:val="TableContents"/>
              <w:bidi w:val="0"/>
              <w:spacing w:before="0" w:after="283"/>
              <w:jc w:val="left"/>
              <w:rPr/>
            </w:pPr>
            <w:r>
              <w:rPr/>
              <w:t>Net change</w:t>
            </w:r>
          </w:p>
        </w:tc>
        <w:tc>
          <w:tcPr>
            <w:tcW w:w="90" w:type="dxa"/>
            <w:tcBorders/>
            <w:vAlign w:val="center"/>
          </w:tcPr>
          <w:p>
            <w:pPr>
              <w:pStyle w:val="TableContents"/>
              <w:bidi w:val="0"/>
              <w:spacing w:before="0" w:after="283"/>
              <w:jc w:val="left"/>
              <w:rPr/>
            </w:pPr>
            <w:r>
              <w:rPr/>
              <w:t> </w:t>
            </w:r>
          </w:p>
        </w:tc>
        <w:tc>
          <w:tcPr>
            <w:tcW w:w="1662" w:type="dxa"/>
            <w:tcBorders>
              <w:bottom w:val="double" w:sz="6" w:space="0" w:color="000000"/>
            </w:tcBorders>
            <w:tcMar>
              <w:bottom w:w="28" w:type="dxa"/>
            </w:tcMar>
            <w:vAlign w:val="center"/>
          </w:tcPr>
          <w:p>
            <w:pPr>
              <w:pStyle w:val="TableContents"/>
              <w:bidi w:val="0"/>
              <w:spacing w:before="0" w:after="283"/>
              <w:jc w:val="right"/>
              <w:rPr/>
            </w:pPr>
            <w:r>
              <w:rPr/>
              <w:t>13.0</w:t>
            </w:r>
          </w:p>
        </w:tc>
        <w:tc>
          <w:tcPr>
            <w:tcW w:w="308"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5" w:type="dxa"/>
            <w:tcBorders>
              <w:bottom w:val="double" w:sz="6" w:space="0" w:color="000000"/>
            </w:tcBorders>
            <w:tcMar>
              <w:bottom w:w="28" w:type="dxa"/>
            </w:tcMar>
            <w:vAlign w:val="center"/>
          </w:tcPr>
          <w:p>
            <w:pPr>
              <w:pStyle w:val="TableContents"/>
              <w:bidi w:val="0"/>
              <w:spacing w:before="0" w:after="283"/>
              <w:jc w:val="right"/>
              <w:rPr/>
            </w:pPr>
            <w:r>
              <w:rPr/>
              <w:t>8.9</w:t>
            </w:r>
          </w:p>
        </w:tc>
        <w:tc>
          <w:tcPr>
            <w:tcW w:w="308"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172" w:type="dxa"/>
            <w:tcBorders>
              <w:bottom w:val="double" w:sz="6" w:space="0" w:color="000000"/>
            </w:tcBorders>
            <w:tcMar>
              <w:bottom w:w="28" w:type="dxa"/>
            </w:tcMar>
            <w:vAlign w:val="center"/>
          </w:tcPr>
          <w:p>
            <w:pPr>
              <w:pStyle w:val="TableContents"/>
              <w:bidi w:val="0"/>
              <w:spacing w:before="0" w:after="283"/>
              <w:jc w:val="right"/>
              <w:rPr/>
            </w:pPr>
            <w:r>
              <w:rPr/>
              <w:t>9.2</w:t>
            </w:r>
          </w:p>
        </w:tc>
        <w:tc>
          <w:tcPr>
            <w:tcW w:w="357"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Net revenues of the Inductors segment increased versus the prior fiscal quarter and prior year periods.  The increase versus the prior fiscal quarter is primarily due to increased sales to customers in nearly all sales channels, end markets, and regions, most significantly distribution customers and customers in the Americas region.  The increases versus the prior year periods are primarily due to increased sales to distribution customers, military and aerospace and healthcare end market customers, and customers in the Americas and Asia regions.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Gross profit margin decreased versus the prior fiscal quarter, but increased versus the prior year periods.  The decrease versus the prior fiscal quarter is primarily due to higher material and labor costs, partially offset by higher sales volume and higher average selling prices.  The increases versus the prior year periods are primarily due to higher sales volume, materials price savings, lower logistics costs, and higher yield, partially offset by lower average selling prices.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Segment operating margin decreased versus the prior fiscal quarter, but increased versus the prior year periods.  The changes are primarily due to changes in gross profit.</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Average selling prices increased versus the prior fiscal quarter, but decreased versus the prior year periods.</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expect long-term growth in this segment, and are continuously expanding manufacturing capacity for certain product lines and evaluating acquisition opportunities, particularly of specialty businesses.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36</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i/>
          <w:color w:val="000000"/>
          <w:sz w:val="24"/>
          <w:u w:val="single"/>
        </w:rPr>
        <w:t>Capacitors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Net revenues, gross profit margins, and segment operating margins of the Capacitors segment were as follows </w:t>
      </w:r>
      <w:r>
        <w:rPr>
          <w:rFonts w:ascii="Times New Roman" w:hAnsi="Times New Roman"/>
          <w:i/>
          <w:color w:val="000000"/>
          <w:sz w:val="24"/>
        </w:rPr>
        <w:t>(dollars in thousands):</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942"/>
        <w:gridCol w:w="170"/>
        <w:gridCol w:w="1098"/>
        <w:gridCol w:w="245"/>
        <w:gridCol w:w="90"/>
        <w:gridCol w:w="170"/>
        <w:gridCol w:w="1163"/>
        <w:gridCol w:w="245"/>
        <w:gridCol w:w="90"/>
        <w:gridCol w:w="170"/>
        <w:gridCol w:w="1210"/>
        <w:gridCol w:w="245"/>
        <w:gridCol w:w="90"/>
        <w:gridCol w:w="170"/>
        <w:gridCol w:w="1098"/>
        <w:gridCol w:w="245"/>
        <w:gridCol w:w="90"/>
        <w:gridCol w:w="170"/>
        <w:gridCol w:w="1210"/>
        <w:gridCol w:w="294"/>
      </w:tblGrid>
      <w:tr>
        <w:trPr/>
        <w:tc>
          <w:tcPr>
            <w:tcW w:w="1942" w:type="dxa"/>
            <w:tcBorders/>
            <w:vAlign w:val="center"/>
          </w:tcPr>
          <w:p>
            <w:pPr>
              <w:pStyle w:val="TableContents"/>
              <w:bidi w:val="0"/>
              <w:spacing w:before="0" w:after="283"/>
              <w:jc w:val="left"/>
              <w:rPr/>
            </w:pPr>
            <w:r>
              <w:rPr/>
              <w:t> </w:t>
            </w:r>
          </w:p>
        </w:tc>
        <w:tc>
          <w:tcPr>
            <w:tcW w:w="4896" w:type="dxa"/>
            <w:gridSpan w:val="11"/>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left"/>
              <w:rPr/>
            </w:pPr>
            <w:r>
              <w:rPr/>
              <w:t> </w:t>
            </w:r>
          </w:p>
        </w:tc>
        <w:tc>
          <w:tcPr>
            <w:tcW w:w="3277" w:type="dxa"/>
            <w:gridSpan w:val="7"/>
            <w:tcBorders/>
            <w:vAlign w:val="center"/>
          </w:tcPr>
          <w:p>
            <w:pPr>
              <w:pStyle w:val="TableContents"/>
              <w:bidi w:val="0"/>
              <w:spacing w:before="0" w:after="283"/>
              <w:jc w:val="center"/>
              <w:rPr>
                <w:b/>
              </w:rPr>
            </w:pPr>
            <w:r>
              <w:rPr>
                <w:b/>
              </w:rPr>
              <w:t>Six fiscal months ended</w:t>
            </w:r>
          </w:p>
        </w:tc>
      </w:tr>
      <w:tr>
        <w:trPr/>
        <w:tc>
          <w:tcPr>
            <w:tcW w:w="1942"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8"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63" w:type="dxa"/>
            <w:tcBorders>
              <w:bottom w:val="single" w:sz="6" w:space="0" w:color="000000"/>
            </w:tcBorders>
            <w:tcMar>
              <w:bottom w:w="28" w:type="dxa"/>
            </w:tcMar>
            <w:vAlign w:val="center"/>
          </w:tcPr>
          <w:p>
            <w:pPr>
              <w:pStyle w:val="TableContents"/>
              <w:bidi w:val="0"/>
              <w:spacing w:before="0" w:after="283"/>
              <w:jc w:val="center"/>
              <w:rPr>
                <w:b/>
              </w:rPr>
            </w:pPr>
            <w:r>
              <w:rPr>
                <w:b/>
              </w:rPr>
              <w:t>April 4,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0"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098" w:type="dxa"/>
            <w:tcBorders>
              <w:bottom w:val="single" w:sz="6"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210" w:type="dxa"/>
            <w:tcBorders>
              <w:bottom w:val="single" w:sz="6" w:space="0" w:color="000000"/>
            </w:tcBorders>
            <w:tcMar>
              <w:bottom w:w="28" w:type="dxa"/>
            </w:tcMar>
            <w:vAlign w:val="center"/>
          </w:tcPr>
          <w:p>
            <w:pPr>
              <w:pStyle w:val="TableContents"/>
              <w:bidi w:val="0"/>
              <w:spacing w:before="0" w:after="283"/>
              <w:jc w:val="center"/>
              <w:rPr>
                <w:b/>
              </w:rPr>
            </w:pPr>
            <w:r>
              <w:rPr>
                <w:b/>
              </w:rPr>
              <w:t>June 28, 2025</w:t>
            </w:r>
          </w:p>
        </w:tc>
        <w:tc>
          <w:tcPr>
            <w:tcW w:w="294" w:type="dxa"/>
            <w:tcBorders/>
            <w:vAlign w:val="center"/>
          </w:tcPr>
          <w:p>
            <w:pPr>
              <w:pStyle w:val="TableContents"/>
              <w:bidi w:val="0"/>
              <w:spacing w:before="0" w:after="283"/>
              <w:jc w:val="left"/>
              <w:rPr/>
            </w:pPr>
            <w:r>
              <w:rPr/>
              <w:t> </w:t>
            </w:r>
          </w:p>
        </w:tc>
      </w:tr>
      <w:tr>
        <w:trPr/>
        <w:tc>
          <w:tcPr>
            <w:tcW w:w="1942" w:type="dxa"/>
            <w:tcBorders/>
            <w:shd w:fill="CCEEFF" w:val="clear"/>
            <w:vAlign w:val="center"/>
          </w:tcPr>
          <w:p>
            <w:pPr>
              <w:pStyle w:val="TableContents"/>
              <w:bidi w:val="0"/>
              <w:spacing w:before="0" w:after="283"/>
              <w:jc w:val="left"/>
              <w:rPr/>
            </w:pPr>
            <w:r>
              <w:rPr/>
              <w:t>Net revenues</w:t>
            </w:r>
          </w:p>
        </w:tc>
        <w:tc>
          <w:tcPr>
            <w:tcW w:w="170"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153,399</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63" w:type="dxa"/>
            <w:tcBorders/>
            <w:shd w:fill="CCEEFF" w:val="clear"/>
            <w:vAlign w:val="center"/>
          </w:tcPr>
          <w:p>
            <w:pPr>
              <w:pStyle w:val="TableContents"/>
              <w:bidi w:val="0"/>
              <w:spacing w:before="0" w:after="283"/>
              <w:jc w:val="right"/>
              <w:rPr/>
            </w:pPr>
            <w:r>
              <w:rPr/>
              <w:t>146,739</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121,112</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300,138</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238,483</w:t>
            </w:r>
          </w:p>
        </w:tc>
        <w:tc>
          <w:tcPr>
            <w:tcW w:w="294" w:type="dxa"/>
            <w:tcBorders/>
            <w:shd w:fill="CCEEFF" w:val="clear"/>
            <w:vAlign w:val="center"/>
          </w:tcPr>
          <w:p>
            <w:pPr>
              <w:pStyle w:val="TableContents"/>
              <w:bidi w:val="0"/>
              <w:spacing w:before="0" w:after="283"/>
              <w:jc w:val="left"/>
              <w:rPr>
                <w:sz w:val="4"/>
                <w:szCs w:val="4"/>
              </w:rPr>
            </w:pPr>
            <w:r>
              <w:rPr>
                <w:sz w:val="4"/>
                <w:szCs w:val="4"/>
              </w:rPr>
            </w:r>
          </w:p>
        </w:tc>
      </w:tr>
      <w:tr>
        <w:trPr/>
        <w:tc>
          <w:tcPr>
            <w:tcW w:w="1942" w:type="dxa"/>
            <w:tcBorders/>
            <w:vAlign w:val="center"/>
          </w:tcPr>
          <w:p>
            <w:pPr>
              <w:pStyle w:val="TableContents"/>
              <w:bidi w:val="0"/>
              <w:spacing w:before="0" w:after="283"/>
              <w:jc w:val="left"/>
              <w:rPr/>
            </w:pPr>
            <w:r>
              <w:rPr/>
              <w:t>Gross profit margin</w:t>
            </w:r>
          </w:p>
        </w:tc>
        <w:tc>
          <w:tcPr>
            <w:tcW w:w="17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right"/>
              <w:rPr/>
            </w:pPr>
            <w:r>
              <w:rPr/>
              <w:t>25.9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63" w:type="dxa"/>
            <w:tcBorders/>
            <w:vAlign w:val="center"/>
          </w:tcPr>
          <w:p>
            <w:pPr>
              <w:pStyle w:val="TableContents"/>
              <w:bidi w:val="0"/>
              <w:spacing w:before="0" w:after="283"/>
              <w:jc w:val="right"/>
              <w:rPr/>
            </w:pPr>
            <w:r>
              <w:rPr/>
              <w:t>23.4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21.5</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right"/>
              <w:rPr/>
            </w:pPr>
            <w:r>
              <w:rPr/>
              <w:t>24.7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right"/>
              <w:rPr/>
            </w:pPr>
            <w:r>
              <w:rPr/>
              <w:t>22.4</w:t>
            </w:r>
          </w:p>
        </w:tc>
        <w:tc>
          <w:tcPr>
            <w:tcW w:w="294" w:type="dxa"/>
            <w:tcBorders/>
            <w:vAlign w:val="center"/>
          </w:tcPr>
          <w:p>
            <w:pPr>
              <w:pStyle w:val="TableContents"/>
              <w:bidi w:val="0"/>
              <w:spacing w:before="0" w:after="283"/>
              <w:jc w:val="left"/>
              <w:rPr/>
            </w:pPr>
            <w:r>
              <w:rPr/>
              <w:t>%</w:t>
            </w:r>
          </w:p>
        </w:tc>
      </w:tr>
      <w:tr>
        <w:trPr/>
        <w:tc>
          <w:tcPr>
            <w:tcW w:w="1942" w:type="dxa"/>
            <w:tcBorders/>
            <w:shd w:fill="CCEEFF" w:val="clear"/>
            <w:vAlign w:val="center"/>
          </w:tcPr>
          <w:p>
            <w:pPr>
              <w:pStyle w:val="TableContents"/>
              <w:bidi w:val="0"/>
              <w:spacing w:before="0" w:after="283"/>
              <w:jc w:val="left"/>
              <w:rPr/>
            </w:pPr>
            <w:r>
              <w:rPr/>
              <w:t>Segment operating margin</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98" w:type="dxa"/>
            <w:tcBorders/>
            <w:shd w:fill="CCEEFF" w:val="clear"/>
            <w:vAlign w:val="center"/>
          </w:tcPr>
          <w:p>
            <w:pPr>
              <w:pStyle w:val="TableContents"/>
              <w:bidi w:val="0"/>
              <w:spacing w:before="0" w:after="283"/>
              <w:jc w:val="right"/>
              <w:rPr/>
            </w:pPr>
            <w:r>
              <w:rPr/>
              <w:t>21.4</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18.7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16.3</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sz w:val="4"/>
                <w:szCs w:val="4"/>
              </w:rPr>
            </w:pPr>
            <w:r>
              <w:rPr>
                <w:sz w:val="4"/>
                <w:szCs w:val="4"/>
              </w:rPr>
            </w:r>
          </w:p>
        </w:tc>
        <w:tc>
          <w:tcPr>
            <w:tcW w:w="1098" w:type="dxa"/>
            <w:tcBorders/>
            <w:shd w:fill="CCEEFF" w:val="clear"/>
            <w:vAlign w:val="center"/>
          </w:tcPr>
          <w:p>
            <w:pPr>
              <w:pStyle w:val="TableContents"/>
              <w:bidi w:val="0"/>
              <w:spacing w:before="0" w:after="283"/>
              <w:jc w:val="right"/>
              <w:rPr/>
            </w:pPr>
            <w:r>
              <w:rPr/>
              <w:t>20.1</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16.9</w:t>
            </w:r>
          </w:p>
        </w:tc>
        <w:tc>
          <w:tcPr>
            <w:tcW w:w="294"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change in net revenues versus the comparable prior periods was as follows </w:t>
      </w:r>
      <w:r>
        <w:rPr>
          <w:rFonts w:ascii="Times New Roman" w:hAnsi="Times New Roman"/>
          <w:i/>
          <w:color w:val="000000"/>
          <w:sz w:val="24"/>
        </w:rPr>
        <w:t>(dollars in thousands)</w:t>
      </w:r>
      <w:r>
        <w:rPr>
          <w:rFonts w:ascii="Times New Roman" w:hAnsi="Times New Roman"/>
          <w:color w:val="000000"/>
          <w:sz w:val="24"/>
        </w:rPr>
        <w:t>:</w:t>
      </w:r>
    </w:p>
    <w:p>
      <w:pPr>
        <w:pStyle w:val="TextBody"/>
        <w:bidi w:val="0"/>
        <w:spacing w:before="0" w:after="0"/>
        <w:jc w:val="both"/>
        <w:rPr/>
      </w:pPr>
      <w:r>
        <w:rPr/>
        <w:t> </w:t>
      </w:r>
    </w:p>
    <w:tbl>
      <w:tblPr>
        <w:tblW w:w="10095" w:type="dxa"/>
        <w:jc w:val="left"/>
        <w:tblInd w:w="0" w:type="dxa"/>
        <w:tblLayout w:type="fixed"/>
        <w:tblCellMar>
          <w:top w:w="0" w:type="dxa"/>
          <w:left w:w="0" w:type="dxa"/>
          <w:bottom w:w="0" w:type="dxa"/>
          <w:right w:w="0" w:type="dxa"/>
        </w:tblCellMar>
      </w:tblPr>
      <w:tblGrid>
        <w:gridCol w:w="1400"/>
        <w:gridCol w:w="90"/>
        <w:gridCol w:w="170"/>
        <w:gridCol w:w="2435"/>
        <w:gridCol w:w="90"/>
        <w:gridCol w:w="90"/>
        <w:gridCol w:w="90"/>
        <w:gridCol w:w="1070"/>
        <w:gridCol w:w="245"/>
        <w:gridCol w:w="90"/>
        <w:gridCol w:w="90"/>
        <w:gridCol w:w="170"/>
        <w:gridCol w:w="2435"/>
        <w:gridCol w:w="90"/>
        <w:gridCol w:w="90"/>
        <w:gridCol w:w="90"/>
        <w:gridCol w:w="1070"/>
        <w:gridCol w:w="290"/>
      </w:tblGrid>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90" w:type="dxa"/>
            <w:gridSpan w:val="7"/>
            <w:tcBorders/>
            <w:vAlign w:val="center"/>
          </w:tcPr>
          <w:p>
            <w:pPr>
              <w:pStyle w:val="TableContents"/>
              <w:bidi w:val="0"/>
              <w:spacing w:before="0" w:after="283"/>
              <w:jc w:val="center"/>
              <w:rPr>
                <w:b/>
              </w:rPr>
            </w:pPr>
            <w:r>
              <w:rPr>
                <w:b/>
              </w:rPr>
              <w:t>Fiscal quarter ended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5" w:type="dxa"/>
            <w:gridSpan w:val="7"/>
            <w:tcBorders/>
            <w:vAlign w:val="center"/>
          </w:tcPr>
          <w:p>
            <w:pPr>
              <w:pStyle w:val="TableContents"/>
              <w:bidi w:val="0"/>
              <w:spacing w:before="0" w:after="283"/>
              <w:jc w:val="center"/>
              <w:rPr>
                <w:b/>
              </w:rPr>
            </w:pPr>
            <w:r>
              <w:rPr>
                <w:b/>
              </w:rPr>
              <w:t>Six fiscal months ended</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90" w:type="dxa"/>
            <w:gridSpan w:val="7"/>
            <w:tcBorders/>
            <w:vAlign w:val="center"/>
          </w:tcPr>
          <w:p>
            <w:pPr>
              <w:pStyle w:val="TableContents"/>
              <w:bidi w:val="0"/>
              <w:spacing w:before="0" w:after="283"/>
              <w:jc w:val="center"/>
              <w:rPr>
                <w:b/>
              </w:rPr>
            </w:pPr>
            <w:r>
              <w:rPr>
                <w:b/>
              </w:rPr>
              <w:t>July 4, 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35" w:type="dxa"/>
            <w:gridSpan w:val="7"/>
            <w:tcBorders/>
            <w:vAlign w:val="center"/>
          </w:tcPr>
          <w:p>
            <w:pPr>
              <w:pStyle w:val="TableContents"/>
              <w:bidi w:val="0"/>
              <w:spacing w:before="0" w:after="283"/>
              <w:jc w:val="center"/>
              <w:rPr>
                <w:b/>
              </w:rPr>
            </w:pPr>
            <w:r>
              <w:rPr>
                <w:b/>
              </w:rPr>
              <w:t>July 4, 2026</w:t>
            </w:r>
          </w:p>
        </w:tc>
      </w:tr>
      <w:tr>
        <w:trPr/>
        <w:tc>
          <w:tcPr>
            <w:tcW w:w="1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center"/>
              <w:rPr/>
            </w:pPr>
            <w:r>
              <w:rPr/>
              <w:t> </w:t>
            </w:r>
          </w:p>
        </w:tc>
        <w:tc>
          <w:tcPr>
            <w:tcW w:w="2435" w:type="dxa"/>
            <w:tcBorders>
              <w:bottom w:val="single" w:sz="6" w:space="0" w:color="000000"/>
            </w:tcBorders>
            <w:tcMar>
              <w:bottom w:w="28" w:type="dxa"/>
            </w:tcMar>
            <w:vAlign w:val="center"/>
          </w:tcPr>
          <w:p>
            <w:pPr>
              <w:pStyle w:val="TableContents"/>
              <w:bidi w:val="0"/>
              <w:spacing w:before="0" w:after="283"/>
              <w:jc w:val="center"/>
              <w:rPr>
                <w:b/>
              </w:rPr>
            </w:pPr>
            <w:r>
              <w:rPr>
                <w:b/>
              </w:rPr>
              <w:t>Change in net revenues</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1070" w:type="dxa"/>
            <w:tcBorders>
              <w:bottom w:val="single" w:sz="6" w:space="0" w:color="000000"/>
            </w:tcBorders>
            <w:tcMar>
              <w:bottom w:w="28" w:type="dxa"/>
            </w:tcMar>
            <w:vAlign w:val="center"/>
          </w:tcPr>
          <w:p>
            <w:pPr>
              <w:pStyle w:val="TableContents"/>
              <w:bidi w:val="0"/>
              <w:spacing w:before="0" w:after="283"/>
              <w:jc w:val="center"/>
              <w:rPr>
                <w:b/>
              </w:rPr>
            </w:pPr>
            <w:r>
              <w:rPr>
                <w:b/>
              </w:rPr>
              <w:t>% change</w:t>
            </w:r>
          </w:p>
        </w:tc>
        <w:tc>
          <w:tcPr>
            <w:tcW w:w="290" w:type="dxa"/>
            <w:tcBorders/>
            <w:vAlign w:val="center"/>
          </w:tcPr>
          <w:p>
            <w:pPr>
              <w:pStyle w:val="TableContents"/>
              <w:bidi w:val="0"/>
              <w:spacing w:before="0" w:after="283"/>
              <w:jc w:val="center"/>
              <w:rPr/>
            </w:pPr>
            <w:r>
              <w:rPr/>
              <w:t> </w:t>
            </w:r>
          </w:p>
        </w:tc>
      </w:tr>
      <w:tr>
        <w:trPr/>
        <w:tc>
          <w:tcPr>
            <w:tcW w:w="1400" w:type="dxa"/>
            <w:tcBorders/>
            <w:shd w:fill="CCEEFF" w:val="clear"/>
            <w:vAlign w:val="center"/>
          </w:tcPr>
          <w:p>
            <w:pPr>
              <w:pStyle w:val="TableContents"/>
              <w:bidi w:val="0"/>
              <w:spacing w:before="0" w:after="283"/>
              <w:jc w:val="right"/>
              <w:rPr/>
            </w:pPr>
            <w:r>
              <w:rPr/>
              <w:t>April 4,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435" w:type="dxa"/>
            <w:tcBorders/>
            <w:shd w:fill="CCEEFF" w:val="clear"/>
            <w:vAlign w:val="center"/>
          </w:tcPr>
          <w:p>
            <w:pPr>
              <w:pStyle w:val="TableContents"/>
              <w:bidi w:val="0"/>
              <w:spacing w:before="0" w:after="283"/>
              <w:jc w:val="right"/>
              <w:rPr/>
            </w:pPr>
            <w:r>
              <w:rPr/>
              <w:t>6,660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4.5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right"/>
              <w:rPr/>
            </w:pPr>
            <w:r>
              <w:rPr/>
              <w:t>n/a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t>n/a</w:t>
            </w:r>
          </w:p>
        </w:tc>
        <w:tc>
          <w:tcPr>
            <w:tcW w:w="290" w:type="dxa"/>
            <w:tcBorders/>
            <w:shd w:fill="CCEEFF" w:val="cle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right"/>
              <w:rPr/>
            </w:pPr>
            <w:r>
              <w:rPr/>
              <w:t>June 28, 2025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32,287</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26.7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35" w:type="dxa"/>
            <w:tcBorders/>
            <w:vAlign w:val="center"/>
          </w:tcPr>
          <w:p>
            <w:pPr>
              <w:pStyle w:val="TableContents"/>
              <w:bidi w:val="0"/>
              <w:spacing w:before="0" w:after="283"/>
              <w:jc w:val="right"/>
              <w:rPr/>
            </w:pPr>
            <w:r>
              <w:rPr/>
              <w:t>61,655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right"/>
              <w:rPr/>
            </w:pPr>
            <w:r>
              <w:rPr/>
              <w:t>25.9</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Changes in Capacitors segment net revenues were attributable to the following:</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2897"/>
        <w:gridCol w:w="90"/>
        <w:gridCol w:w="1671"/>
        <w:gridCol w:w="309"/>
        <w:gridCol w:w="90"/>
        <w:gridCol w:w="90"/>
        <w:gridCol w:w="2160"/>
        <w:gridCol w:w="245"/>
        <w:gridCol w:w="90"/>
        <w:gridCol w:w="90"/>
        <w:gridCol w:w="2181"/>
        <w:gridCol w:w="292"/>
      </w:tblGrid>
      <w:tr>
        <w:trPr/>
        <w:tc>
          <w:tcPr>
            <w:tcW w:w="28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1" w:type="dxa"/>
            <w:tcBorders>
              <w:bottom w:val="single" w:sz="6" w:space="0" w:color="000000"/>
            </w:tcBorders>
            <w:tcMar>
              <w:bottom w:w="28" w:type="dxa"/>
            </w:tcMar>
            <w:vAlign w:val="center"/>
          </w:tcPr>
          <w:p>
            <w:pPr>
              <w:pStyle w:val="TableContents"/>
              <w:bidi w:val="0"/>
              <w:spacing w:before="0" w:after="283"/>
              <w:jc w:val="center"/>
              <w:rPr>
                <w:b/>
              </w:rPr>
            </w:pPr>
            <w:r>
              <w:rPr>
                <w:b/>
              </w:rPr>
              <w:t>vs. Prior Quarter</w:t>
            </w:r>
          </w:p>
        </w:tc>
        <w:tc>
          <w:tcPr>
            <w:tcW w:w="3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bottom w:val="single" w:sz="6" w:space="0" w:color="000000"/>
            </w:tcBorders>
            <w:tcMar>
              <w:bottom w:w="28" w:type="dxa"/>
            </w:tcMar>
            <w:vAlign w:val="center"/>
          </w:tcPr>
          <w:p>
            <w:pPr>
              <w:pStyle w:val="TableContents"/>
              <w:bidi w:val="0"/>
              <w:spacing w:before="0" w:after="283"/>
              <w:jc w:val="center"/>
              <w:rPr>
                <w:b/>
              </w:rPr>
            </w:pPr>
            <w:r>
              <w:rPr>
                <w:b/>
              </w:rPr>
              <w:t>vs. Prior Year Quarter</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1" w:type="dxa"/>
            <w:tcBorders>
              <w:bottom w:val="single" w:sz="6" w:space="0" w:color="000000"/>
            </w:tcBorders>
            <w:tcMar>
              <w:bottom w:w="28" w:type="dxa"/>
            </w:tcMar>
            <w:vAlign w:val="center"/>
          </w:tcPr>
          <w:p>
            <w:pPr>
              <w:pStyle w:val="TableContents"/>
              <w:bidi w:val="0"/>
              <w:spacing w:before="0" w:after="283"/>
              <w:jc w:val="center"/>
              <w:rPr>
                <w:b/>
              </w:rPr>
            </w:pPr>
            <w:r>
              <w:rPr>
                <w:b/>
              </w:rPr>
              <w:t>vs. Prior Year-to-Date</w:t>
            </w:r>
          </w:p>
        </w:tc>
        <w:tc>
          <w:tcPr>
            <w:tcW w:w="292" w:type="dxa"/>
            <w:tcBorders/>
            <w:vAlign w:val="center"/>
          </w:tcPr>
          <w:p>
            <w:pPr>
              <w:pStyle w:val="TableContents"/>
              <w:bidi w:val="0"/>
              <w:spacing w:before="0" w:after="283"/>
              <w:jc w:val="left"/>
              <w:rPr/>
            </w:pPr>
            <w:r>
              <w:rPr/>
              <w:t> </w:t>
            </w:r>
          </w:p>
        </w:tc>
      </w:tr>
      <w:tr>
        <w:trPr/>
        <w:tc>
          <w:tcPr>
            <w:tcW w:w="2897" w:type="dxa"/>
            <w:tcBorders/>
            <w:vAlign w:val="center"/>
          </w:tcPr>
          <w:p>
            <w:pPr>
              <w:pStyle w:val="TableContents"/>
              <w:bidi w:val="0"/>
              <w:spacing w:before="0" w:after="283"/>
              <w:jc w:val="left"/>
              <w:rPr>
                <w:b/>
              </w:rPr>
            </w:pPr>
            <w:r>
              <w:rPr>
                <w:b/>
              </w:rPr>
              <w:t>Change attributable to:</w:t>
            </w:r>
          </w:p>
        </w:tc>
        <w:tc>
          <w:tcPr>
            <w:tcW w:w="9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left"/>
              <w:rPr/>
            </w:pPr>
            <w:r>
              <w:rPr/>
              <w:t> </w:t>
            </w:r>
          </w:p>
        </w:tc>
        <w:tc>
          <w:tcPr>
            <w:tcW w:w="30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pPr>
            <w:r>
              <w:rPr/>
              <w:t> </w:t>
            </w:r>
          </w:p>
        </w:tc>
      </w:tr>
      <w:tr>
        <w:trPr/>
        <w:tc>
          <w:tcPr>
            <w:tcW w:w="2897" w:type="dxa"/>
            <w:tcBorders/>
            <w:shd w:fill="CCEEFF" w:val="clear"/>
            <w:vAlign w:val="center"/>
          </w:tcPr>
          <w:p>
            <w:pPr>
              <w:pStyle w:val="TableContents"/>
              <w:bidi w:val="0"/>
              <w:spacing w:before="0" w:after="283"/>
              <w:jc w:val="left"/>
              <w:rPr/>
            </w:pPr>
            <w:r>
              <w:rPr/>
              <w:t>Increase in volume</w:t>
            </w:r>
          </w:p>
        </w:tc>
        <w:tc>
          <w:tcPr>
            <w:tcW w:w="9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3.6</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shd w:fill="CCEEFF" w:val="clear"/>
            <w:vAlign w:val="center"/>
          </w:tcPr>
          <w:p>
            <w:pPr>
              <w:pStyle w:val="TableContents"/>
              <w:bidi w:val="0"/>
              <w:spacing w:before="0" w:after="283"/>
              <w:jc w:val="right"/>
              <w:rPr/>
            </w:pPr>
            <w:r>
              <w:rPr/>
              <w:t>22.6</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19.6</w:t>
            </w:r>
          </w:p>
        </w:tc>
        <w:tc>
          <w:tcPr>
            <w:tcW w:w="292" w:type="dxa"/>
            <w:tcBorders/>
            <w:shd w:fill="CCEEFF" w:val="clear"/>
            <w:vAlign w:val="center"/>
          </w:tcPr>
          <w:p>
            <w:pPr>
              <w:pStyle w:val="TableContents"/>
              <w:bidi w:val="0"/>
              <w:spacing w:before="0" w:after="283"/>
              <w:jc w:val="left"/>
              <w:rPr/>
            </w:pPr>
            <w:r>
              <w:rPr/>
              <w:t>%</w:t>
            </w:r>
          </w:p>
        </w:tc>
      </w:tr>
      <w:tr>
        <w:trPr/>
        <w:tc>
          <w:tcPr>
            <w:tcW w:w="2897" w:type="dxa"/>
            <w:tcBorders/>
            <w:vAlign w:val="center"/>
          </w:tcPr>
          <w:p>
            <w:pPr>
              <w:pStyle w:val="TableContents"/>
              <w:bidi w:val="0"/>
              <w:spacing w:before="0" w:after="283"/>
              <w:jc w:val="left"/>
              <w:rPr/>
            </w:pPr>
            <w:r>
              <w:rPr/>
              <w:t>Increase in average selling prices</w:t>
            </w:r>
          </w:p>
        </w:tc>
        <w:tc>
          <w:tcPr>
            <w:tcW w:w="90" w:type="dxa"/>
            <w:tcBorders/>
            <w:vAlign w:val="center"/>
          </w:tcPr>
          <w:p>
            <w:pPr>
              <w:pStyle w:val="TableContents"/>
              <w:bidi w:val="0"/>
              <w:spacing w:before="0" w:after="283"/>
              <w:jc w:val="left"/>
              <w:rPr/>
            </w:pPr>
            <w:r>
              <w:rPr/>
              <w:t> </w:t>
            </w:r>
          </w:p>
        </w:tc>
        <w:tc>
          <w:tcPr>
            <w:tcW w:w="1671" w:type="dxa"/>
            <w:tcBorders/>
            <w:vAlign w:val="center"/>
          </w:tcPr>
          <w:p>
            <w:pPr>
              <w:pStyle w:val="TableContents"/>
              <w:bidi w:val="0"/>
              <w:spacing w:before="0" w:after="283"/>
              <w:jc w:val="right"/>
              <w:rPr/>
            </w:pPr>
            <w:r>
              <w:rPr/>
              <w:t>0.9</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vAlign w:val="center"/>
          </w:tcPr>
          <w:p>
            <w:pPr>
              <w:pStyle w:val="TableContents"/>
              <w:bidi w:val="0"/>
              <w:spacing w:before="0" w:after="283"/>
              <w:jc w:val="right"/>
              <w:rPr/>
            </w:pPr>
            <w:r>
              <w:rPr/>
              <w:t>1.9</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1" w:type="dxa"/>
            <w:tcBorders/>
            <w:vAlign w:val="center"/>
          </w:tcPr>
          <w:p>
            <w:pPr>
              <w:pStyle w:val="TableContents"/>
              <w:bidi w:val="0"/>
              <w:spacing w:before="0" w:after="283"/>
              <w:jc w:val="right"/>
              <w:rPr/>
            </w:pPr>
            <w:r>
              <w:rPr/>
              <w:t>1.9</w:t>
            </w:r>
          </w:p>
        </w:tc>
        <w:tc>
          <w:tcPr>
            <w:tcW w:w="292" w:type="dxa"/>
            <w:tcBorders/>
            <w:vAlign w:val="center"/>
          </w:tcPr>
          <w:p>
            <w:pPr>
              <w:pStyle w:val="TableContents"/>
              <w:bidi w:val="0"/>
              <w:spacing w:before="0" w:after="283"/>
              <w:jc w:val="left"/>
              <w:rPr/>
            </w:pPr>
            <w:r>
              <w:rPr/>
              <w:t>%</w:t>
            </w:r>
          </w:p>
        </w:tc>
      </w:tr>
      <w:tr>
        <w:trPr/>
        <w:tc>
          <w:tcPr>
            <w:tcW w:w="2897" w:type="dxa"/>
            <w:tcBorders/>
            <w:shd w:fill="CCEEFF" w:val="clear"/>
            <w:vAlign w:val="center"/>
          </w:tcPr>
          <w:p>
            <w:pPr>
              <w:pStyle w:val="TableContents"/>
              <w:bidi w:val="0"/>
              <w:spacing w:before="0" w:after="283"/>
              <w:jc w:val="left"/>
              <w:rPr/>
            </w:pPr>
            <w:r>
              <w:rPr/>
              <w:t>Foreign currency effects</w:t>
            </w:r>
          </w:p>
        </w:tc>
        <w:tc>
          <w:tcPr>
            <w:tcW w:w="90" w:type="dxa"/>
            <w:tcBorders/>
            <w:shd w:fill="CCEEFF" w:val="clear"/>
            <w:vAlign w:val="center"/>
          </w:tcPr>
          <w:p>
            <w:pPr>
              <w:pStyle w:val="TableContents"/>
              <w:bidi w:val="0"/>
              <w:spacing w:before="0" w:after="283"/>
              <w:jc w:val="left"/>
              <w:rPr/>
            </w:pPr>
            <w:r>
              <w:rPr/>
              <w:t> </w:t>
            </w:r>
          </w:p>
        </w:tc>
        <w:tc>
          <w:tcPr>
            <w:tcW w:w="1671" w:type="dxa"/>
            <w:tcBorders/>
            <w:shd w:fill="CCEEFF" w:val="clear"/>
            <w:vAlign w:val="center"/>
          </w:tcPr>
          <w:p>
            <w:pPr>
              <w:pStyle w:val="TableContents"/>
              <w:bidi w:val="0"/>
              <w:spacing w:before="0" w:after="283"/>
              <w:jc w:val="right"/>
              <w:rPr/>
            </w:pPr>
            <w:r>
              <w:rPr/>
              <w:t>(0.5</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shd w:fill="CCEEFF" w:val="clear"/>
            <w:vAlign w:val="center"/>
          </w:tcPr>
          <w:p>
            <w:pPr>
              <w:pStyle w:val="TableContents"/>
              <w:bidi w:val="0"/>
              <w:spacing w:before="0" w:after="283"/>
              <w:jc w:val="right"/>
              <w:rPr/>
            </w:pPr>
            <w:r>
              <w:rPr/>
              <w:t>1.5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1" w:type="dxa"/>
            <w:tcBorders/>
            <w:shd w:fill="CCEEFF" w:val="clear"/>
            <w:vAlign w:val="center"/>
          </w:tcPr>
          <w:p>
            <w:pPr>
              <w:pStyle w:val="TableContents"/>
              <w:bidi w:val="0"/>
              <w:spacing w:before="0" w:after="283"/>
              <w:jc w:val="right"/>
              <w:rPr/>
            </w:pPr>
            <w:r>
              <w:rPr/>
              <w:t>4.0</w:t>
            </w:r>
          </w:p>
        </w:tc>
        <w:tc>
          <w:tcPr>
            <w:tcW w:w="292" w:type="dxa"/>
            <w:tcBorders/>
            <w:shd w:fill="CCEEFF" w:val="clear"/>
            <w:vAlign w:val="center"/>
          </w:tcPr>
          <w:p>
            <w:pPr>
              <w:pStyle w:val="TableContents"/>
              <w:bidi w:val="0"/>
              <w:spacing w:before="0" w:after="283"/>
              <w:jc w:val="left"/>
              <w:rPr/>
            </w:pPr>
            <w:r>
              <w:rPr/>
              <w:t>%</w:t>
            </w:r>
          </w:p>
        </w:tc>
      </w:tr>
      <w:tr>
        <w:trPr/>
        <w:tc>
          <w:tcPr>
            <w:tcW w:w="2897" w:type="dxa"/>
            <w:tcBorders/>
            <w:vAlign w:val="center"/>
          </w:tcPr>
          <w:p>
            <w:pPr>
              <w:pStyle w:val="TableContents"/>
              <w:bidi w:val="0"/>
              <w:spacing w:before="0" w:after="283"/>
              <w:jc w:val="left"/>
              <w:rPr/>
            </w:pPr>
            <w:r>
              <w:rPr/>
              <w:t>Other</w:t>
            </w:r>
          </w:p>
        </w:tc>
        <w:tc>
          <w:tcPr>
            <w:tcW w:w="90" w:type="dxa"/>
            <w:tcBorders/>
            <w:vAlign w:val="center"/>
          </w:tcPr>
          <w:p>
            <w:pPr>
              <w:pStyle w:val="TableContents"/>
              <w:bidi w:val="0"/>
              <w:spacing w:before="0" w:after="283"/>
              <w:jc w:val="left"/>
              <w:rPr/>
            </w:pPr>
            <w:r>
              <w:rPr/>
              <w:t> </w:t>
            </w:r>
          </w:p>
        </w:tc>
        <w:tc>
          <w:tcPr>
            <w:tcW w:w="1671" w:type="dxa"/>
            <w:tcBorders>
              <w:bottom w:val="single" w:sz="6" w:space="0" w:color="000000"/>
            </w:tcBorders>
            <w:tcMar>
              <w:bottom w:w="28" w:type="dxa"/>
            </w:tcMar>
            <w:vAlign w:val="center"/>
          </w:tcPr>
          <w:p>
            <w:pPr>
              <w:pStyle w:val="TableContents"/>
              <w:bidi w:val="0"/>
              <w:spacing w:before="0" w:after="283"/>
              <w:jc w:val="right"/>
              <w:rPr/>
            </w:pPr>
            <w:r>
              <w:rPr/>
              <w:t>0.5</w:t>
            </w:r>
          </w:p>
        </w:tc>
        <w:tc>
          <w:tcPr>
            <w:tcW w:w="309"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0" w:type="dxa"/>
            <w:tcBorders>
              <w:bottom w:val="single" w:sz="6" w:space="0" w:color="000000"/>
            </w:tcBorders>
            <w:tcMar>
              <w:bottom w:w="28" w:type="dxa"/>
            </w:tcMar>
            <w:vAlign w:val="center"/>
          </w:tcPr>
          <w:p>
            <w:pPr>
              <w:pStyle w:val="TableContents"/>
              <w:bidi w:val="0"/>
              <w:spacing w:before="0" w:after="283"/>
              <w:jc w:val="right"/>
              <w:rPr/>
            </w:pPr>
            <w:r>
              <w:rPr/>
              <w:t>0.7</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1" w:type="dxa"/>
            <w:tcBorders>
              <w:bottom w:val="single" w:sz="6" w:space="0" w:color="000000"/>
            </w:tcBorders>
            <w:tcMar>
              <w:bottom w:w="28" w:type="dxa"/>
            </w:tcMar>
            <w:vAlign w:val="center"/>
          </w:tcPr>
          <w:p>
            <w:pPr>
              <w:pStyle w:val="TableContents"/>
              <w:bidi w:val="0"/>
              <w:spacing w:before="0" w:after="283"/>
              <w:jc w:val="right"/>
              <w:rPr/>
            </w:pPr>
            <w:r>
              <w:rPr/>
              <w:t>0.4</w:t>
            </w:r>
          </w:p>
        </w:tc>
        <w:tc>
          <w:tcPr>
            <w:tcW w:w="292" w:type="dxa"/>
            <w:tcBorders/>
            <w:vAlign w:val="center"/>
          </w:tcPr>
          <w:p>
            <w:pPr>
              <w:pStyle w:val="TableContents"/>
              <w:bidi w:val="0"/>
              <w:spacing w:before="0" w:after="283"/>
              <w:jc w:val="left"/>
              <w:rPr/>
            </w:pPr>
            <w:r>
              <w:rPr/>
              <w:t>%</w:t>
            </w:r>
          </w:p>
        </w:tc>
      </w:tr>
      <w:tr>
        <w:trPr/>
        <w:tc>
          <w:tcPr>
            <w:tcW w:w="2897" w:type="dxa"/>
            <w:tcBorders/>
            <w:shd w:fill="CCEEFF" w:val="clear"/>
            <w:vAlign w:val="center"/>
          </w:tcPr>
          <w:p>
            <w:pPr>
              <w:pStyle w:val="TableContents"/>
              <w:bidi w:val="0"/>
              <w:spacing w:before="0" w:after="283"/>
              <w:jc w:val="left"/>
              <w:rPr/>
            </w:pPr>
            <w:r>
              <w:rPr/>
              <w:t>Net change</w:t>
            </w:r>
          </w:p>
        </w:tc>
        <w:tc>
          <w:tcPr>
            <w:tcW w:w="90" w:type="dxa"/>
            <w:tcBorders/>
            <w:shd w:fill="CCEEFF" w:val="clear"/>
            <w:vAlign w:val="center"/>
          </w:tcPr>
          <w:p>
            <w:pPr>
              <w:pStyle w:val="TableContents"/>
              <w:bidi w:val="0"/>
              <w:spacing w:before="0" w:after="283"/>
              <w:jc w:val="left"/>
              <w:rPr/>
            </w:pPr>
            <w:r>
              <w:rPr/>
              <w:t> </w:t>
            </w:r>
          </w:p>
        </w:tc>
        <w:tc>
          <w:tcPr>
            <w:tcW w:w="1671" w:type="dxa"/>
            <w:tcBorders>
              <w:bottom w:val="double" w:sz="6" w:space="0" w:color="000000"/>
            </w:tcBorders>
            <w:shd w:fill="CCEEFF" w:val="clear"/>
            <w:tcMar>
              <w:bottom w:w="28" w:type="dxa"/>
            </w:tcMar>
            <w:vAlign w:val="center"/>
          </w:tcPr>
          <w:p>
            <w:pPr>
              <w:pStyle w:val="TableContents"/>
              <w:bidi w:val="0"/>
              <w:spacing w:before="0" w:after="283"/>
              <w:jc w:val="right"/>
              <w:rPr/>
            </w:pPr>
            <w:r>
              <w:rPr/>
              <w:t>4.5</w:t>
            </w:r>
          </w:p>
        </w:tc>
        <w:tc>
          <w:tcPr>
            <w:tcW w:w="309"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60" w:type="dxa"/>
            <w:tcBorders>
              <w:bottom w:val="double" w:sz="6" w:space="0" w:color="000000"/>
            </w:tcBorders>
            <w:shd w:fill="CCEEFF" w:val="clear"/>
            <w:tcMar>
              <w:bottom w:w="28" w:type="dxa"/>
            </w:tcMar>
            <w:vAlign w:val="center"/>
          </w:tcPr>
          <w:p>
            <w:pPr>
              <w:pStyle w:val="TableContents"/>
              <w:bidi w:val="0"/>
              <w:spacing w:before="0" w:after="283"/>
              <w:jc w:val="right"/>
              <w:rPr/>
            </w:pPr>
            <w:r>
              <w:rPr/>
              <w:t>26.7</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1" w:type="dxa"/>
            <w:tcBorders>
              <w:bottom w:val="double" w:sz="6" w:space="0" w:color="000000"/>
            </w:tcBorders>
            <w:shd w:fill="CCEEFF" w:val="clear"/>
            <w:tcMar>
              <w:bottom w:w="28" w:type="dxa"/>
            </w:tcMar>
            <w:vAlign w:val="center"/>
          </w:tcPr>
          <w:p>
            <w:pPr>
              <w:pStyle w:val="TableContents"/>
              <w:bidi w:val="0"/>
              <w:spacing w:before="0" w:after="283"/>
              <w:jc w:val="right"/>
              <w:rPr/>
            </w:pPr>
            <w:r>
              <w:rPr/>
              <w:t>25.9</w:t>
            </w:r>
          </w:p>
        </w:tc>
        <w:tc>
          <w:tcPr>
            <w:tcW w:w="292"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Net revenues of the Capacitors segment increased versus the prior fiscal quarter and prior year periods.  The increase versus the prior fiscal quarter is primarily due to increased sales to distribution customers, industrial end market customers, and customers in the Asia region.  The increases versus the prior year periods are primarily due to increased sales to customers in nearly all sales channels, end markets, and regions, most significantly distribution end market customers, industrial and military and aerospace end market customers, and customers in the Asia and Americas regions.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Gross profit margin increased versus the prior fiscal quarter and prior year periods.  The increase versus the prior fiscal quarter is primarily due to higher sales volume and higher average selling prices, partially offset by higher metals costs.  The increases versus the prior year periods are primarily due to higher sales volume and higher average selling prices.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Segment operating margin increased versus the prior fiscal quarter and prior year periods.  The increases are primarily due to changes in gross profit.</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Average selling prices increased versus the prior fiscal quarter and prior year periods.</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 large portion of expected growth of our Capacitors segment is in high voltage high power film capacitors used for smart-grid infrastructure projects.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37</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b/>
          <w:i/>
          <w:color w:val="000000"/>
          <w:sz w:val="24"/>
        </w:rPr>
        <w:t>Selling, General, and Administrative Expenses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Selling, general, and administrative expenses are summarized as follows </w:t>
      </w:r>
      <w:r>
        <w:rPr>
          <w:rFonts w:ascii="Times New Roman" w:hAnsi="Times New Roman"/>
          <w:i/>
          <w:color w:val="000000"/>
          <w:sz w:val="24"/>
        </w:rPr>
        <w:t>(dollars in thousands):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043"/>
        <w:gridCol w:w="170"/>
        <w:gridCol w:w="1094"/>
        <w:gridCol w:w="245"/>
        <w:gridCol w:w="90"/>
        <w:gridCol w:w="170"/>
        <w:gridCol w:w="1158"/>
        <w:gridCol w:w="245"/>
        <w:gridCol w:w="90"/>
        <w:gridCol w:w="170"/>
        <w:gridCol w:w="1204"/>
        <w:gridCol w:w="245"/>
        <w:gridCol w:w="53"/>
        <w:gridCol w:w="170"/>
        <w:gridCol w:w="1094"/>
        <w:gridCol w:w="245"/>
        <w:gridCol w:w="53"/>
        <w:gridCol w:w="170"/>
        <w:gridCol w:w="1204"/>
        <w:gridCol w:w="292"/>
      </w:tblGrid>
      <w:tr>
        <w:trPr/>
        <w:tc>
          <w:tcPr>
            <w:tcW w:w="204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 </w:t>
            </w:r>
          </w:p>
        </w:tc>
      </w:tr>
      <w:tr>
        <w:trPr/>
        <w:tc>
          <w:tcPr>
            <w:tcW w:w="2043" w:type="dxa"/>
            <w:tcBorders/>
            <w:vAlign w:val="center"/>
          </w:tcPr>
          <w:p>
            <w:pPr>
              <w:pStyle w:val="TableContents"/>
              <w:bidi w:val="0"/>
              <w:spacing w:before="0" w:after="283"/>
              <w:jc w:val="center"/>
              <w:rPr/>
            </w:pPr>
            <w:r>
              <w:rPr/>
              <w:t> </w:t>
            </w:r>
          </w:p>
        </w:tc>
        <w:tc>
          <w:tcPr>
            <w:tcW w:w="4881" w:type="dxa"/>
            <w:gridSpan w:val="11"/>
            <w:tcBorders/>
            <w:vAlign w:val="center"/>
          </w:tcPr>
          <w:p>
            <w:pPr>
              <w:pStyle w:val="TableContents"/>
              <w:bidi w:val="0"/>
              <w:spacing w:before="0" w:after="283"/>
              <w:jc w:val="center"/>
              <w:rPr>
                <w:b/>
              </w:rPr>
            </w:pPr>
            <w:r>
              <w:rPr>
                <w:b/>
              </w:rPr>
              <w:t>Fiscal quarters ended</w:t>
            </w:r>
          </w:p>
        </w:tc>
        <w:tc>
          <w:tcPr>
            <w:tcW w:w="53" w:type="dxa"/>
            <w:tcBorders/>
            <w:vAlign w:val="center"/>
          </w:tcPr>
          <w:p>
            <w:pPr>
              <w:pStyle w:val="TableContents"/>
              <w:bidi w:val="0"/>
              <w:spacing w:before="0" w:after="283"/>
              <w:jc w:val="left"/>
              <w:rPr>
                <w:sz w:val="4"/>
                <w:szCs w:val="4"/>
              </w:rPr>
            </w:pPr>
            <w:r>
              <w:rPr>
                <w:sz w:val="4"/>
                <w:szCs w:val="4"/>
              </w:rPr>
            </w:r>
          </w:p>
        </w:tc>
        <w:tc>
          <w:tcPr>
            <w:tcW w:w="3228" w:type="dxa"/>
            <w:gridSpan w:val="7"/>
            <w:tcBorders/>
            <w:vAlign w:val="center"/>
          </w:tcPr>
          <w:p>
            <w:pPr>
              <w:pStyle w:val="TableContents"/>
              <w:bidi w:val="0"/>
              <w:spacing w:before="0" w:after="283"/>
              <w:jc w:val="center"/>
              <w:rPr>
                <w:b/>
              </w:rPr>
            </w:pPr>
            <w:r>
              <w:rPr>
                <w:b/>
              </w:rPr>
              <w:t>Six fiscal months ended</w:t>
            </w:r>
          </w:p>
        </w:tc>
      </w:tr>
      <w:tr>
        <w:trPr/>
        <w:tc>
          <w:tcPr>
            <w:tcW w:w="2043"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94"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158" w:type="dxa"/>
            <w:tcBorders>
              <w:bottom w:val="single" w:sz="2" w:space="0" w:color="000000"/>
            </w:tcBorders>
            <w:tcMar>
              <w:bottom w:w="28" w:type="dxa"/>
            </w:tcMar>
            <w:vAlign w:val="center"/>
          </w:tcPr>
          <w:p>
            <w:pPr>
              <w:pStyle w:val="TableContents"/>
              <w:bidi w:val="0"/>
              <w:spacing w:before="0" w:after="283"/>
              <w:jc w:val="center"/>
              <w:rPr>
                <w:b/>
              </w:rPr>
            </w:pPr>
            <w:r>
              <w:rPr>
                <w:b/>
              </w:rPr>
              <w:t>April 4, 2026</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04"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94"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245" w:type="dxa"/>
            <w:tcBorders/>
            <w:vAlign w:val="center"/>
          </w:tcPr>
          <w:p>
            <w:pPr>
              <w:pStyle w:val="TableContents"/>
              <w:bidi w:val="0"/>
              <w:spacing w:before="0" w:after="283"/>
              <w:jc w:val="center"/>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04"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92" w:type="dxa"/>
            <w:tcBorders/>
            <w:vAlign w:val="center"/>
          </w:tcPr>
          <w:p>
            <w:pPr>
              <w:pStyle w:val="TableContents"/>
              <w:bidi w:val="0"/>
              <w:spacing w:before="0" w:after="283"/>
              <w:jc w:val="center"/>
              <w:rPr/>
            </w:pPr>
            <w:r>
              <w:rPr/>
              <w:t> </w:t>
            </w:r>
          </w:p>
        </w:tc>
      </w:tr>
      <w:tr>
        <w:trPr/>
        <w:tc>
          <w:tcPr>
            <w:tcW w:w="2043" w:type="dxa"/>
            <w:tcBorders/>
            <w:shd w:fill="CCEEFF" w:val="clear"/>
            <w:vAlign w:val="center"/>
          </w:tcPr>
          <w:p>
            <w:pPr>
              <w:pStyle w:val="TableContents"/>
              <w:bidi w:val="0"/>
              <w:spacing w:before="0" w:after="283"/>
              <w:jc w:val="left"/>
              <w:rPr/>
            </w:pPr>
            <w:r>
              <w:rPr/>
              <w:t>Total SG&amp;A expenses</w:t>
            </w:r>
          </w:p>
        </w:tc>
        <w:tc>
          <w:tcPr>
            <w:tcW w:w="170"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153,856</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58" w:type="dxa"/>
            <w:tcBorders/>
            <w:shd w:fill="CCEEFF" w:val="clear"/>
            <w:vAlign w:val="center"/>
          </w:tcPr>
          <w:p>
            <w:pPr>
              <w:pStyle w:val="TableContents"/>
              <w:bidi w:val="0"/>
              <w:spacing w:before="0" w:after="283"/>
              <w:jc w:val="right"/>
              <w:rPr/>
            </w:pPr>
            <w:r>
              <w:rPr/>
              <w:t>154,488</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126,565</w:t>
            </w:r>
          </w:p>
        </w:tc>
        <w:tc>
          <w:tcPr>
            <w:tcW w:w="24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094" w:type="dxa"/>
            <w:tcBorders/>
            <w:shd w:fill="CCEEFF" w:val="clear"/>
            <w:vAlign w:val="center"/>
          </w:tcPr>
          <w:p>
            <w:pPr>
              <w:pStyle w:val="TableContents"/>
              <w:bidi w:val="0"/>
              <w:spacing w:before="0" w:after="283"/>
              <w:jc w:val="right"/>
              <w:rPr/>
            </w:pPr>
            <w:r>
              <w:rPr/>
              <w:t>308,344</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204" w:type="dxa"/>
            <w:tcBorders/>
            <w:shd w:fill="CCEEFF" w:val="clear"/>
            <w:vAlign w:val="center"/>
          </w:tcPr>
          <w:p>
            <w:pPr>
              <w:pStyle w:val="TableContents"/>
              <w:bidi w:val="0"/>
              <w:spacing w:before="0" w:after="283"/>
              <w:jc w:val="right"/>
              <w:rPr/>
            </w:pPr>
            <w:r>
              <w:rPr/>
              <w:t>261,304</w:t>
            </w:r>
          </w:p>
        </w:tc>
        <w:tc>
          <w:tcPr>
            <w:tcW w:w="292" w:type="dxa"/>
            <w:tcBorders/>
            <w:shd w:fill="CCEEFF" w:val="clear"/>
            <w:vAlign w:val="center"/>
          </w:tcPr>
          <w:p>
            <w:pPr>
              <w:pStyle w:val="TableContents"/>
              <w:bidi w:val="0"/>
              <w:spacing w:before="0" w:after="283"/>
              <w:jc w:val="left"/>
              <w:rPr>
                <w:sz w:val="4"/>
                <w:szCs w:val="4"/>
              </w:rPr>
            </w:pPr>
            <w:r>
              <w:rPr>
                <w:sz w:val="4"/>
                <w:szCs w:val="4"/>
              </w:rPr>
            </w:r>
          </w:p>
        </w:tc>
      </w:tr>
      <w:tr>
        <w:trPr/>
        <w:tc>
          <w:tcPr>
            <w:tcW w:w="2043" w:type="dxa"/>
            <w:tcBorders/>
            <w:vAlign w:val="center"/>
          </w:tcPr>
          <w:p>
            <w:pPr>
              <w:pStyle w:val="TableContents"/>
              <w:bidi w:val="0"/>
              <w:spacing w:before="0" w:after="283"/>
              <w:jc w:val="left"/>
              <w:rPr/>
            </w:pPr>
            <w:r>
              <w:rPr/>
              <w:t>as a percentage of revenues</w:t>
            </w:r>
          </w:p>
        </w:tc>
        <w:tc>
          <w:tcPr>
            <w:tcW w:w="170" w:type="dxa"/>
            <w:tcBorders/>
            <w:vAlign w:val="center"/>
          </w:tcPr>
          <w:p>
            <w:pPr>
              <w:pStyle w:val="TableContents"/>
              <w:bidi w:val="0"/>
              <w:spacing w:before="0" w:after="283"/>
              <w:jc w:val="left"/>
              <w:rPr/>
            </w:pPr>
            <w:r>
              <w:rPr/>
              <w:t> </w:t>
            </w:r>
          </w:p>
        </w:tc>
        <w:tc>
          <w:tcPr>
            <w:tcW w:w="1094" w:type="dxa"/>
            <w:tcBorders/>
            <w:vAlign w:val="center"/>
          </w:tcPr>
          <w:p>
            <w:pPr>
              <w:pStyle w:val="TableContents"/>
              <w:bidi w:val="0"/>
              <w:spacing w:before="0" w:after="283"/>
              <w:jc w:val="right"/>
              <w:rPr/>
            </w:pPr>
            <w:r>
              <w:rPr/>
              <w:t>17.3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18.4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16.6</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right"/>
              <w:rPr/>
            </w:pPr>
            <w:r>
              <w:rPr/>
              <w:t>17.8</w:t>
            </w:r>
          </w:p>
        </w:tc>
        <w:tc>
          <w:tcPr>
            <w:tcW w:w="245" w:type="dxa"/>
            <w:tcBorders/>
            <w:vAlign w:val="center"/>
          </w:tcPr>
          <w:p>
            <w:pPr>
              <w:pStyle w:val="TableContents"/>
              <w:bidi w:val="0"/>
              <w:spacing w:before="0" w:after="283"/>
              <w:jc w:val="left"/>
              <w:rPr/>
            </w:pPr>
            <w:r>
              <w:rPr/>
              <w: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right"/>
              <w:rPr/>
            </w:pPr>
            <w:r>
              <w:rPr/>
              <w:t>17.7</w:t>
            </w:r>
          </w:p>
        </w:tc>
        <w:tc>
          <w:tcPr>
            <w:tcW w:w="292"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We are incurring additional SG&amp;A costs associated with our strategic initiatives.  The sequential decrease in SG&amp;A expenses is primarily due to uneven attribution of stock-based compensation expense.  SG&amp;A expenses increased versus the prior year periods due to higher stock-based compensation expense, general cost inflation, and a one-time gain recognized in the prior year periods.</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color w:val="000000"/>
          <w:sz w:val="24"/>
        </w:rPr>
        <w:t>Other Income (Expense)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Interest expense for the fiscal quarter ended July 4, 2026 increased $0.3 million versus the fiscal quarter ended April 4, 2026 and decreased $(0.3) million versus the fiscal quarter ended June 28, 2025.  Interest expense for the six fiscal months ended July 4, 2026 increased $0.9 million versus the six fiscal months ended June 28, 2025.  The increase versus the prior year-to-date period is due to higher average outstanding balances on our revolving credit facility.</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4"/>
        </w:rPr>
        <w:t xml:space="preserve">In the third fiscal quarter of 2026, we reduced the outstanding balance of the revolving credit facility to zero using a portion of the net proceeds from the sale of our common stock.  </w:t>
      </w:r>
      <w:r>
        <w:rPr>
          <w:rFonts w:ascii="Aptos" w:hAnsi="Aptos"/>
          <w:sz w:val="24"/>
        </w:rPr>
        <w:t>We expect interest expense in the third fiscal quarter to be approximately $7 million.</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 xml:space="preserve">The following tables analyze the components of the line “Other” on the consolidated condensed statements of operations </w:t>
      </w:r>
      <w:r>
        <w:rPr>
          <w:rFonts w:ascii="Times New Roman" w:hAnsi="Times New Roman"/>
          <w:i/>
          <w:color w:val="000000"/>
          <w:sz w:val="24"/>
        </w:rPr>
        <w:t>(in thousands):</w:t>
      </w:r>
      <w:r>
        <w:rPr>
          <w:rFonts w:ascii="Times New Roman" w:hAnsi="Times New Roman"/>
          <w:sz w:val="24"/>
        </w:rPr>
        <w:t xml:space="preserve"> </w:t>
      </w:r>
    </w:p>
    <w:p>
      <w:pPr>
        <w:pStyle w:val="TextBody"/>
        <w:bidi w:val="0"/>
        <w:spacing w:before="0" w:after="0"/>
        <w:jc w:val="both"/>
        <w:rPr/>
      </w:pPr>
      <w:r>
        <w:rPr/>
        <w:t xml:space="preserve">  </w:t>
      </w:r>
    </w:p>
    <w:tbl>
      <w:tblPr>
        <w:tblW w:w="9560" w:type="dxa"/>
        <w:jc w:val="left"/>
        <w:tblInd w:w="0" w:type="dxa"/>
        <w:tblLayout w:type="fixed"/>
        <w:tblCellMar>
          <w:top w:w="0" w:type="dxa"/>
          <w:left w:w="0" w:type="dxa"/>
          <w:bottom w:w="0" w:type="dxa"/>
          <w:right w:w="0" w:type="dxa"/>
        </w:tblCellMar>
      </w:tblPr>
      <w:tblGrid>
        <w:gridCol w:w="4850"/>
        <w:gridCol w:w="170"/>
        <w:gridCol w:w="1265"/>
        <w:gridCol w:w="185"/>
        <w:gridCol w:w="90"/>
        <w:gridCol w:w="170"/>
        <w:gridCol w:w="1370"/>
        <w:gridCol w:w="185"/>
        <w:gridCol w:w="90"/>
        <w:gridCol w:w="170"/>
        <w:gridCol w:w="845"/>
        <w:gridCol w:w="170"/>
      </w:tblGrid>
      <w:tr>
        <w:trPr/>
        <w:tc>
          <w:tcPr>
            <w:tcW w:w="48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850" w:type="dxa"/>
            <w:tcBorders/>
            <w:vAlign w:val="center"/>
          </w:tcPr>
          <w:p>
            <w:pPr>
              <w:pStyle w:val="TableContents"/>
              <w:bidi w:val="0"/>
              <w:spacing w:before="0" w:after="283"/>
              <w:jc w:val="center"/>
              <w:rPr/>
            </w:pPr>
            <w:r>
              <w:rPr/>
              <w:t> </w:t>
            </w:r>
          </w:p>
        </w:tc>
        <w:tc>
          <w:tcPr>
            <w:tcW w:w="3435"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45"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r>
      <w:tr>
        <w:trPr/>
        <w:tc>
          <w:tcPr>
            <w:tcW w:w="485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370" w:type="dxa"/>
            <w:tcBorders>
              <w:bottom w:val="single" w:sz="2" w:space="0" w:color="000000"/>
            </w:tcBorders>
            <w:tcMar>
              <w:bottom w:w="28" w:type="dxa"/>
            </w:tcMar>
            <w:vAlign w:val="center"/>
          </w:tcPr>
          <w:p>
            <w:pPr>
              <w:pStyle w:val="TableContents"/>
              <w:bidi w:val="0"/>
              <w:spacing w:before="0" w:after="283"/>
              <w:jc w:val="center"/>
              <w:rPr>
                <w:b/>
              </w:rPr>
            </w:pPr>
            <w:r>
              <w:rPr>
                <w:b/>
              </w:rPr>
              <w:t>April 4, 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b/>
              </w:rPr>
            </w:pPr>
            <w:r>
              <w:rPr>
                <w:b/>
              </w:rPr>
              <w:t>Change</w:t>
            </w:r>
          </w:p>
        </w:tc>
        <w:tc>
          <w:tcPr>
            <w:tcW w:w="170" w:type="dxa"/>
            <w:tcBorders/>
            <w:vAlign w:val="center"/>
          </w:tcPr>
          <w:p>
            <w:pPr>
              <w:pStyle w:val="TableContents"/>
              <w:bidi w:val="0"/>
              <w:spacing w:before="0" w:after="283"/>
              <w:jc w:val="center"/>
              <w:rPr/>
            </w:pPr>
            <w:r>
              <w:rPr/>
              <w:t> </w:t>
            </w:r>
          </w:p>
        </w:tc>
      </w:tr>
      <w:tr>
        <w:trPr/>
        <w:tc>
          <w:tcPr>
            <w:tcW w:w="4850" w:type="dxa"/>
            <w:tcBorders/>
            <w:shd w:fill="CCEEFF" w:val="clear"/>
            <w:vAlign w:val="center"/>
          </w:tcPr>
          <w:p>
            <w:pPr>
              <w:pStyle w:val="TableContents"/>
              <w:bidi w:val="0"/>
              <w:spacing w:before="0" w:after="283"/>
              <w:jc w:val="left"/>
              <w:rPr/>
            </w:pPr>
            <w:r>
              <w:rPr/>
              <w:t>Foreign exchange gain (loss)</w:t>
            </w:r>
          </w:p>
        </w:tc>
        <w:tc>
          <w:tcPr>
            <w:tcW w:w="17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(3,555</w:t>
            </w:r>
          </w:p>
        </w:tc>
        <w:tc>
          <w:tcPr>
            <w:tcW w:w="18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70" w:type="dxa"/>
            <w:tcBorders/>
            <w:shd w:fill="CCEEFF" w:val="clear"/>
            <w:vAlign w:val="center"/>
          </w:tcPr>
          <w:p>
            <w:pPr>
              <w:pStyle w:val="TableContents"/>
              <w:bidi w:val="0"/>
              <w:spacing w:before="0" w:after="283"/>
              <w:jc w:val="right"/>
              <w:rPr/>
            </w:pPr>
            <w:r>
              <w:rPr/>
              <w:t>(586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(2,969</w:t>
            </w:r>
          </w:p>
        </w:tc>
        <w:tc>
          <w:tcPr>
            <w:tcW w:w="170" w:type="dxa"/>
            <w:tcBorders/>
            <w:shd w:fill="CCEEFF" w:val="clear"/>
            <w:vAlign w:val="center"/>
          </w:tcPr>
          <w:p>
            <w:pPr>
              <w:pStyle w:val="TableContents"/>
              <w:bidi w:val="0"/>
              <w:spacing w:before="0" w:after="283"/>
              <w:jc w:val="left"/>
              <w:rPr/>
            </w:pPr>
            <w:r>
              <w:rPr/>
              <w:t>)</w:t>
            </w:r>
          </w:p>
        </w:tc>
      </w:tr>
      <w:tr>
        <w:trPr/>
        <w:tc>
          <w:tcPr>
            <w:tcW w:w="4850" w:type="dxa"/>
            <w:tcBorders/>
            <w:vAlign w:val="center"/>
          </w:tcPr>
          <w:p>
            <w:pPr>
              <w:pStyle w:val="TableContents"/>
              <w:bidi w:val="0"/>
              <w:spacing w:before="0" w:after="283"/>
              <w:jc w:val="left"/>
              <w:rPr/>
            </w:pPr>
            <w:r>
              <w:rPr/>
              <w:t>Interest income</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4,088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3,038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1,050</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Other components of net periodic pension expense</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(1,903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70" w:type="dxa"/>
            <w:tcBorders/>
            <w:shd w:fill="CCEEFF" w:val="clear"/>
            <w:vAlign w:val="center"/>
          </w:tcPr>
          <w:p>
            <w:pPr>
              <w:pStyle w:val="TableContents"/>
              <w:bidi w:val="0"/>
              <w:spacing w:before="0" w:after="283"/>
              <w:jc w:val="right"/>
              <w:rPr/>
            </w:pPr>
            <w:r>
              <w:rPr/>
              <w:t>(1,919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16</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Investment income</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568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right"/>
              <w:rPr/>
            </w:pPr>
            <w:r>
              <w:rPr/>
              <w:t>170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398</w:t>
            </w:r>
          </w:p>
        </w:tc>
        <w:tc>
          <w:tcPr>
            <w:tcW w:w="170"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Other</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CCEEFF" w:val="clear"/>
            <w:tcMar>
              <w:bottom w:w="28" w:type="dxa"/>
            </w:tcMar>
            <w:vAlign w:val="center"/>
          </w:tcPr>
          <w:p>
            <w:pPr>
              <w:pStyle w:val="TableContents"/>
              <w:bidi w:val="0"/>
              <w:spacing w:before="0" w:after="283"/>
              <w:jc w:val="right"/>
              <w:rPr/>
            </w:pPr>
            <w:r>
              <w:rPr/>
              <w:t>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70" w:type="dxa"/>
            <w:tcBorders>
              <w:bottom w:val="single" w:sz="6" w:space="0" w:color="000000"/>
            </w:tcBorders>
            <w:shd w:fill="CCEEFF" w:val="clear"/>
            <w:tcMar>
              <w:bottom w:w="28" w:type="dxa"/>
            </w:tcMar>
            <w:vAlign w:val="center"/>
          </w:tcPr>
          <w:p>
            <w:pPr>
              <w:pStyle w:val="TableContents"/>
              <w:bidi w:val="0"/>
              <w:spacing w:before="0" w:after="283"/>
              <w:jc w:val="right"/>
              <w:rPr/>
            </w:pPr>
            <w:r>
              <w:rPr/>
              <w:t>(2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shd w:fill="CCEEFF" w:val="clear"/>
            <w:tcMar>
              <w:bottom w:w="28" w:type="dxa"/>
            </w:tcMar>
            <w:vAlign w:val="center"/>
          </w:tcPr>
          <w:p>
            <w:pPr>
              <w:pStyle w:val="TableContents"/>
              <w:bidi w:val="0"/>
              <w:spacing w:before="0" w:after="283"/>
              <w:jc w:val="right"/>
              <w:rPr/>
            </w:pPr>
            <w:r>
              <w:rPr/>
              <w:t>10</w:t>
            </w:r>
          </w:p>
        </w:tc>
        <w:tc>
          <w:tcPr>
            <w:tcW w:w="170"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tcMar>
              <w:bottom w:w="28" w:type="dxa"/>
            </w:tcMar>
            <w:vAlign w:val="center"/>
          </w:tcPr>
          <w:p>
            <w:pPr>
              <w:pStyle w:val="TableContents"/>
              <w:bidi w:val="0"/>
              <w:spacing w:before="0" w:after="283"/>
              <w:jc w:val="right"/>
              <w:rPr/>
            </w:pPr>
            <w:r>
              <w:rPr/>
              <w:t>(794</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70" w:type="dxa"/>
            <w:tcBorders>
              <w:bottom w:val="double" w:sz="6" w:space="0" w:color="000000"/>
            </w:tcBorders>
            <w:tcMar>
              <w:bottom w:w="28" w:type="dxa"/>
            </w:tcMar>
            <w:vAlign w:val="center"/>
          </w:tcPr>
          <w:p>
            <w:pPr>
              <w:pStyle w:val="TableContents"/>
              <w:bidi w:val="0"/>
              <w:spacing w:before="0" w:after="283"/>
              <w:jc w:val="right"/>
              <w:rPr/>
            </w:pPr>
            <w:r>
              <w:rPr/>
              <w:t>701</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tcMar>
              <w:bottom w:w="28" w:type="dxa"/>
            </w:tcMar>
            <w:vAlign w:val="center"/>
          </w:tcPr>
          <w:p>
            <w:pPr>
              <w:pStyle w:val="TableContents"/>
              <w:bidi w:val="0"/>
              <w:spacing w:before="0" w:after="283"/>
              <w:jc w:val="right"/>
              <w:rPr/>
            </w:pPr>
            <w:r>
              <w:rPr/>
              <w:t>(1,495</w:t>
            </w:r>
          </w:p>
        </w:tc>
        <w:tc>
          <w:tcPr>
            <w:tcW w:w="17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tbl>
      <w:tblPr>
        <w:tblW w:w="9450" w:type="dxa"/>
        <w:jc w:val="left"/>
        <w:tblInd w:w="0" w:type="dxa"/>
        <w:tblLayout w:type="fixed"/>
        <w:tblCellMar>
          <w:top w:w="0" w:type="dxa"/>
          <w:left w:w="0" w:type="dxa"/>
          <w:bottom w:w="0" w:type="dxa"/>
          <w:right w:w="0" w:type="dxa"/>
        </w:tblCellMar>
      </w:tblPr>
      <w:tblGrid>
        <w:gridCol w:w="4685"/>
        <w:gridCol w:w="90"/>
        <w:gridCol w:w="1265"/>
        <w:gridCol w:w="185"/>
        <w:gridCol w:w="90"/>
        <w:gridCol w:w="170"/>
        <w:gridCol w:w="1445"/>
        <w:gridCol w:w="185"/>
        <w:gridCol w:w="90"/>
        <w:gridCol w:w="170"/>
        <w:gridCol w:w="845"/>
        <w:gridCol w:w="230"/>
      </w:tblGrid>
      <w:tr>
        <w:trPr/>
        <w:tc>
          <w:tcPr>
            <w:tcW w:w="46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685" w:type="dxa"/>
            <w:tcBorders/>
            <w:vAlign w:val="center"/>
          </w:tcPr>
          <w:p>
            <w:pPr>
              <w:pStyle w:val="TableContents"/>
              <w:bidi w:val="0"/>
              <w:spacing w:before="0" w:after="283"/>
              <w:jc w:val="center"/>
              <w:rPr/>
            </w:pPr>
            <w:r>
              <w:rPr/>
              <w:t> </w:t>
            </w:r>
          </w:p>
        </w:tc>
        <w:tc>
          <w:tcPr>
            <w:tcW w:w="3430" w:type="dxa"/>
            <w:gridSpan w:val="7"/>
            <w:tcBorders/>
            <w:vAlign w:val="center"/>
          </w:tcPr>
          <w:p>
            <w:pPr>
              <w:pStyle w:val="TableContents"/>
              <w:bidi w:val="0"/>
              <w:spacing w:before="0" w:after="283"/>
              <w:jc w:val="center"/>
              <w:rPr>
                <w:b/>
              </w:rPr>
            </w:pPr>
            <w:r>
              <w:rPr>
                <w:b/>
              </w:rPr>
              <w:t>Fiscal quarters ended</w:t>
            </w:r>
          </w:p>
        </w:tc>
        <w:tc>
          <w:tcPr>
            <w:tcW w:w="90" w:type="dxa"/>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center"/>
              <w:rPr/>
            </w:pPr>
            <w:r>
              <w:rPr/>
              <w:t> </w:t>
            </w:r>
          </w:p>
        </w:tc>
        <w:tc>
          <w:tcPr>
            <w:tcW w:w="845" w:type="dxa"/>
            <w:tcBorders/>
            <w:vAlign w:val="center"/>
          </w:tcPr>
          <w:p>
            <w:pPr>
              <w:pStyle w:val="TableContents"/>
              <w:bidi w:val="0"/>
              <w:spacing w:before="0" w:after="283"/>
              <w:jc w:val="center"/>
              <w:rPr/>
            </w:pPr>
            <w:r>
              <w:rPr/>
              <w:t> </w:t>
            </w:r>
          </w:p>
        </w:tc>
        <w:tc>
          <w:tcPr>
            <w:tcW w:w="230" w:type="dxa"/>
            <w:tcBorders/>
            <w:vAlign w:val="center"/>
          </w:tcPr>
          <w:p>
            <w:pPr>
              <w:pStyle w:val="TableContents"/>
              <w:bidi w:val="0"/>
              <w:spacing w:before="0" w:after="283"/>
              <w:jc w:val="center"/>
              <w:rPr/>
            </w:pPr>
            <w:r>
              <w:rPr/>
              <w:t> </w:t>
            </w:r>
          </w:p>
        </w:tc>
      </w:tr>
      <w:tr>
        <w:trPr/>
        <w:tc>
          <w:tcPr>
            <w:tcW w:w="4685" w:type="dxa"/>
            <w:tcBorders/>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center"/>
              <w:rPr/>
            </w:pPr>
            <w:r>
              <w:rPr/>
              <w:t> </w:t>
            </w:r>
          </w:p>
        </w:tc>
      </w:tr>
      <w:tr>
        <w:trPr/>
        <w:tc>
          <w:tcPr>
            <w:tcW w:w="4685" w:type="dxa"/>
            <w:tcBorders/>
            <w:shd w:fill="CCEEFF" w:val="clear"/>
            <w:vAlign w:val="center"/>
          </w:tcPr>
          <w:p>
            <w:pPr>
              <w:pStyle w:val="TableContents"/>
              <w:bidi w:val="0"/>
              <w:spacing w:before="0" w:after="283"/>
              <w:jc w:val="left"/>
              <w:rPr/>
            </w:pPr>
            <w:r>
              <w:rPr/>
              <w:t>Foreign exchange gain (loss)</w:t>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(3,555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(1,673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(1,882</w:t>
            </w:r>
          </w:p>
        </w:tc>
        <w:tc>
          <w:tcPr>
            <w:tcW w:w="230" w:type="dxa"/>
            <w:tcBorders/>
            <w:shd w:fill="CCEEFF" w:val="clear"/>
            <w:vAlign w:val="center"/>
          </w:tcPr>
          <w:p>
            <w:pPr>
              <w:pStyle w:val="TableContents"/>
              <w:bidi w:val="0"/>
              <w:spacing w:before="0" w:after="283"/>
              <w:jc w:val="left"/>
              <w:rPr/>
            </w:pPr>
            <w:r>
              <w:rPr/>
              <w:t>)</w:t>
            </w:r>
          </w:p>
        </w:tc>
      </w:tr>
      <w:tr>
        <w:trPr/>
        <w:tc>
          <w:tcPr>
            <w:tcW w:w="468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4,088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4,023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65</w:t>
            </w:r>
          </w:p>
        </w:tc>
        <w:tc>
          <w:tcPr>
            <w:tcW w:w="23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Other components of net period pension expense</w:t>
            </w:r>
          </w:p>
        </w:tc>
        <w:tc>
          <w:tcPr>
            <w:tcW w:w="9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(1,903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(1,794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(109</w:t>
            </w:r>
          </w:p>
        </w:tc>
        <w:tc>
          <w:tcPr>
            <w:tcW w:w="23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Investment income</w:t>
            </w:r>
          </w:p>
        </w:tc>
        <w:tc>
          <w:tcPr>
            <w:tcW w:w="9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568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179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389</w:t>
            </w:r>
          </w:p>
        </w:tc>
        <w:tc>
          <w:tcPr>
            <w:tcW w:w="230" w:type="dxa"/>
            <w:tcBorders/>
            <w:vAlign w:val="center"/>
          </w:tcPr>
          <w:p>
            <w:pPr>
              <w:pStyle w:val="TableContents"/>
              <w:bidi w:val="0"/>
              <w:spacing w:before="0" w:after="283"/>
              <w:jc w:val="left"/>
              <w:rPr/>
            </w:pPr>
            <w:r>
              <w:rPr/>
              <w:t> </w:t>
            </w:r>
          </w:p>
        </w:tc>
      </w:tr>
      <w:tr>
        <w:trPr/>
        <w:tc>
          <w:tcPr>
            <w:tcW w:w="4685" w:type="dxa"/>
            <w:tcBorders/>
            <w:shd w:fill="CCEEFF" w:val="clear"/>
            <w:vAlign w:val="center"/>
          </w:tcPr>
          <w:p>
            <w:pPr>
              <w:pStyle w:val="TableContents"/>
              <w:bidi w:val="0"/>
              <w:spacing w:before="0" w:after="283"/>
              <w:jc w:val="left"/>
              <w:rPr/>
            </w:pPr>
            <w:r>
              <w:rPr/>
              <w:t>Other</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CCEEFF" w:val="clear"/>
            <w:tcMar>
              <w:bottom w:w="28" w:type="dxa"/>
            </w:tcMar>
            <w:vAlign w:val="center"/>
          </w:tcPr>
          <w:p>
            <w:pPr>
              <w:pStyle w:val="TableContents"/>
              <w:bidi w:val="0"/>
              <w:spacing w:before="0" w:after="283"/>
              <w:jc w:val="right"/>
              <w:rPr/>
            </w:pPr>
            <w:r>
              <w:rPr/>
              <w:t>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6" w:space="0" w:color="000000"/>
            </w:tcBorders>
            <w:shd w:fill="CCEEFF" w:val="clear"/>
            <w:tcMar>
              <w:bottom w:w="28" w:type="dxa"/>
            </w:tcMar>
            <w:vAlign w:val="center"/>
          </w:tcPr>
          <w:p>
            <w:pPr>
              <w:pStyle w:val="TableContents"/>
              <w:bidi w:val="0"/>
              <w:spacing w:before="0" w:after="283"/>
              <w:jc w:val="right"/>
              <w:rPr/>
            </w:pPr>
            <w:r>
              <w:rPr/>
              <w:t>12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6" w:space="0" w:color="000000"/>
            </w:tcBorders>
            <w:shd w:fill="CCEEFF" w:val="clear"/>
            <w:tcMar>
              <w:bottom w:w="28" w:type="dxa"/>
            </w:tcMar>
            <w:vAlign w:val="center"/>
          </w:tcPr>
          <w:p>
            <w:pPr>
              <w:pStyle w:val="TableContents"/>
              <w:bidi w:val="0"/>
              <w:spacing w:before="0" w:after="283"/>
              <w:jc w:val="right"/>
              <w:rPr/>
            </w:pPr>
            <w:r>
              <w:rPr/>
              <w:t>(4</w:t>
            </w:r>
          </w:p>
        </w:tc>
        <w:tc>
          <w:tcPr>
            <w:tcW w:w="230" w:type="dxa"/>
            <w:tcBorders/>
            <w:shd w:fill="CCEEFF" w:val="clear"/>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sz w:val="4"/>
                <w:szCs w:val="4"/>
              </w:rPr>
            </w:pPr>
            <w:r>
              <w:rPr>
                <w:sz w:val="4"/>
                <w:szCs w:val="4"/>
              </w:rPr>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5" w:type="dxa"/>
            <w:tcBorders>
              <w:bottom w:val="double" w:sz="6" w:space="0" w:color="000000"/>
            </w:tcBorders>
            <w:tcMar>
              <w:bottom w:w="28" w:type="dxa"/>
            </w:tcMar>
            <w:vAlign w:val="center"/>
          </w:tcPr>
          <w:p>
            <w:pPr>
              <w:pStyle w:val="TableContents"/>
              <w:bidi w:val="0"/>
              <w:spacing w:before="0" w:after="283"/>
              <w:jc w:val="right"/>
              <w:rPr/>
            </w:pPr>
            <w:r>
              <w:rPr/>
              <w:t>(794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747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tcMar>
              <w:bottom w:w="28" w:type="dxa"/>
            </w:tcMar>
            <w:vAlign w:val="center"/>
          </w:tcPr>
          <w:p>
            <w:pPr>
              <w:pStyle w:val="TableContents"/>
              <w:bidi w:val="0"/>
              <w:spacing w:before="0" w:after="283"/>
              <w:jc w:val="right"/>
              <w:rPr/>
            </w:pPr>
            <w:r>
              <w:rPr/>
              <w:t>(1,541</w:t>
            </w:r>
          </w:p>
        </w:tc>
        <w:tc>
          <w:tcPr>
            <w:tcW w:w="23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tbl>
      <w:tblPr>
        <w:tblW w:w="9305" w:type="dxa"/>
        <w:jc w:val="left"/>
        <w:tblInd w:w="0" w:type="dxa"/>
        <w:tblLayout w:type="fixed"/>
        <w:tblCellMar>
          <w:top w:w="0" w:type="dxa"/>
          <w:left w:w="0" w:type="dxa"/>
          <w:bottom w:w="0" w:type="dxa"/>
          <w:right w:w="0" w:type="dxa"/>
        </w:tblCellMar>
      </w:tblPr>
      <w:tblGrid>
        <w:gridCol w:w="4460"/>
        <w:gridCol w:w="170"/>
        <w:gridCol w:w="1265"/>
        <w:gridCol w:w="185"/>
        <w:gridCol w:w="90"/>
        <w:gridCol w:w="170"/>
        <w:gridCol w:w="1445"/>
        <w:gridCol w:w="185"/>
        <w:gridCol w:w="90"/>
        <w:gridCol w:w="170"/>
        <w:gridCol w:w="845"/>
        <w:gridCol w:w="230"/>
      </w:tblGrid>
      <w:tr>
        <w:trPr/>
        <w:tc>
          <w:tcPr>
            <w:tcW w:w="4460" w:type="dxa"/>
            <w:tcBorders/>
            <w:vAlign w:val="center"/>
          </w:tcPr>
          <w:p>
            <w:pPr>
              <w:pStyle w:val="TableContents"/>
              <w:bidi w:val="0"/>
              <w:spacing w:before="0" w:after="283"/>
              <w:jc w:val="left"/>
              <w:rPr/>
            </w:pPr>
            <w:r>
              <w:rPr/>
              <w:t> </w:t>
            </w:r>
          </w:p>
        </w:tc>
        <w:tc>
          <w:tcPr>
            <w:tcW w:w="3510" w:type="dxa"/>
            <w:gridSpan w:val="7"/>
            <w:tcBorders/>
            <w:vAlign w:val="center"/>
          </w:tcPr>
          <w:p>
            <w:pPr>
              <w:pStyle w:val="TableContents"/>
              <w:bidi w:val="0"/>
              <w:spacing w:before="0" w:after="283"/>
              <w:jc w:val="center"/>
              <w:rPr>
                <w:b/>
              </w:rPr>
            </w:pPr>
            <w:r>
              <w:rPr>
                <w:b/>
              </w:rPr>
              <w:t>Six fiscal months ended</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tcMar>
              <w:bottom w:w="28" w:type="dxa"/>
            </w:tcMar>
            <w:vAlign w:val="center"/>
          </w:tcPr>
          <w:p>
            <w:pPr>
              <w:pStyle w:val="TableContents"/>
              <w:bidi w:val="0"/>
              <w:spacing w:before="0" w:after="283"/>
              <w:jc w:val="center"/>
              <w:rPr>
                <w:b/>
              </w:rPr>
            </w:pPr>
            <w:r>
              <w:rPr>
                <w:b/>
              </w:rPr>
              <w:t>Change</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Foreign exchange gain (loss)</w:t>
            </w:r>
          </w:p>
        </w:tc>
        <w:tc>
          <w:tcPr>
            <w:tcW w:w="170" w:type="dxa"/>
            <w:tcBorders/>
            <w:shd w:fill="CCEEFF" w:val="clear"/>
            <w:vAlign w:val="center"/>
          </w:tcPr>
          <w:p>
            <w:pPr>
              <w:pStyle w:val="TableContents"/>
              <w:bidi w:val="0"/>
              <w:spacing w:before="0" w:after="283"/>
              <w:jc w:val="left"/>
              <w:rPr/>
            </w:pPr>
            <w:r>
              <w:rPr/>
              <w:t>$</w:t>
            </w:r>
          </w:p>
        </w:tc>
        <w:tc>
          <w:tcPr>
            <w:tcW w:w="1265" w:type="dxa"/>
            <w:tcBorders/>
            <w:shd w:fill="CCEEFF" w:val="clear"/>
            <w:vAlign w:val="center"/>
          </w:tcPr>
          <w:p>
            <w:pPr>
              <w:pStyle w:val="TableContents"/>
              <w:bidi w:val="0"/>
              <w:spacing w:before="0" w:after="283"/>
              <w:jc w:val="right"/>
              <w:rPr/>
            </w:pPr>
            <w:r>
              <w:rPr/>
              <w:t>(4,141</w:t>
            </w:r>
          </w:p>
        </w:tc>
        <w:tc>
          <w:tcPr>
            <w:tcW w:w="18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445" w:type="dxa"/>
            <w:tcBorders/>
            <w:shd w:fill="CCEEFF" w:val="clear"/>
            <w:vAlign w:val="center"/>
          </w:tcPr>
          <w:p>
            <w:pPr>
              <w:pStyle w:val="TableContents"/>
              <w:bidi w:val="0"/>
              <w:spacing w:before="0" w:after="283"/>
              <w:jc w:val="right"/>
              <w:rPr/>
            </w:pPr>
            <w:r>
              <w:rPr/>
              <w:t>(344</w:t>
            </w:r>
          </w:p>
        </w:tc>
        <w:tc>
          <w:tcPr>
            <w:tcW w:w="18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pPr>
            <w:r>
              <w:rPr/>
              <w:t>(3,797</w:t>
            </w:r>
          </w:p>
        </w:tc>
        <w:tc>
          <w:tcPr>
            <w:tcW w:w="230" w:type="dxa"/>
            <w:tcBorders/>
            <w:shd w:fill="CCEEFF" w:val="clear"/>
            <w:vAlign w:val="center"/>
          </w:tcPr>
          <w:p>
            <w:pPr>
              <w:pStyle w:val="TableContents"/>
              <w:bidi w:val="0"/>
              <w:spacing w:before="0" w:after="283"/>
              <w:jc w:val="left"/>
              <w:rPr/>
            </w:pPr>
            <w:r>
              <w:rPr/>
              <w:t>)</w:t>
            </w:r>
          </w:p>
        </w:tc>
      </w:tr>
      <w:tr>
        <w:trPr/>
        <w:tc>
          <w:tcPr>
            <w:tcW w:w="4460" w:type="dxa"/>
            <w:tcBorders/>
            <w:vAlign w:val="center"/>
          </w:tcPr>
          <w:p>
            <w:pPr>
              <w:pStyle w:val="TableContents"/>
              <w:bidi w:val="0"/>
              <w:spacing w:before="0" w:after="283"/>
              <w:jc w:val="left"/>
              <w:rPr/>
            </w:pPr>
            <w:r>
              <w:rPr/>
              <w:t>Interest income</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7,126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7,900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(774</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 components of net periodic pension cost</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right"/>
              <w:rPr/>
            </w:pPr>
            <w:r>
              <w:rPr/>
              <w:t>(3,822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pPr>
            <w:r>
              <w:rPr/>
              <w:t>(3,491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(331</w:t>
            </w:r>
          </w:p>
        </w:tc>
        <w:tc>
          <w:tcPr>
            <w:tcW w:w="23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pPr>
            <w:r>
              <w:rPr/>
              <w:t>Investment income</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738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pPr>
            <w:r>
              <w:rPr/>
              <w:t>440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right"/>
              <w:rPr/>
            </w:pPr>
            <w:r>
              <w:rPr/>
              <w:t>298</w:t>
            </w:r>
          </w:p>
        </w:tc>
        <w:tc>
          <w:tcPr>
            <w:tcW w:w="230"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left"/>
              <w:rPr/>
            </w:pPr>
            <w:r>
              <w:rPr/>
              <w:t>Other</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shd w:fill="CCEEFF" w:val="clear"/>
            <w:tcMar>
              <w:bottom w:w="28" w:type="dxa"/>
            </w:tcMar>
            <w:vAlign w:val="center"/>
          </w:tcPr>
          <w:p>
            <w:pPr>
              <w:pStyle w:val="TableContents"/>
              <w:bidi w:val="0"/>
              <w:spacing w:before="0" w:after="283"/>
              <w:jc w:val="right"/>
              <w:rPr/>
            </w:pPr>
            <w:r>
              <w:rPr/>
              <w:t>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shd w:fill="CCEEFF" w:val="clear"/>
            <w:tcMar>
              <w:bottom w:w="28" w:type="dxa"/>
            </w:tcMar>
            <w:vAlign w:val="center"/>
          </w:tcPr>
          <w:p>
            <w:pPr>
              <w:pStyle w:val="TableContents"/>
              <w:bidi w:val="0"/>
              <w:spacing w:before="0" w:after="283"/>
              <w:jc w:val="right"/>
              <w:rPr/>
            </w:pPr>
            <w:r>
              <w:rPr/>
              <w:t>(11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pPr>
            <w:r>
              <w:rPr/>
              <w:t>17</w:t>
            </w:r>
          </w:p>
        </w:tc>
        <w:tc>
          <w:tcPr>
            <w:tcW w:w="230" w:type="dxa"/>
            <w:tcBorders/>
            <w:shd w:fill="CCEEFF" w:val="cle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tcMar>
              <w:bottom w:w="28" w:type="dxa"/>
            </w:tcMar>
            <w:vAlign w:val="center"/>
          </w:tcPr>
          <w:p>
            <w:pPr>
              <w:pStyle w:val="TableContents"/>
              <w:bidi w:val="0"/>
              <w:spacing w:before="0" w:after="283"/>
              <w:jc w:val="right"/>
              <w:rPr/>
            </w:pPr>
            <w:r>
              <w:rPr/>
              <w:t>(93</w:t>
            </w:r>
          </w:p>
        </w:tc>
        <w:tc>
          <w:tcPr>
            <w:tcW w:w="18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pPr>
            <w:r>
              <w:rPr/>
              <w:t>4,494</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45" w:type="dxa"/>
            <w:tcBorders>
              <w:bottom w:val="double" w:sz="6" w:space="0" w:color="000000"/>
            </w:tcBorders>
            <w:tcMar>
              <w:bottom w:w="28" w:type="dxa"/>
            </w:tcMar>
            <w:vAlign w:val="center"/>
          </w:tcPr>
          <w:p>
            <w:pPr>
              <w:pStyle w:val="TableContents"/>
              <w:bidi w:val="0"/>
              <w:spacing w:before="0" w:after="283"/>
              <w:jc w:val="right"/>
              <w:rPr/>
            </w:pPr>
            <w:r>
              <w:rPr/>
              <w:t>(4,587</w:t>
            </w:r>
          </w:p>
        </w:tc>
        <w:tc>
          <w:tcPr>
            <w:tcW w:w="23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38</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i/>
          <w:color w:val="000000"/>
          <w:sz w:val="24"/>
        </w:rPr>
        <w:t>Income Taxes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For the fiscal quarter ended July 4, 2026, our effective tax rate was 33.7%, as compared to 44.3% and 83.7% for the fiscal quarters ended April 4, 2026 and June 28, 2025, respectively.  For the six fiscal months ended July 4, 2026, our effective tax rate was 36.1%, as compared to 125.9% for the six fiscal months ended June 28, 2025.  We expect that our effective tax rate will be higher than the U.S. statutory rate, excluding unusual transactions, even at higher levels of pre-tax income.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We continue to evaluate the applicability of Pillar Two to our group, the timing of enactment and effective dates by jurisdiction, and the potential impacts on our effective tax rate, cash taxes, and related income tax disclosures.</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operate in a global environment with significant operations in various locations outside the United States. Accordingly, the consolidated income tax rate is a composite rate reflecting our earnings and the applicable tax rates in the various locations where we operate. Part of our historical strategy has been to achieve cost savings through the transfer and expansion of manufacturing operations to countries where we can take advantage of lower labor costs and available tax and other government-sponsored incentives.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Additional information about income taxes is included in Note 3 to our consolidated condensed financial statements.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39</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color w:val="000000"/>
          <w:sz w:val="24"/>
        </w:rPr>
        <w:t>Financial Condition, Liquidity, and Capital Resources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Our financial condition as of July 4, 2026 is adequate to meet our capital expenditure and other growth plans.  We have historically been a strong generator of operating cash flows.  The cash generated from operations is used to fund our capital expenditure plans, and cash in excess of our capital expenditure needs is available to fund our acquisition strategy, fund our Stockholder Return Policy, and to reduce debt levels.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Management uses a non-GAAP measure, "free cash," to evaluate our ability to fund acquisitions, repay debt, and otherwise enhance stockholder value through stock repurchases or dividends.  See "Overview" above for "free cash" definition and reconciliation to GAAP.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Cash flows provided by operating activities were $169.0 million for the six fiscal months ended July 4, 2026, as compared to cash flows provided by operations of $7.3 million for the six fiscal months ended June 28, 2025.</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In order to manage our working capital and operating cash needs, we monitor our cash conversion cycle.  The following table presents the components of our cash conversion cycle during the five fiscal quarters beginning with the second fiscal quarter of 2025 through the second fiscal quarter of 2026:</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2191"/>
        <w:gridCol w:w="90"/>
        <w:gridCol w:w="1261"/>
        <w:gridCol w:w="185"/>
        <w:gridCol w:w="90"/>
        <w:gridCol w:w="90"/>
        <w:gridCol w:w="1250"/>
        <w:gridCol w:w="185"/>
        <w:gridCol w:w="90"/>
        <w:gridCol w:w="90"/>
        <w:gridCol w:w="1238"/>
        <w:gridCol w:w="185"/>
        <w:gridCol w:w="90"/>
        <w:gridCol w:w="90"/>
        <w:gridCol w:w="1220"/>
        <w:gridCol w:w="185"/>
        <w:gridCol w:w="90"/>
        <w:gridCol w:w="90"/>
        <w:gridCol w:w="1261"/>
        <w:gridCol w:w="234"/>
      </w:tblGrid>
      <w:tr>
        <w:trPr/>
        <w:tc>
          <w:tcPr>
            <w:tcW w:w="219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191" w:type="dxa"/>
            <w:tcBorders/>
            <w:vAlign w:val="center"/>
          </w:tcPr>
          <w:p>
            <w:pPr>
              <w:pStyle w:val="TableContents"/>
              <w:bidi w:val="0"/>
              <w:spacing w:before="0" w:after="283"/>
              <w:jc w:val="center"/>
              <w:rPr/>
            </w:pPr>
            <w:r>
              <w:rPr/>
              <w:t> </w:t>
            </w:r>
          </w:p>
        </w:tc>
        <w:tc>
          <w:tcPr>
            <w:tcW w:w="8014" w:type="dxa"/>
            <w:gridSpan w:val="19"/>
            <w:tcBorders/>
            <w:vAlign w:val="center"/>
          </w:tcPr>
          <w:p>
            <w:pPr>
              <w:pStyle w:val="TableContents"/>
              <w:bidi w:val="0"/>
              <w:spacing w:before="0" w:after="283"/>
              <w:jc w:val="center"/>
              <w:rPr>
                <w:b/>
              </w:rPr>
            </w:pPr>
            <w:r>
              <w:rPr>
                <w:b/>
              </w:rPr>
              <w:t>Fiscal quarters ended</w:t>
            </w:r>
          </w:p>
        </w:tc>
      </w:tr>
      <w:tr>
        <w:trPr/>
        <w:tc>
          <w:tcPr>
            <w:tcW w:w="2191" w:type="dxa"/>
            <w:tcBorders/>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61" w:type="dxa"/>
            <w:tcBorders>
              <w:bottom w:val="single" w:sz="2" w:space="0" w:color="000000"/>
            </w:tcBorders>
            <w:tcMar>
              <w:bottom w:w="28" w:type="dxa"/>
            </w:tcMar>
            <w:vAlign w:val="center"/>
          </w:tcPr>
          <w:p>
            <w:pPr>
              <w:pStyle w:val="TableContents"/>
              <w:bidi w:val="0"/>
              <w:spacing w:before="0" w:after="283"/>
              <w:jc w:val="center"/>
              <w:rPr>
                <w:b/>
              </w:rPr>
            </w:pPr>
            <w:r>
              <w:rPr>
                <w:b/>
              </w:rPr>
              <w:t>2nd Quarter 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b/>
              </w:rPr>
            </w:pPr>
            <w:r>
              <w:rPr>
                <w:b/>
              </w:rPr>
              <w:t>3rd Quarter 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38" w:type="dxa"/>
            <w:tcBorders>
              <w:bottom w:val="single" w:sz="2" w:space="0" w:color="000000"/>
            </w:tcBorders>
            <w:tcMar>
              <w:bottom w:w="28" w:type="dxa"/>
            </w:tcMar>
            <w:vAlign w:val="center"/>
          </w:tcPr>
          <w:p>
            <w:pPr>
              <w:pStyle w:val="TableContents"/>
              <w:bidi w:val="0"/>
              <w:spacing w:before="0" w:after="283"/>
              <w:jc w:val="center"/>
              <w:rPr>
                <w:b/>
              </w:rPr>
            </w:pPr>
            <w:r>
              <w:rPr>
                <w:b/>
              </w:rPr>
              <w:t>4th Quarter 2025</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20" w:type="dxa"/>
            <w:tcBorders>
              <w:bottom w:val="single" w:sz="2" w:space="0" w:color="000000"/>
            </w:tcBorders>
            <w:tcMar>
              <w:bottom w:w="28" w:type="dxa"/>
            </w:tcMar>
            <w:vAlign w:val="center"/>
          </w:tcPr>
          <w:p>
            <w:pPr>
              <w:pStyle w:val="TableContents"/>
              <w:bidi w:val="0"/>
              <w:spacing w:before="0" w:after="283"/>
              <w:jc w:val="center"/>
              <w:rPr>
                <w:b/>
              </w:rPr>
            </w:pPr>
            <w:r>
              <w:rPr>
                <w:b/>
              </w:rPr>
              <w:t>1st Quarter 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61" w:type="dxa"/>
            <w:tcBorders>
              <w:bottom w:val="single" w:sz="2" w:space="0" w:color="000000"/>
            </w:tcBorders>
            <w:tcMar>
              <w:bottom w:w="28" w:type="dxa"/>
            </w:tcMar>
            <w:vAlign w:val="center"/>
          </w:tcPr>
          <w:p>
            <w:pPr>
              <w:pStyle w:val="TableContents"/>
              <w:bidi w:val="0"/>
              <w:spacing w:before="0" w:after="283"/>
              <w:jc w:val="center"/>
              <w:rPr>
                <w:b/>
              </w:rPr>
            </w:pPr>
            <w:r>
              <w:rPr>
                <w:b/>
              </w:rPr>
              <w:t>2nd Quarter 2026</w:t>
            </w:r>
          </w:p>
        </w:tc>
        <w:tc>
          <w:tcPr>
            <w:tcW w:w="234" w:type="dxa"/>
            <w:tcBorders/>
            <w:vAlign w:val="center"/>
          </w:tcPr>
          <w:p>
            <w:pPr>
              <w:pStyle w:val="TableContents"/>
              <w:bidi w:val="0"/>
              <w:spacing w:before="0" w:after="283"/>
              <w:jc w:val="center"/>
              <w:rPr/>
            </w:pPr>
            <w:r>
              <w:rPr/>
              <w:t> </w:t>
            </w:r>
          </w:p>
        </w:tc>
      </w:tr>
      <w:tr>
        <w:trPr/>
        <w:tc>
          <w:tcPr>
            <w:tcW w:w="2191" w:type="dxa"/>
            <w:tcBorders/>
            <w:shd w:fill="CCEEFF" w:val="clear"/>
            <w:vAlign w:val="center"/>
          </w:tcPr>
          <w:p>
            <w:pPr>
              <w:pStyle w:val="TableContents"/>
              <w:bidi w:val="0"/>
              <w:spacing w:before="0" w:after="283"/>
              <w:jc w:val="left"/>
              <w:rPr/>
            </w:pPr>
            <w:r>
              <w:rPr/>
              <w:t>Days sales outstanding ("DSO")(a)</w:t>
            </w:r>
          </w:p>
        </w:tc>
        <w:tc>
          <w:tcPr>
            <w:tcW w:w="9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pPr>
            <w:r>
              <w:rPr/>
              <w:t>53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38" w:type="dxa"/>
            <w:tcBorders/>
            <w:shd w:fill="CCEEFF" w:val="clear"/>
            <w:vAlign w:val="center"/>
          </w:tcPr>
          <w:p>
            <w:pPr>
              <w:pStyle w:val="TableContents"/>
              <w:bidi w:val="0"/>
              <w:spacing w:before="0" w:after="283"/>
              <w:jc w:val="right"/>
              <w:rPr/>
            </w:pPr>
            <w:r>
              <w:rPr/>
              <w:t>48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pPr>
            <w:r>
              <w:rPr/>
              <w:t>38</w:t>
            </w:r>
          </w:p>
        </w:tc>
        <w:tc>
          <w:tcPr>
            <w:tcW w:w="234" w:type="dxa"/>
            <w:tcBorders/>
            <w:shd w:fill="CCEEFF" w:val="clear"/>
            <w:vAlign w:val="center"/>
          </w:tcPr>
          <w:p>
            <w:pPr>
              <w:pStyle w:val="TableContents"/>
              <w:bidi w:val="0"/>
              <w:spacing w:before="0" w:after="283"/>
              <w:jc w:val="left"/>
              <w:rPr/>
            </w:pPr>
            <w:r>
              <w:rPr/>
              <w:t> </w:t>
            </w:r>
          </w:p>
        </w:tc>
      </w:tr>
      <w:tr>
        <w:trPr/>
        <w:tc>
          <w:tcPr>
            <w:tcW w:w="2191" w:type="dxa"/>
            <w:tcBorders/>
            <w:vAlign w:val="center"/>
          </w:tcPr>
          <w:p>
            <w:pPr>
              <w:pStyle w:val="TableContents"/>
              <w:bidi w:val="0"/>
              <w:spacing w:before="0" w:after="283"/>
              <w:jc w:val="left"/>
              <w:rPr/>
            </w:pPr>
            <w:r>
              <w:rPr/>
              <w:t>Days inventory outstanding ("DIO")(b)</w:t>
            </w:r>
          </w:p>
        </w:tc>
        <w:tc>
          <w:tcPr>
            <w:tcW w:w="9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pPr>
            <w:r>
              <w:rPr/>
              <w:t>108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107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106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right"/>
              <w:rPr/>
            </w:pPr>
            <w:r>
              <w:rPr/>
              <w:t>102</w:t>
            </w:r>
          </w:p>
        </w:tc>
        <w:tc>
          <w:tcPr>
            <w:tcW w:w="234" w:type="dxa"/>
            <w:tcBorders/>
            <w:vAlign w:val="center"/>
          </w:tcPr>
          <w:p>
            <w:pPr>
              <w:pStyle w:val="TableContents"/>
              <w:bidi w:val="0"/>
              <w:spacing w:before="0" w:after="283"/>
              <w:jc w:val="left"/>
              <w:rPr/>
            </w:pPr>
            <w:r>
              <w:rPr/>
              <w:t> </w:t>
            </w:r>
          </w:p>
        </w:tc>
      </w:tr>
      <w:tr>
        <w:trPr/>
        <w:tc>
          <w:tcPr>
            <w:tcW w:w="2191" w:type="dxa"/>
            <w:tcBorders/>
            <w:shd w:fill="CCEEFF" w:val="clear"/>
            <w:vAlign w:val="center"/>
          </w:tcPr>
          <w:p>
            <w:pPr>
              <w:pStyle w:val="TableContents"/>
              <w:bidi w:val="0"/>
              <w:spacing w:before="0" w:after="283"/>
              <w:jc w:val="left"/>
              <w:rPr/>
            </w:pPr>
            <w:r>
              <w:rPr/>
              <w:t>Days payable outstanding ("DPO")(c)</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6" w:space="0" w:color="000000"/>
            </w:tcBorders>
            <w:shd w:fill="CCEEFF" w:val="clear"/>
            <w:tcMar>
              <w:bottom w:w="28" w:type="dxa"/>
            </w:tcMar>
            <w:vAlign w:val="center"/>
          </w:tcPr>
          <w:p>
            <w:pPr>
              <w:pStyle w:val="TableContents"/>
              <w:bidi w:val="0"/>
              <w:spacing w:before="0" w:after="283"/>
              <w:jc w:val="right"/>
              <w:rPr/>
            </w:pPr>
            <w:r>
              <w:rPr/>
              <w:t>(32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single" w:sz="6" w:space="0" w:color="000000"/>
            </w:tcBorders>
            <w:shd w:fill="CCEEFF" w:val="clear"/>
            <w:tcMar>
              <w:bottom w:w="28" w:type="dxa"/>
            </w:tcMar>
            <w:vAlign w:val="center"/>
          </w:tcPr>
          <w:p>
            <w:pPr>
              <w:pStyle w:val="TableContents"/>
              <w:bidi w:val="0"/>
              <w:spacing w:before="0" w:after="283"/>
              <w:jc w:val="right"/>
              <w:rPr/>
            </w:pPr>
            <w:r>
              <w:rPr/>
              <w:t>(31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8" w:type="dxa"/>
            <w:tcBorders>
              <w:bottom w:val="single" w:sz="6" w:space="0" w:color="000000"/>
            </w:tcBorders>
            <w:shd w:fill="CCEEFF" w:val="clear"/>
            <w:tcMar>
              <w:bottom w:w="28" w:type="dxa"/>
            </w:tcMar>
            <w:vAlign w:val="center"/>
          </w:tcPr>
          <w:p>
            <w:pPr>
              <w:pStyle w:val="TableContents"/>
              <w:bidi w:val="0"/>
              <w:spacing w:before="0" w:after="283"/>
              <w:jc w:val="right"/>
              <w:rPr/>
            </w:pPr>
            <w:r>
              <w:rPr/>
              <w:t>(30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6" w:space="0" w:color="000000"/>
            </w:tcBorders>
            <w:shd w:fill="CCEEFF" w:val="clear"/>
            <w:tcMar>
              <w:bottom w:w="28" w:type="dxa"/>
            </w:tcMar>
            <w:vAlign w:val="center"/>
          </w:tcPr>
          <w:p>
            <w:pPr>
              <w:pStyle w:val="TableContents"/>
              <w:bidi w:val="0"/>
              <w:spacing w:before="0" w:after="283"/>
              <w:jc w:val="right"/>
              <w:rPr/>
            </w:pPr>
            <w:r>
              <w:rPr/>
              <w:t>(31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single" w:sz="6" w:space="0" w:color="000000"/>
            </w:tcBorders>
            <w:shd w:fill="CCEEFF" w:val="clear"/>
            <w:tcMar>
              <w:bottom w:w="28" w:type="dxa"/>
            </w:tcMar>
            <w:vAlign w:val="center"/>
          </w:tcPr>
          <w:p>
            <w:pPr>
              <w:pStyle w:val="TableContents"/>
              <w:bidi w:val="0"/>
              <w:spacing w:before="0" w:after="283"/>
              <w:jc w:val="right"/>
              <w:rPr/>
            </w:pPr>
            <w:r>
              <w:rPr/>
              <w:t>(30</w:t>
            </w:r>
          </w:p>
        </w:tc>
        <w:tc>
          <w:tcPr>
            <w:tcW w:w="234" w:type="dxa"/>
            <w:tcBorders/>
            <w:shd w:fill="CCEEFF" w:val="clear"/>
            <w:vAlign w:val="center"/>
          </w:tcPr>
          <w:p>
            <w:pPr>
              <w:pStyle w:val="TableContents"/>
              <w:bidi w:val="0"/>
              <w:spacing w:before="0" w:after="283"/>
              <w:jc w:val="left"/>
              <w:rPr/>
            </w:pPr>
            <w:r>
              <w:rPr/>
              <w:t>) </w:t>
            </w:r>
          </w:p>
        </w:tc>
      </w:tr>
      <w:tr>
        <w:trPr/>
        <w:tc>
          <w:tcPr>
            <w:tcW w:w="2191" w:type="dxa"/>
            <w:tcBorders/>
            <w:vAlign w:val="center"/>
          </w:tcPr>
          <w:p>
            <w:pPr>
              <w:pStyle w:val="TableContents"/>
              <w:bidi w:val="0"/>
              <w:spacing w:before="0" w:after="283"/>
              <w:jc w:val="left"/>
              <w:rPr/>
            </w:pPr>
            <w:r>
              <w:rPr/>
              <w:t>Cash conversion cycle</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1" w:type="dxa"/>
            <w:tcBorders>
              <w:bottom w:val="double" w:sz="6" w:space="0" w:color="000000"/>
            </w:tcBorders>
            <w:tcMar>
              <w:bottom w:w="28" w:type="dxa"/>
            </w:tcMar>
            <w:vAlign w:val="center"/>
          </w:tcPr>
          <w:p>
            <w:pPr>
              <w:pStyle w:val="TableContents"/>
              <w:bidi w:val="0"/>
              <w:spacing w:before="0" w:after="283"/>
              <w:jc w:val="right"/>
              <w:rPr/>
            </w:pPr>
            <w:r>
              <w:rPr/>
              <w:t>130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tcMar>
              <w:bottom w:w="28" w:type="dxa"/>
            </w:tcMar>
            <w:vAlign w:val="center"/>
          </w:tcPr>
          <w:p>
            <w:pPr>
              <w:pStyle w:val="TableContents"/>
              <w:bidi w:val="0"/>
              <w:spacing w:before="0" w:after="283"/>
              <w:jc w:val="right"/>
              <w:rPr/>
            </w:pPr>
            <w:r>
              <w:rPr/>
              <w:t>130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38" w:type="dxa"/>
            <w:tcBorders>
              <w:bottom w:val="double" w:sz="6" w:space="0" w:color="000000"/>
            </w:tcBorders>
            <w:tcMar>
              <w:bottom w:w="28" w:type="dxa"/>
            </w:tcMar>
            <w:vAlign w:val="center"/>
          </w:tcPr>
          <w:p>
            <w:pPr>
              <w:pStyle w:val="TableContents"/>
              <w:bidi w:val="0"/>
              <w:spacing w:before="0" w:after="283"/>
              <w:jc w:val="right"/>
              <w:rPr/>
            </w:pPr>
            <w:r>
              <w:rPr/>
              <w:t>125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116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261" w:type="dxa"/>
            <w:tcBorders>
              <w:bottom w:val="double" w:sz="6" w:space="0" w:color="000000"/>
            </w:tcBorders>
            <w:tcMar>
              <w:bottom w:w="28" w:type="dxa"/>
            </w:tcMar>
            <w:vAlign w:val="center"/>
          </w:tcPr>
          <w:p>
            <w:pPr>
              <w:pStyle w:val="TableContents"/>
              <w:bidi w:val="0"/>
              <w:spacing w:before="0" w:after="283"/>
              <w:jc w:val="right"/>
              <w:rPr/>
            </w:pPr>
            <w:r>
              <w:rPr/>
              <w:t>110</w:t>
            </w:r>
          </w:p>
        </w:tc>
        <w:tc>
          <w:tcPr>
            <w:tcW w:w="234"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260" w:right="0" w:hanging="270"/>
        <w:jc w:val="both"/>
        <w:rPr>
          <w:rFonts w:ascii="Times New Roman" w:hAnsi="Times New Roman"/>
          <w:sz w:val="24"/>
        </w:rPr>
      </w:pPr>
      <w:r>
        <w:rPr>
          <w:rFonts w:ascii="Times New Roman" w:hAnsi="Times New Roman"/>
          <w:color w:val="000000"/>
          <w:sz w:val="24"/>
        </w:rPr>
        <w:t>a) DSO measures the average collection period of our receivables.  DSO is calculated by dividing the average accounts receivable by the average net revenue per day for the respective fiscal quarter.</w:t>
      </w:r>
      <w:r>
        <w:rPr>
          <w:rFonts w:ascii="Times New Roman" w:hAnsi="Times New Roman"/>
          <w:sz w:val="24"/>
        </w:rPr>
        <w:t xml:space="preserve"> </w:t>
      </w:r>
    </w:p>
    <w:p>
      <w:pPr>
        <w:pStyle w:val="TextBody"/>
        <w:bidi w:val="0"/>
        <w:spacing w:before="0" w:after="0"/>
        <w:ind w:left="260" w:right="0" w:hanging="270"/>
        <w:jc w:val="both"/>
        <w:rPr>
          <w:rFonts w:ascii="Times New Roman" w:hAnsi="Times New Roman"/>
          <w:sz w:val="24"/>
        </w:rPr>
      </w:pPr>
      <w:r>
        <w:rPr>
          <w:rFonts w:ascii="Times New Roman" w:hAnsi="Times New Roman"/>
          <w:color w:val="000000"/>
          <w:sz w:val="24"/>
        </w:rPr>
        <w:t>b) DIO measures the average number of days from procurement to sale of our product.  DIO is calculated by dividing the average inventory by average cost of goods sold per day for the respective fiscal quarter.</w:t>
      </w:r>
      <w:r>
        <w:rPr>
          <w:rFonts w:ascii="Times New Roman" w:hAnsi="Times New Roman"/>
          <w:sz w:val="24"/>
        </w:rPr>
        <w:t xml:space="preserve"> </w:t>
      </w:r>
    </w:p>
    <w:p>
      <w:pPr>
        <w:pStyle w:val="TextBody"/>
        <w:bidi w:val="0"/>
        <w:spacing w:before="0" w:after="0"/>
        <w:ind w:left="260" w:right="0" w:hanging="270"/>
        <w:jc w:val="both"/>
        <w:rPr>
          <w:rFonts w:ascii="Times New Roman" w:hAnsi="Times New Roman"/>
          <w:sz w:val="24"/>
        </w:rPr>
      </w:pPr>
      <w:r>
        <w:rPr>
          <w:rFonts w:ascii="Times New Roman" w:hAnsi="Times New Roman"/>
          <w:color w:val="000000"/>
          <w:sz w:val="24"/>
        </w:rPr>
        <w:t>c) DPO measures the average number of days our payables remain outstanding before payment.  DPO is calculated by dividing the average accounts payable by the average cost of goods sold per day for the respective fiscal quarter.</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cash conversion cycle improved to 110 days in the second fiscal quarter of 2026, reflecting increased revenues and cost of products sold, our sale of an additional net $15.5 million trade receivables, and disciplined working capital management.</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Cash paid for property and equipment for the six fiscal months ended July 4, 2026 was $205.9 million, as compared to $126.2 million for the six fiscal months ended June 28, 2025.  To be well positioned to service our customers and to fully participate in growing markets, we have increased and expect to maintain a relatively high level of capital expenditures for expansion in the mid-term.  Our elevated capital expenditure levels over the past three years have positioned us with increased capacity to assure our customers of reliable supply as they scale production and to supply more part numbers to them.  We are committed to completing our capacity expansion projects, but have modulated and will continue to modulate spending in response to order flow, timing of customer demand and qualification, changes in lead times for equipment, and increases in subcontractor capacity.  For 2026, we plan to spend between $400 million to $440 million for capital expenditures, approximately half of which will be invested in our 12-inch wafer fab we are building in Itzehoe, Germany.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Free cash flow for the six fiscal months ended July 4, 2026 increased versus the six fiscal months ended June 28, 2025.  Free cash flow for the six fiscal months ended July 4, 2026 was positively impacted by increased net earnings, as well as tariff refunds received from the U.S. government and additional net cash inflows related to our account receivable securitization programs.  We expect that free cash flow will be negatively impacted by the expected high level of capital expenditures for expansion after which we expect to generate increasingly higher levels of free cash.  There is no assurance, however, that we will be able to continue to generate cash flows from operations and free cash at our historical levels, or at all, going forward if the economic environment worsens.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In 2022, our Board of Directors adopted a Stockholder Return Policy that will remain in effect until such time as the Board votes to amend or rescind the policy.  See “Stockholder Return Policy” above for additional information. </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On July 1, 2026, we completed an underwritten public offering of 17.25 million shares of our common stock at a price to the public of $50.00 per share for proceeds of $830.25 million, net of underwriting discounts and issuance costs.  We intend to use the net proceeds from the sale of our common stock in this offering to accelerate our growth initiatives and for general corporate purposes, including to reduce borrowings under our revolving credit facility.</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The following table summarizes the components of net cash and short-term investments (debt) at July 4, 2026 and December 31, 2025 </w:t>
      </w:r>
      <w:r>
        <w:rPr>
          <w:rFonts w:ascii="Times New Roman" w:hAnsi="Times New Roman"/>
          <w:i/>
          <w:color w:val="000000"/>
          <w:sz w:val="24"/>
        </w:rPr>
        <w:t>(in thousands)</w:t>
      </w:r>
      <w:r>
        <w:rPr>
          <w:rFonts w:ascii="Times New Roman" w:hAnsi="Times New Roman"/>
          <w:color w:val="000000"/>
          <w:sz w:val="24"/>
        </w:rPr>
        <w:t>:</w:t>
      </w:r>
      <w:r>
        <w:rPr>
          <w:rFonts w:ascii="Times New Roman" w:hAnsi="Times New Roman"/>
          <w:sz w:val="24"/>
        </w:rPr>
        <w:t xml:space="preserve"> </w:t>
      </w:r>
    </w:p>
    <w:p>
      <w:pPr>
        <w:pStyle w:val="TextBody"/>
        <w:bidi w:val="0"/>
        <w:spacing w:before="0" w:after="0"/>
        <w:jc w:val="both"/>
        <w:rPr/>
      </w:pPr>
      <w:r>
        <w:rPr/>
        <w:t xml:space="preserve">  </w:t>
      </w:r>
    </w:p>
    <w:tbl>
      <w:tblPr>
        <w:tblW w:w="8195" w:type="dxa"/>
        <w:jc w:val="left"/>
        <w:tblInd w:w="0" w:type="dxa"/>
        <w:tblLayout w:type="fixed"/>
        <w:tblCellMar>
          <w:top w:w="0" w:type="dxa"/>
          <w:left w:w="0" w:type="dxa"/>
          <w:bottom w:w="0" w:type="dxa"/>
          <w:right w:w="0" w:type="dxa"/>
        </w:tblCellMar>
      </w:tblPr>
      <w:tblGrid>
        <w:gridCol w:w="4100"/>
        <w:gridCol w:w="170"/>
        <w:gridCol w:w="1265"/>
        <w:gridCol w:w="185"/>
        <w:gridCol w:w="90"/>
        <w:gridCol w:w="170"/>
        <w:gridCol w:w="1985"/>
        <w:gridCol w:w="230"/>
      </w:tblGrid>
      <w:tr>
        <w:trPr/>
        <w:tc>
          <w:tcPr>
            <w:tcW w:w="41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July 4, 2026</w:t>
            </w:r>
          </w:p>
        </w:tc>
        <w:tc>
          <w:tcPr>
            <w:tcW w:w="1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985" w:type="dxa"/>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vAlign w:val="center"/>
          </w:tcPr>
          <w:p>
            <w:pPr>
              <w:pStyle w:val="TableContents"/>
              <w:bidi w:val="0"/>
              <w:spacing w:before="0" w:after="283"/>
              <w:jc w:val="center"/>
              <w:rPr/>
            </w:pPr>
            <w:r>
              <w:rPr/>
              <w:t> </w:t>
            </w:r>
          </w:p>
        </w:tc>
      </w:tr>
      <w:tr>
        <w:trPr/>
        <w:tc>
          <w:tcPr>
            <w:tcW w:w="41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Credit facility</w:t>
            </w:r>
          </w:p>
        </w:tc>
        <w:tc>
          <w:tcPr>
            <w:tcW w:w="170" w:type="dxa"/>
            <w:tcBorders/>
            <w:shd w:fill="CCEEFF" w:val="clear"/>
            <w:vAlign w:val="center"/>
          </w:tcPr>
          <w:p>
            <w:pPr>
              <w:pStyle w:val="TableContents"/>
              <w:bidi w:val="0"/>
              <w:spacing w:before="0" w:after="283"/>
              <w:jc w:val="left"/>
              <w:rPr>
                <w:b/>
              </w:rPr>
            </w:pPr>
            <w:r>
              <w:rPr>
                <w:b/>
              </w:rPr>
              <w:t>$</w:t>
            </w:r>
          </w:p>
        </w:tc>
        <w:tc>
          <w:tcPr>
            <w:tcW w:w="1265" w:type="dxa"/>
            <w:tcBorders/>
            <w:shd w:fill="CCEEFF" w:val="clear"/>
            <w:vAlign w:val="center"/>
          </w:tcPr>
          <w:p>
            <w:pPr>
              <w:pStyle w:val="TableContents"/>
              <w:bidi w:val="0"/>
              <w:spacing w:before="0" w:after="283"/>
              <w:jc w:val="right"/>
              <w:rPr>
                <w:b/>
              </w:rPr>
            </w:pPr>
            <w:r>
              <w:rPr>
                <w:b/>
              </w:rPr>
              <w:t>238,000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219,000</w:t>
            </w:r>
          </w:p>
        </w:tc>
        <w:tc>
          <w:tcPr>
            <w:tcW w:w="23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Convertible senior notes, due 2030</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750,000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750,000</w:t>
            </w:r>
          </w:p>
        </w:tc>
        <w:tc>
          <w:tcPr>
            <w:tcW w:w="23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Deferred financing costs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(15,713</w:t>
            </w:r>
          </w:p>
        </w:tc>
        <w:tc>
          <w:tcPr>
            <w:tcW w:w="185" w:type="dxa"/>
            <w:tcBorders/>
            <w:shd w:fill="CCEEFF" w:val="clear"/>
            <w:vAlign w:val="center"/>
          </w:tcPr>
          <w:p>
            <w:pPr>
              <w:pStyle w:val="TableContents"/>
              <w:bidi w:val="0"/>
              <w:spacing w:before="0" w:after="283"/>
              <w:jc w:val="left"/>
              <w:rPr>
                <w:b/>
              </w:rPr>
            </w:pPr>
            <w:r>
              <w:rPr>
                <w:b/>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(18,107</w:t>
            </w:r>
          </w:p>
        </w:tc>
        <w:tc>
          <w:tcPr>
            <w:tcW w:w="23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debt</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972,287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950,893</w:t>
            </w:r>
          </w:p>
        </w:tc>
        <w:tc>
          <w:tcPr>
            <w:tcW w:w="23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Cash and cash equivalents</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1,297,309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514,966</w:t>
            </w:r>
          </w:p>
        </w:tc>
        <w:tc>
          <w:tcPr>
            <w:tcW w:w="230"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283"/>
              <w:jc w:val="left"/>
              <w:rPr/>
            </w:pPr>
            <w:r>
              <w:rPr/>
              <w:t>Short-term investments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65" w:type="dxa"/>
            <w:tcBorders>
              <w:bottom w:val="single" w:sz="6" w:space="0" w:color="000000"/>
            </w:tcBorders>
            <w:shd w:fill="CCEEFF" w:val="clear"/>
            <w:tcMar>
              <w:bottom w:w="28" w:type="dxa"/>
            </w:tcMar>
            <w:vAlign w:val="center"/>
          </w:tcPr>
          <w:p>
            <w:pPr>
              <w:pStyle w:val="TableContents"/>
              <w:bidi w:val="0"/>
              <w:spacing w:before="0" w:after="283"/>
              <w:jc w:val="right"/>
              <w:rPr>
                <w:b/>
              </w:rPr>
            </w:pPr>
            <w:r>
              <w:rPr>
                <w:b/>
              </w:rPr>
              <w:t>5,263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265</w:t>
            </w:r>
          </w:p>
        </w:tc>
        <w:tc>
          <w:tcPr>
            <w:tcW w:w="230" w:type="dxa"/>
            <w:tcBorders/>
            <w:shd w:fill="CCEEFF" w:val="cle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Net cash and short-term investments (debt)</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65" w:type="dxa"/>
            <w:tcBorders>
              <w:bottom w:val="double" w:sz="6" w:space="0" w:color="000000"/>
            </w:tcBorders>
            <w:tcMar>
              <w:bottom w:w="28" w:type="dxa"/>
            </w:tcMar>
            <w:vAlign w:val="center"/>
          </w:tcPr>
          <w:p>
            <w:pPr>
              <w:pStyle w:val="TableContents"/>
              <w:bidi w:val="0"/>
              <w:spacing w:before="0" w:after="283"/>
              <w:jc w:val="right"/>
              <w:rPr>
                <w:b/>
              </w:rPr>
            </w:pPr>
            <w:r>
              <w:rPr>
                <w:b/>
              </w:rPr>
              <w:t>330,285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(435,662</w:t>
            </w:r>
          </w:p>
        </w:tc>
        <w:tc>
          <w:tcPr>
            <w:tcW w:w="230" w:type="dxa"/>
            <w:tcBorders/>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40</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"Net cash and short-term investments (debt)" does not have a uniform definition and is not recognized in accordance with GAAP. This measure should not be viewed as an alternative to GAAP measures of performance or liquidity.  However, management believes that an analysis of "net cash and short-term investments (debt)" assists investors in understanding aspects of our cash and debt management. The measure, as calculated by us, may not be comparable to similarly titled measures used by other companies.</w:t>
      </w:r>
    </w:p>
    <w:p>
      <w:pPr>
        <w:pStyle w:val="TextBody"/>
        <w:bidi w:val="0"/>
        <w:spacing w:before="0" w:after="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We invest a portion of our excess cash in highly liquid, high-quality instruments with maturities greater than 90 days, but less than 1 year, which we classify as short-term investments on our consolidated condensed balance sheets.  As these investments were funded using a portion of excess cash and represent a significant aspect of our cash management strategy, we include the investments in the calculation of net cash and short-term investments (debt).  Following the completion of our public offering on July 1, 2026, we have increased excess cash available to invest in such instruments.</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interest rates on our short-term investments vary by location.  Transactions related to these investments are classified as investing activities on our consolidated condensed statements of cash flows.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Our business is geographically diverse and our cash is generated by our subsidiaries around the world.  Cash dividends to stockholders, share repurchases, and principal and interest payments on our debt instruments need to be paid by the U.S. parent company, Vishay Intertechnology, Inc.  We continue to allocate capital responsibly between our business, our lenders, and our stockholders.  The capital allocated to our business is further allocated between our subsidiaries to meet local operating cash needs, to fund capital expenditures as part of our growth plan, and to meet corporate funding needs while also aiming to minimize our tax expense.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As of July 4, 2026, $804.9 million of our cash and cash equivalents and short-term investments were held by our U.S. subsidiaries.  The cash generated from the public offering of our common stock completed on July 1, 2026, was held in the U.S. as of July 4, 2026, and will be deployed to execute our global strategic priorities.  As of July 4, 2026, we have approximately $560.4 million of earnings that are deemed not indefinitely reinvested, primarily in Germany and Israel.  Based on the expected timing of future repatriations, we estimate that the tax liability to repatriate these unremitted earnings will be approximately $80.8 million, which has been accrued, but will only be paid upon repatriation of the unremitted earnings.  Repatriating these unremitted earnings earlier than currently planned may not be possible and would incur additional tax expense.  We also have amounts of unremitted foreign earnings, which continue to be reinvested indefinitely, that we have not accrued for the incremental foreign income taxes and withholding taxes payable to foreign jurisdictions that would be incurred to repatriate these amounts.  Certain of these subsidiaries are located in countries with restrictive regulations and high tax rates for repatriating cash.  Due to the uncertainties associated with the ability, timing, and method to repatriate these unremitted earnings and other complexities associated with its hypothetical calculation, determination of the amount of tax expense that would be incurred to repatriate the unremitted earnings is not practicable, but could be significant.  Our undrawn credit facility provides us with adequate operating liquidity in the United States.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Upon successful completion of our growth plan, we expect to generate increasingly higher levels of free cash that will be sufficient to meet our long-term financing needs related to normal operating requirements, regular dividend payments, and share repurchases pursuant to our Stockholder Return Policy, while allowing us to manage our repatriation and financing activities to minimize tax and interest expense.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maintain a $750 million revolving credit agreement with a consortium of banks led by JPMorgan Chase Bank, N.A., that matures on May 8, 2028.  The maximum amount available on the revolving credit facility is restricted by the financial covenants described below.  The credit facility also provides us the ability to request up to $300 million of incremental facilities, subject to the satisfaction of certain conditions, which could take the form of additional revolving commitments, incremental “term loan A” or “term loan B” facilities, or incremental equivalent debt.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Pursuant to the credit facility, the financial maintenance covenants include (a) an interest coverage ratio of not less than 3.25 to 1; and (b) a net leverage ratio of not more than 3.25 to 1 (and a pro forma ratio of 3.00 to 1 on the date of incurrence of additional debt).  Net leverage ratio reduces the measure of outstanding debt by up to $250 million of unrestricted cash.</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The credit facility limits or restricts us from, among other things, incurring indebtedness, incurring liens on its respective assets, making investments and acquisitions (assuming our pro forma net leverage ratio is greater than 2.75 to 1.00), making asset sales, and paying cash dividends and making other restricted payments (assuming our pro forma net leverage ratio is greater than 2.50 to 1.00).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were in compliance with all financial covenants under the credit facility at July 4, 2026.  Our interest coverage ratio and net leverage ratio were 10.70 to 1 and 2.10 to 1, respectively.  We expect to continue to be in compliance with these covenants based on current projections.  The usable capacity on the credit facility is approximately $423 million as of July 4, 2026.</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41</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4"/>
        </w:rPr>
        <w:t xml:space="preserve">If we are not in compliance with all of the required financial covenants, the credit facility could be terminated by the lenders, and any amounts then outstanding pursuant to the credit facility could become immediately payable. Additionally, our convertible senior notes due 2030 </w:t>
      </w:r>
      <w:r>
        <w:rPr>
          <w:rFonts w:ascii="Times New Roman" w:hAnsi="Times New Roman"/>
          <w:spacing w:val="0"/>
          <w:sz w:val="24"/>
        </w:rPr>
        <w:t>(the "2030 Notes") </w:t>
      </w:r>
      <w:r>
        <w:rPr>
          <w:rFonts w:ascii="Times New Roman" w:hAnsi="Times New Roman"/>
          <w:sz w:val="24"/>
        </w:rPr>
        <w:t xml:space="preserve">have cross-default provisions that could accelerate repayment in the event the indebtedness under the credit facility is accelerated.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Borrowings under the credit facility bear interest at variable reference rates plus an interest margin.  The applicable interest margin is based on our total leverage ratio.  We also pay a commitment fee, also based on our total leverage ratio, on undrawn amounts.  U.S. dollar borrowings under the credit facility are based on SOFR (including a customary spread adjustment).  Borrowings in foreign currencies bear interest at currency-specific reference rates plus an interest margin.  Based on our current total leverage ratio of 2.77 to 1, any new U.S. dollar borrowings will bear interest at SOFR plus 2.10% (including the applicable credit spread), and the undrawn commitment fee is 0.35% per annum.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 borrowings under the credit facility are secured by a lien on substantially all assets, including accounts receivable, inventory, machinery and equipment, and general intangibles (but excluding real estate, intellectual property registered or licensed solely for use in, or arising solely under the laws of, any country other than the United States, assets located solely outside of the United States and deposit and securities accounts), of Vishay and certain significant subsidiaries located in the United States, and pledges of stock in certain subsidiaries; and are guaranteed by certain significant subsidiaries.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We had $219 million outstanding on our revolving credit facility at December 31, 2025 and $238 million outstanding at July 4, 2026.  We borrowed $384 million and repaid $365 million on the revolving credit facility during the six fiscal months ended July 4, 2026.  The average outstanding balance on our revolving credit facility calculated at fiscal month-ends was $273 million and the highest amount outstanding at a fiscal month end was $319 million during the six fiscal months ended July 4, 2026.  In the third fiscal quarter of 2026, we used a portion of the net proceeds from the public offering of our common stock completed on July 1, 2026, to fully repay the outstanding balance on our revolving credit facility.  We expect, at least initially, to fund certain future obligations required to be paid by the U.S. parent company by borrowing under our credit facility.  We also expect to continue to use the credit facility from time-to-time to meet certain short-term financing needs.  Additional acquisition activity, convertible debt repurchases, or conversion of our convertible debt instruments, may require additional borrowing under our credit facility or may otherwise require us to incur additional debt.  No principal payments on our debt are due until 2028.</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lineRule="auto" w:line="276" w:before="0" w:after="0"/>
        <w:jc w:val="both"/>
        <w:rPr>
          <w:rFonts w:ascii="TimesNewRoman;Times New Roman;Times;Baskerville;Georgia;serif" w:hAnsi="TimesNewRoman;Times New Roman;Times;Baskerville;Georgia;serif"/>
          <w:sz w:val="24"/>
        </w:rPr>
      </w:pPr>
      <w:r>
        <w:rPr>
          <w:rFonts w:ascii="TimesNewRoman;Times New Roman;Times;Baskerville;Georgia;serif" w:hAnsi="TimesNewRoman;Times New Roman;Times;Baskerville;Georgia;serif"/>
          <w:sz w:val="24"/>
        </w:rPr>
        <w:t>The 2030 Notes were not convertible during the second fiscal quarter of 2026.  The 2030 Notes became eligible for conversion at the option of the holders beginning on July 6, 2026 and will remain eligible for conversion throughout the third fiscal quarter of 2026.  Pursuant to the indenture governing the 2030 Notes, we will satisfy our conversion obligations by paying $1,000 cash per $1,000 principal amount of converted notes and settle any additional amounts due in cash and/or common stock, at our election.  We have the ability to finance a certain amount of any converted 2030 Notes with borrowings from our long-term revolving credit facility.  The principal amount of 2030 Notes and associated deferred financing costs are classified as current liabilities on the consolidated condensed balance sheet.</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42</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4"/>
        </w:rPr>
      </w:pPr>
      <w:r>
        <w:rPr>
          <w:rFonts w:ascii="Times New Roman" w:hAnsi="Times New Roman"/>
          <w:b/>
          <w:color w:val="000000"/>
          <w:sz w:val="24"/>
        </w:rPr>
        <w:t>Safe Harbor Statement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From time to time, information provided by us, including but not limited to statements in this report, or other statements made by or on our behalf, may contain “forward-looking” information within the meaning of the Private Securities Litigation Reform Act of 1995.  Words such as “believe,” “estimate,” “will be,” “will,” “would,” “expect,” “anticipate,” “plan,” “project,” “intend,” “could,” “should,” or other similar words or expressions often identify forward-looking statements.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Such statements are based on current expectations only, and are subject to certain risks, uncertainties, and assumptions, many of which are beyond our control. Should one or more of these risks or uncertainties materialize, or should underlying assumptions prove incorrect, actual results, performance, or achievements may vary materially from those anticipated, estimated, or projected.  Among the factors that could cause actual results to materially differ include: general business and economic conditions; delays or difficulties in implementing our cost reduction strategies; delays or difficulties in expanding our manufacturing capacities; manufacturing or supply chain interruptions or changes in customer demand (including due to political, economic, and health instability and military conflicts and hostilities); an inability to attract and retain highly qualified personnel; changes in foreign currency exchange rates; uncertainty related to the effects of changes in foreign currency exchange rates; competition and technological changes in our industries; difficulties in new product development; difficulties in identifying suitable acquisition candidates, consummating a transaction on terms which we consider acceptable, and integration and performance of acquired businesses; changes in applicable domestic and foreign tax regulations and uncertainty regarding the same; changes in U.S. and foreign trade regulations and tariffs and uncertainty regarding the same; volatility in prices for metals and materials; changes in applicable accounting standards and other factors affecting our operations, markets, capacity to meet demand, products, services, and prices that are set forth in our filings with the SEC, including our annual reports on Form 10-K and our quarterly reports on Form 10-Q.  We undertake no obligation to publicly update or revise any forward-looking statements, whether as a result of new information, future events, or otherwise.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Our 2025 Annual Report on Form 10-K listed various important factors that could cause actual results to differ materially from projected and historic results. We note these factors for investors as permitted by the Private Securities Litigation Reform Act of 1995.  Readers can find them in Part I, Item 1A, of that filing under the heading “Risk Factors.” You should understand that it is not possible to predict or identify all such factors.  Consequently, you should not consider any such list to be a complete set of all potential risks or uncertainties.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4"/>
          <w:u w:val="single"/>
        </w:rPr>
      </w:pPr>
      <w:bookmarkStart w:id="13" w:name="Item_3"/>
      <w:bookmarkEnd w:id="13"/>
      <w:r>
        <w:rPr>
          <w:rFonts w:ascii="Times New Roman" w:hAnsi="Times New Roman"/>
          <w:b/>
          <w:color w:val="000000"/>
          <w:sz w:val="24"/>
          <w:u w:val="single"/>
        </w:rPr>
        <w:t xml:space="preserve">Item 3. Quantitative and Qualitative Disclosures About Market Risk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Part II, Item 7A, “Quantitative and Qualitative Disclosures About Market Risk,” of our Annual Report on Form 10-K for the year ended December 31, 2025, filed with the SEC on February 13, 2026, describes our exposure to market risks.  There have been no material changes to our market risks since December 31, 2025.</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4"/>
          <w:u w:val="single"/>
        </w:rPr>
      </w:pPr>
      <w:bookmarkStart w:id="14" w:name="Item_4"/>
      <w:bookmarkEnd w:id="14"/>
      <w:r>
        <w:rPr>
          <w:rFonts w:ascii="Times New Roman" w:hAnsi="Times New Roman"/>
          <w:b/>
          <w:color w:val="000000"/>
          <w:sz w:val="24"/>
          <w:u w:val="single"/>
        </w:rPr>
        <w:t xml:space="preserve">Item 4. Controls and Procedures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rPr>
        <w:t>Conclusion Regarding the Effectiveness of Disclosure Controls and Procedures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An evaluation was performed under the supervision and with the participation of our management, including the Chief Executive Officer (“CEO”) and Chief Financial Officer (“CFO”), of the effectiveness of the design and operation of our disclosure controls and procedures, as such term is defined under Rule 13a-15(e) and Rule 15d-15(e) promulgated under the Securities Exchange Act of 1934, as amended (the “Exchange Act”).  Based on that evaluation, our CEO and CFO concluded that our disclosure controls and procedures were effective as of the end of the period covered by this quarterly report to ensure that information required to be disclosed in reports that we file or submit under the Exchange Act are: (1) recorded, processed, summarized, and reported within the time periods specified in the SEC’s rules and forms; and (2) accumulated and communicated to our management, including our CEO and CFO, as appropriate to allow timely decisions regarding required disclosure.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color w:val="000000"/>
          <w:sz w:val="24"/>
        </w:rPr>
        <w:t>Changes in Internal Control Over Financial Reporting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There were no changes in our internal control over financial reporting during the period covered by this report that have materially affected, or are reasonably likely to materially affect, our internal control over financial reporting.</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43</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bookmarkStart w:id="15" w:name="PARTIIOTHERINFORMATION"/>
      <w:bookmarkEnd w:id="15"/>
      <w:r>
        <w:rPr/>
        <w:t> </w:t>
      </w:r>
    </w:p>
    <w:p>
      <w:pPr>
        <w:pStyle w:val="TextBody"/>
        <w:bidi w:val="0"/>
        <w:spacing w:before="0" w:after="0"/>
        <w:jc w:val="center"/>
        <w:rPr>
          <w:rFonts w:ascii="Times New Roman" w:hAnsi="Times New Roman"/>
          <w:sz w:val="24"/>
        </w:rPr>
      </w:pPr>
      <w:r>
        <w:rPr>
          <w:rFonts w:ascii="Times New Roman" w:hAnsi="Times New Roman"/>
          <w:b/>
          <w:color w:val="000000"/>
          <w:sz w:val="24"/>
        </w:rPr>
        <w:t>PART II - OTHER INFORMATION</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4"/>
          <w:u w:val="single"/>
        </w:rPr>
      </w:pPr>
      <w:bookmarkStart w:id="16" w:name="Part_II_-_Item_1"/>
      <w:bookmarkEnd w:id="16"/>
      <w:r>
        <w:rPr>
          <w:rFonts w:ascii="Times New Roman" w:hAnsi="Times New Roman"/>
          <w:b/>
          <w:color w:val="000000"/>
          <w:sz w:val="24"/>
          <w:u w:val="single"/>
        </w:rPr>
        <w:t xml:space="preserve">Item 1. Legal Proceedings </w:t>
      </w:r>
    </w:p>
    <w:p>
      <w:pPr>
        <w:pStyle w:val="TextBody"/>
        <w:bidi w:val="0"/>
        <w:spacing w:before="0" w:after="0"/>
        <w:jc w:val="both"/>
        <w:rPr/>
      </w:pPr>
      <w:r>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Item 3 of Part I of our Annual Report on Form 10-K for the year ended December 31, 2025, filed with the SEC on February 13, 2026 describes certain of our legal proceedings.  There have been no material developments to the legal proceedings previously disclosed. </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4"/>
          <w:u w:val="single"/>
        </w:rPr>
      </w:pPr>
      <w:bookmarkStart w:id="17" w:name="Part_II_-_Item_1A"/>
      <w:bookmarkEnd w:id="17"/>
      <w:r>
        <w:rPr>
          <w:rFonts w:ascii="Times New Roman" w:hAnsi="Times New Roman"/>
          <w:b/>
          <w:color w:val="000000"/>
          <w:sz w:val="24"/>
          <w:u w:val="single"/>
        </w:rPr>
        <w:t xml:space="preserve">Item 1A. Risk Factors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There have been no material changes to the risk factors we previously disclosed under Item 1A of Part I of our Annual Report on Form 10-K for the year ended December 31, 2025, filed with the SEC on February 13, 2026.</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4"/>
          <w:u w:val="single"/>
        </w:rPr>
      </w:pPr>
      <w:bookmarkStart w:id="18" w:name="Part_II_-_Item_2"/>
      <w:bookmarkEnd w:id="18"/>
      <w:r>
        <w:rPr>
          <w:rFonts w:ascii="Times New Roman" w:hAnsi="Times New Roman"/>
          <w:b/>
          <w:color w:val="000000"/>
          <w:sz w:val="24"/>
          <w:u w:val="single"/>
        </w:rPr>
        <w:t xml:space="preserve">Item 2. Unregistered Sales of Equity Securities and Use of Proceeds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Not applicable.</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4"/>
          <w:u w:val="single"/>
        </w:rPr>
      </w:pPr>
      <w:bookmarkStart w:id="19" w:name="Part_II_-_Item_3"/>
      <w:bookmarkEnd w:id="19"/>
      <w:r>
        <w:rPr>
          <w:rFonts w:ascii="Times New Roman" w:hAnsi="Times New Roman"/>
          <w:b/>
          <w:color w:val="000000"/>
          <w:sz w:val="24"/>
          <w:u w:val="single"/>
        </w:rPr>
        <w:t xml:space="preserve">Item 3. Defaults Upon Senior Securities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Not applicable.</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4"/>
          <w:u w:val="single"/>
        </w:rPr>
      </w:pPr>
      <w:bookmarkStart w:id="20" w:name="Part_II_-_Item_4"/>
      <w:bookmarkEnd w:id="20"/>
      <w:r>
        <w:rPr>
          <w:rFonts w:ascii="Times New Roman" w:hAnsi="Times New Roman"/>
          <w:b/>
          <w:color w:val="000000"/>
          <w:sz w:val="24"/>
          <w:u w:val="single"/>
        </w:rPr>
        <w:t xml:space="preserve">Item 4. Mine Safety Disclosures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Not applicable.</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color w:val="000000"/>
          <w:sz w:val="24"/>
          <w:u w:val="single"/>
        </w:rPr>
      </w:pPr>
      <w:bookmarkStart w:id="21" w:name="Part_II_-_Item_5"/>
      <w:bookmarkEnd w:id="21"/>
      <w:r>
        <w:rPr>
          <w:rFonts w:ascii="Times New Roman" w:hAnsi="Times New Roman"/>
          <w:b/>
          <w:color w:val="000000"/>
          <w:sz w:val="24"/>
          <w:u w:val="single"/>
        </w:rPr>
        <w:t xml:space="preserve">Item 5. Other Information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4"/>
        </w:rPr>
        <w:t>During the fiscal quarter ended July 4, 2026, the individuals listed below serving as directors (as defined in Rule 16a-1(f) of the Exchange Act) of the Company adopted trading arrangements for the sale of the Company's securities as described in Item 408 of Regulation S-K of the Securities Act.  The material terms of the plans which are intended to satisfy the affirmative defense conditions of Rule 10b5-1(c) of the Exchange Act ("Rule 10b5-1 Plan"), are as follows:</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4"/>
        </w:rPr>
        <w:t>Raanan Zilberman, Director, adopted a Rule 10b5-1 Plan on June 8, 2026.  Under this plan, an aggregate of 24,084 shares of common stock, net of any portion of such shares which are surrendered to the Company or sold to cover withholding taxes, may be sold before the plan expires on September 30, 2027.</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Ruta Zandman, Director, adopted a Rule 10b5-1 Plan on June 11, 2026.  Under this plan, an aggregate of 78,507 shares of common stock, net of any portion of such shares which are surrendered to the Company or sold to cover withholding taxes, may be sold before the plan expires on January 30, 2027.</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Dr. Renee B. Booth, Director, adopted a Rule 10b5-1 Plan on June 12, 2026.  Under this plan, an aggregate of 8,255 shares of common stock, net of any portion of such shares which are surrendered to the Company or sold to cover withholding taxes, may be sold before the plan expires on September 13, 2027.</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Dr. Abraham Ludomirski, Director, adopted a Rule 10b5-1 Plan on June 12, 2026.  Under this plan, an aggregate of 10,000 shares of common stock, net of any portion of such shares which are surrendered to the Company or sold to cover withholding taxes, may be sold before the plan expires on June 1, 2027.</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4"/>
        </w:rPr>
      </w:pPr>
      <w:r>
        <w:rPr>
          <w:rFonts w:ascii="Times New Roman" w:hAnsi="Times New Roman"/>
          <w:spacing w:val="0"/>
          <w:sz w:val="24"/>
        </w:rPr>
        <w:t>Dr. Michiko Kurahashi, Director, adopted a Rule 10b5-1 Plan on June 16, 2026.  Under this plan, an aggregate of 4,000 shares of common stock, net of any portion of such shares which are surrendered to the Company or sold to cover withholding taxes, may be sold before the plan expires on June 19, 2027.</w:t>
      </w:r>
    </w:p>
    <w:p>
      <w:pPr>
        <w:pStyle w:val="TextBody"/>
        <w:bidi w:val="0"/>
        <w:spacing w:before="0" w:after="0"/>
        <w:jc w:val="both"/>
        <w:rPr/>
      </w:pPr>
      <w:r>
        <w:rPr/>
        <w:t xml:space="preserve">  </w:t>
      </w:r>
    </w:p>
    <w:p>
      <w:pPr>
        <w:pStyle w:val="TextBody"/>
        <w:bidi w:val="0"/>
        <w:spacing w:before="0" w:after="0"/>
        <w:jc w:val="both"/>
        <w:rPr>
          <w:rFonts w:ascii="Times New Roman" w:hAnsi="Times New Roman"/>
          <w:b/>
          <w:color w:val="000000"/>
          <w:sz w:val="24"/>
          <w:u w:val="single"/>
        </w:rPr>
      </w:pPr>
      <w:bookmarkStart w:id="22" w:name="Part_II_-_Item_6"/>
      <w:bookmarkEnd w:id="22"/>
      <w:r>
        <w:rPr>
          <w:rFonts w:ascii="Times New Roman" w:hAnsi="Times New Roman"/>
          <w:b/>
          <w:color w:val="000000"/>
          <w:sz w:val="24"/>
          <w:u w:val="single"/>
        </w:rPr>
        <w:t xml:space="preserve">Item 6. Exhibits </w:t>
      </w:r>
    </w:p>
    <w:p>
      <w:pPr>
        <w:pStyle w:val="TextBody"/>
        <w:bidi w:val="0"/>
        <w:spacing w:before="0" w:after="0"/>
        <w:jc w:val="both"/>
        <w:rPr/>
      </w:pPr>
      <w:r>
        <w:rPr/>
        <w:t xml:space="preserve">  </w:t>
      </w:r>
    </w:p>
    <w:tbl>
      <w:tblPr>
        <w:tblW w:w="10205" w:type="dxa"/>
        <w:jc w:val="left"/>
        <w:tblInd w:w="0" w:type="dxa"/>
        <w:tblLayout w:type="fixed"/>
        <w:tblCellMar>
          <w:top w:w="28" w:type="dxa"/>
          <w:left w:w="28" w:type="dxa"/>
          <w:bottom w:w="28" w:type="dxa"/>
          <w:right w:w="28" w:type="dxa"/>
        </w:tblCellMar>
      </w:tblPr>
      <w:tblGrid>
        <w:gridCol w:w="564"/>
        <w:gridCol w:w="9641"/>
      </w:tblGrid>
      <w:tr>
        <w:trPr/>
        <w:tc>
          <w:tcPr>
            <w:tcW w:w="564" w:type="dxa"/>
            <w:tcBorders/>
            <w:shd w:fill="CCEEFF" w:val="clear"/>
            <w:vAlign w:val="center"/>
          </w:tcPr>
          <w:p>
            <w:pPr>
              <w:pStyle w:val="TableContents"/>
              <w:bidi w:val="0"/>
              <w:spacing w:before="0" w:after="283"/>
              <w:jc w:val="center"/>
              <w:rPr/>
            </w:pPr>
            <w:hyperlink r:id="rId2">
              <w:r>
                <w:rPr>
                  <w:rStyle w:val="InternetLink"/>
                </w:rPr>
                <w:t>10.1</w:t>
              </w:r>
            </w:hyperlink>
          </w:p>
        </w:tc>
        <w:tc>
          <w:tcPr>
            <w:tcW w:w="9641" w:type="dxa"/>
            <w:tcBorders/>
            <w:shd w:fill="CCEEFF" w:val="clear"/>
            <w:vAlign w:val="center"/>
          </w:tcPr>
          <w:p>
            <w:pPr>
              <w:pStyle w:val="TableContents"/>
              <w:bidi w:val="0"/>
              <w:spacing w:before="0" w:after="283"/>
              <w:jc w:val="both"/>
              <w:rPr/>
            </w:pPr>
            <w:hyperlink r:id="rId3">
              <w:r>
                <w:rPr>
                  <w:rStyle w:val="InternetLink"/>
                </w:rPr>
                <w:t>Amendment No. 1 to the Vishay Intertechnology, Inc. 2023 Long-Term Incentive Plan.  Incorporated by reference to Annex A to our definitive proxy statement, dated April 8, 2026, for our 2026 Annual Meeting of Stockholders.</w:t>
              </w:r>
            </w:hyperlink>
          </w:p>
        </w:tc>
      </w:tr>
      <w:tr>
        <w:trPr/>
        <w:tc>
          <w:tcPr>
            <w:tcW w:w="564" w:type="dxa"/>
            <w:tcBorders/>
            <w:tcMar>
              <w:top w:w="0" w:type="dxa"/>
              <w:left w:w="0" w:type="dxa"/>
              <w:bottom w:w="0" w:type="dxa"/>
              <w:right w:w="0" w:type="dxa"/>
            </w:tcMar>
            <w:vAlign w:val="center"/>
          </w:tcPr>
          <w:p>
            <w:pPr>
              <w:pStyle w:val="TableContents"/>
              <w:bidi w:val="0"/>
              <w:spacing w:before="0" w:after="283"/>
              <w:jc w:val="center"/>
              <w:rPr/>
            </w:pPr>
            <w:hyperlink w:anchor="exhibit31-1q.htm">
              <w:r>
                <w:rPr>
                  <w:rStyle w:val="InternetLink"/>
                </w:rPr>
                <w:t>31.1</w:t>
              </w:r>
            </w:hyperlink>
            <w:r>
              <w:rPr/>
              <w:t xml:space="preserve"> </w:t>
            </w:r>
          </w:p>
        </w:tc>
        <w:tc>
          <w:tcPr>
            <w:tcW w:w="9641" w:type="dxa"/>
            <w:tcBorders/>
            <w:tcMar>
              <w:top w:w="0" w:type="dxa"/>
              <w:left w:w="0" w:type="dxa"/>
              <w:bottom w:w="0" w:type="dxa"/>
              <w:right w:w="0" w:type="dxa"/>
            </w:tcMar>
            <w:vAlign w:val="center"/>
          </w:tcPr>
          <w:p>
            <w:pPr>
              <w:pStyle w:val="TableContents"/>
              <w:bidi w:val="0"/>
              <w:spacing w:before="0" w:after="283"/>
              <w:jc w:val="both"/>
              <w:rPr/>
            </w:pPr>
            <w:hyperlink w:anchor="exhibit31-1q.htm">
              <w:r>
                <w:rPr>
                  <w:rStyle w:val="InternetLink"/>
                </w:rPr>
                <w:t>Certification pursuant to Rule 13a-14(a) or 15d-14(a) under the Securities Exchange Act of 1934, as adopted pursuant to Section 302 of the Sarbanes-Oxley Act of 2002 - Joel Smejkal, Chief Executive Officer.</w:t>
              </w:r>
            </w:hyperlink>
            <w:r>
              <w:rPr/>
              <w:t xml:space="preserve"> </w:t>
            </w:r>
          </w:p>
        </w:tc>
      </w:tr>
      <w:tr>
        <w:trPr/>
        <w:tc>
          <w:tcPr>
            <w:tcW w:w="564"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exhibit31-2q.htm">
              <w:r>
                <w:rPr>
                  <w:rStyle w:val="InternetLink"/>
                </w:rPr>
                <w:t>31.2</w:t>
              </w:r>
            </w:hyperlink>
            <w:r>
              <w:rPr/>
              <w:t xml:space="preserve"> </w:t>
            </w:r>
          </w:p>
        </w:tc>
        <w:tc>
          <w:tcPr>
            <w:tcW w:w="9641"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xhibit31-2q.htm">
              <w:r>
                <w:rPr>
                  <w:rStyle w:val="InternetLink"/>
                </w:rPr>
                <w:t>Certification pursuant to Rule 13a-14(a) or 15d-14(a) under the Securities Exchange Act of 1934, as adopted pursuant to Section 302 of the Sarbanes-Oxley Act of 2002 - David E. McConnell, Chief Financial Officer.</w:t>
              </w:r>
            </w:hyperlink>
            <w:r>
              <w:rPr/>
              <w:t xml:space="preserve"> </w:t>
            </w:r>
          </w:p>
        </w:tc>
      </w:tr>
      <w:tr>
        <w:trPr/>
        <w:tc>
          <w:tcPr>
            <w:tcW w:w="564" w:type="dxa"/>
            <w:tcBorders/>
            <w:tcMar>
              <w:top w:w="0" w:type="dxa"/>
              <w:left w:w="0" w:type="dxa"/>
              <w:bottom w:w="0" w:type="dxa"/>
              <w:right w:w="0" w:type="dxa"/>
            </w:tcMar>
            <w:vAlign w:val="center"/>
          </w:tcPr>
          <w:p>
            <w:pPr>
              <w:pStyle w:val="TableContents"/>
              <w:bidi w:val="0"/>
              <w:spacing w:before="0" w:after="283"/>
              <w:jc w:val="center"/>
              <w:rPr/>
            </w:pPr>
            <w:hyperlink w:anchor="exhibit32-1q.htm">
              <w:r>
                <w:rPr>
                  <w:rStyle w:val="InternetLink"/>
                </w:rPr>
                <w:t>32.1</w:t>
              </w:r>
            </w:hyperlink>
            <w:r>
              <w:rPr/>
              <w:t xml:space="preserve"> </w:t>
            </w:r>
          </w:p>
        </w:tc>
        <w:tc>
          <w:tcPr>
            <w:tcW w:w="9641" w:type="dxa"/>
            <w:tcBorders/>
            <w:tcMar>
              <w:top w:w="0" w:type="dxa"/>
              <w:left w:w="0" w:type="dxa"/>
              <w:bottom w:w="0" w:type="dxa"/>
              <w:right w:w="0" w:type="dxa"/>
            </w:tcMar>
            <w:vAlign w:val="center"/>
          </w:tcPr>
          <w:p>
            <w:pPr>
              <w:pStyle w:val="TableContents"/>
              <w:bidi w:val="0"/>
              <w:spacing w:before="0" w:after="283"/>
              <w:jc w:val="both"/>
              <w:rPr/>
            </w:pPr>
            <w:hyperlink w:anchor="exhibit32-1q.htm">
              <w:r>
                <w:rPr>
                  <w:rStyle w:val="InternetLink"/>
                </w:rPr>
                <w:t>Certification Pursuant to 18 U.S.C. Section 1350, as adopted pursuant to Section 906 of the Sarbanes-Oxley Act of 2002 – Joel Smejkal, Chief Executive Officer.</w:t>
              </w:r>
            </w:hyperlink>
            <w:r>
              <w:rPr/>
              <w:t xml:space="preserve"> </w:t>
            </w:r>
          </w:p>
        </w:tc>
      </w:tr>
      <w:tr>
        <w:trPr/>
        <w:tc>
          <w:tcPr>
            <w:tcW w:w="564" w:type="dxa"/>
            <w:tcBorders/>
            <w:shd w:fill="CCEEFF" w:val="clear"/>
            <w:tcMar>
              <w:top w:w="0" w:type="dxa"/>
              <w:left w:w="0" w:type="dxa"/>
              <w:bottom w:w="0" w:type="dxa"/>
              <w:right w:w="0" w:type="dxa"/>
            </w:tcMar>
            <w:vAlign w:val="center"/>
          </w:tcPr>
          <w:p>
            <w:pPr>
              <w:pStyle w:val="TableContents"/>
              <w:bidi w:val="0"/>
              <w:spacing w:before="0" w:after="283"/>
              <w:jc w:val="center"/>
              <w:rPr/>
            </w:pPr>
            <w:hyperlink w:anchor="exhibit32-2q.htm">
              <w:r>
                <w:rPr>
                  <w:rStyle w:val="InternetLink"/>
                </w:rPr>
                <w:t>32.2</w:t>
              </w:r>
            </w:hyperlink>
            <w:r>
              <w:rPr/>
              <w:t xml:space="preserve"> </w:t>
            </w:r>
          </w:p>
        </w:tc>
        <w:tc>
          <w:tcPr>
            <w:tcW w:w="9641" w:type="dxa"/>
            <w:tcBorders/>
            <w:shd w:fill="CCEEFF" w:val="clear"/>
            <w:tcMar>
              <w:top w:w="0" w:type="dxa"/>
              <w:left w:w="0" w:type="dxa"/>
              <w:bottom w:w="0" w:type="dxa"/>
              <w:right w:w="0" w:type="dxa"/>
            </w:tcMar>
            <w:vAlign w:val="center"/>
          </w:tcPr>
          <w:p>
            <w:pPr>
              <w:pStyle w:val="TableContents"/>
              <w:bidi w:val="0"/>
              <w:spacing w:before="0" w:after="283"/>
              <w:jc w:val="both"/>
              <w:rPr/>
            </w:pPr>
            <w:hyperlink w:anchor="exhibit32-2q.htm">
              <w:r>
                <w:rPr>
                  <w:rStyle w:val="InternetLink"/>
                </w:rPr>
                <w:t>Certification Pursuant to 18 U.S.C. Section 1350, as adopted pursuant to Section 906 of the Sarbanes-Oxley Act of 2002 – David E. McConnell, Chief Financial Officer.</w:t>
              </w:r>
            </w:hyperlink>
            <w:r>
              <w:rPr/>
              <w:t xml:space="preserve"> </w:t>
            </w:r>
          </w:p>
        </w:tc>
      </w:tr>
      <w:tr>
        <w:trPr/>
        <w:tc>
          <w:tcPr>
            <w:tcW w:w="564" w:type="dxa"/>
            <w:tcBorders/>
            <w:tcMar>
              <w:top w:w="0" w:type="dxa"/>
              <w:left w:w="0" w:type="dxa"/>
              <w:bottom w:w="0" w:type="dxa"/>
              <w:right w:w="0" w:type="dxa"/>
            </w:tcMar>
            <w:vAlign w:val="center"/>
          </w:tcPr>
          <w:p>
            <w:pPr>
              <w:pStyle w:val="TableContents"/>
              <w:bidi w:val="0"/>
              <w:spacing w:before="0" w:after="283"/>
              <w:jc w:val="center"/>
              <w:rPr/>
            </w:pPr>
            <w:r>
              <w:rPr/>
              <w:t xml:space="preserve">101 </w:t>
            </w:r>
          </w:p>
        </w:tc>
        <w:tc>
          <w:tcPr>
            <w:tcW w:w="9641" w:type="dxa"/>
            <w:tcBorders/>
            <w:tcMar>
              <w:top w:w="0" w:type="dxa"/>
              <w:left w:w="0" w:type="dxa"/>
              <w:bottom w:w="0" w:type="dxa"/>
              <w:right w:w="0" w:type="dxa"/>
            </w:tcMar>
            <w:vAlign w:val="center"/>
          </w:tcPr>
          <w:p>
            <w:pPr>
              <w:pStyle w:val="TableContents"/>
              <w:bidi w:val="0"/>
              <w:spacing w:before="0" w:after="283"/>
              <w:jc w:val="left"/>
              <w:rPr/>
            </w:pPr>
            <w:r>
              <w:rPr/>
              <w:t xml:space="preserve">Interactive Data File (Quarterly Report on Form 10-Q, for the quarterly period ended July 4, 2026, furnished in iXBRL (Inline eXtensible Business Reporting Language)). </w:t>
            </w:r>
          </w:p>
        </w:tc>
      </w:tr>
      <w:tr>
        <w:trPr/>
        <w:tc>
          <w:tcPr>
            <w:tcW w:w="564"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104 </w:t>
            </w:r>
          </w:p>
        </w:tc>
        <w:tc>
          <w:tcPr>
            <w:tcW w:w="9641" w:type="dxa"/>
            <w:tcBorders/>
            <w:shd w:fill="CCEEFF" w:val="clear"/>
            <w:tcMar>
              <w:top w:w="0" w:type="dxa"/>
              <w:left w:w="0" w:type="dxa"/>
              <w:bottom w:w="0" w:type="dxa"/>
              <w:right w:w="0" w:type="dxa"/>
            </w:tcMar>
            <w:vAlign w:val="center"/>
          </w:tcPr>
          <w:p>
            <w:pPr>
              <w:pStyle w:val="TableContents"/>
              <w:bidi w:val="0"/>
              <w:spacing w:before="0" w:after="283"/>
              <w:jc w:val="left"/>
              <w:rPr/>
            </w:pPr>
            <w:r>
              <w:rPr/>
              <w:t xml:space="preserve">Cover Page Interactive Data File (formatted as Inline eXtensible Business Reporting Language and contained in Exhibit 101) </w:t>
            </w:r>
          </w:p>
        </w:tc>
      </w:tr>
    </w:tbl>
    <w:p>
      <w:pPr>
        <w:pStyle w:val="TextBody"/>
        <w:bidi w:val="0"/>
        <w:spacing w:before="0" w:after="0"/>
        <w:ind w:left="0" w:right="0" w:hanging="720"/>
        <w:jc w:val="both"/>
        <w:rPr>
          <w:rFonts w:ascii="Times New Roman" w:hAnsi="Times New Roman"/>
          <w:sz w:val="24"/>
        </w:rPr>
      </w:pPr>
      <w:r>
        <w:rPr>
          <w:rFonts w:ascii="Times New Roman" w:hAnsi="Times New Roman"/>
          <w:color w:val="000000"/>
          <w:sz w:val="24"/>
        </w:rPr>
        <w:t>____________</w:t>
      </w:r>
      <w:r>
        <w:rPr>
          <w:rFonts w:ascii="Times New Roman" w:hAnsi="Times New Roman"/>
          <w:sz w:val="24"/>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44</w:t>
      </w:r>
    </w:p>
    <w:p>
      <w:pPr>
        <w:pStyle w:val="HorizontalLine"/>
        <w:bidi w:val="0"/>
        <w:spacing w:before="0" w:after="0"/>
        <w:jc w:val="both"/>
        <w:rPr/>
      </w:pPr>
      <w:r>
        <w:rPr/>
      </w:r>
    </w:p>
    <w:p>
      <w:pPr>
        <w:pStyle w:val="TextBody"/>
        <w:bidi w:val="0"/>
        <w:spacing w:before="0" w:after="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pPr>
      <w:bookmarkStart w:id="23" w:name="SIGNATURES"/>
      <w:bookmarkEnd w:id="23"/>
      <w:r>
        <w:rPr/>
        <w:t> </w:t>
      </w:r>
    </w:p>
    <w:p>
      <w:pPr>
        <w:pStyle w:val="TextBody"/>
        <w:bidi w:val="0"/>
        <w:spacing w:before="0" w:after="0"/>
        <w:jc w:val="center"/>
        <w:rPr>
          <w:rFonts w:ascii="Times New Roman" w:hAnsi="Times New Roman"/>
          <w:sz w:val="24"/>
        </w:rPr>
      </w:pPr>
      <w:r>
        <w:rPr>
          <w:rFonts w:ascii="Times New Roman" w:hAnsi="Times New Roman"/>
          <w:b/>
          <w:color w:val="000000"/>
          <w:sz w:val="24"/>
        </w:rPr>
        <w:t>SIGNATURES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color w:val="000000"/>
          <w:sz w:val="24"/>
        </w:rPr>
        <w:t>Pursuant to the requirements of the Securities Exchange Act of 1934, the registrant has duly caused this report to be signed on its behalf by the undersigned thereunto duly authorized.</w:t>
      </w:r>
      <w:r>
        <w:rPr>
          <w:rFonts w:ascii="Times New Roman" w:hAnsi="Times New Roman"/>
          <w:sz w:val="24"/>
        </w:rPr>
        <w:t xml:space="preserve"> </w:t>
      </w:r>
    </w:p>
    <w:p>
      <w:pPr>
        <w:pStyle w:val="TextBody"/>
        <w:bidi w:val="0"/>
        <w:spacing w:before="0" w:after="0"/>
        <w:jc w:val="both"/>
        <w:rPr/>
      </w:pPr>
      <w:r>
        <w:rPr/>
        <w:t xml:space="preserve">  </w:t>
      </w:r>
    </w:p>
    <w:tbl>
      <w:tblPr>
        <w:tblW w:w="5921" w:type="dxa"/>
        <w:jc w:val="left"/>
        <w:tblInd w:w="0" w:type="dxa"/>
        <w:tblLayout w:type="fixed"/>
        <w:tblCellMar>
          <w:top w:w="28" w:type="dxa"/>
          <w:left w:w="28" w:type="dxa"/>
          <w:bottom w:w="28" w:type="dxa"/>
          <w:right w:w="28" w:type="dxa"/>
        </w:tblCellMar>
      </w:tblPr>
      <w:tblGrid>
        <w:gridCol w:w="161"/>
        <w:gridCol w:w="4998"/>
        <w:gridCol w:w="762"/>
      </w:tblGrid>
      <w:tr>
        <w:trPr/>
        <w:tc>
          <w:tcPr>
            <w:tcW w:w="161" w:type="dxa"/>
            <w:tcBorders/>
            <w:vAlign w:val="center"/>
          </w:tcPr>
          <w:p>
            <w:pPr>
              <w:pStyle w:val="TableContents"/>
              <w:bidi w:val="0"/>
              <w:spacing w:before="0" w:after="283"/>
              <w:jc w:val="left"/>
              <w:rPr/>
            </w:pPr>
            <w:r>
              <w:rPr/>
              <w:t> </w:t>
            </w:r>
          </w:p>
        </w:tc>
        <w:tc>
          <w:tcPr>
            <w:tcW w:w="4998"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60" w:type="dxa"/>
            <w:gridSpan w:val="2"/>
            <w:tcBorders/>
            <w:tcMar>
              <w:top w:w="0" w:type="dxa"/>
              <w:left w:w="0" w:type="dxa"/>
              <w:bottom w:w="0" w:type="dxa"/>
              <w:right w:w="0" w:type="dxa"/>
            </w:tcMar>
            <w:vAlign w:val="center"/>
          </w:tcPr>
          <w:p>
            <w:pPr>
              <w:pStyle w:val="TableContents"/>
              <w:bidi w:val="0"/>
              <w:spacing w:before="0" w:after="283"/>
              <w:jc w:val="both"/>
              <w:rPr/>
            </w:pPr>
            <w:r>
              <w:rPr>
                <w:color w:val="000000"/>
              </w:rPr>
              <w:t>VISHAY INTERTECHNOLOGY, INC.</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98" w:type="dxa"/>
            <w:tcBorders/>
            <w:tcMar>
              <w:top w:w="0" w:type="dxa"/>
              <w:left w:w="0" w:type="dxa"/>
              <w:bottom w:w="0" w:type="dxa"/>
              <w:right w:w="0" w:type="dxa"/>
            </w:tcMar>
            <w:vAlign w:val="center"/>
          </w:tcPr>
          <w:p>
            <w:pPr>
              <w:pStyle w:val="TableContents"/>
              <w:bidi w:val="0"/>
              <w:spacing w:before="0" w:after="283"/>
              <w:jc w:val="left"/>
              <w:rPr/>
            </w:pPr>
            <w:r>
              <w:rPr/>
              <w:t> </w:t>
            </w:r>
          </w:p>
        </w:tc>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98" w:type="dxa"/>
            <w:tcBorders/>
            <w:tcMar>
              <w:top w:w="0" w:type="dxa"/>
              <w:left w:w="0" w:type="dxa"/>
              <w:bottom w:w="0" w:type="dxa"/>
              <w:right w:w="0" w:type="dxa"/>
            </w:tcMar>
            <w:vAlign w:val="center"/>
          </w:tcPr>
          <w:p>
            <w:pPr>
              <w:pStyle w:val="TableContents"/>
              <w:bidi w:val="0"/>
              <w:spacing w:before="0" w:after="283"/>
              <w:jc w:val="both"/>
              <w:rPr/>
            </w:pPr>
            <w:r>
              <w:rPr>
                <w:color w:val="000000"/>
                <w:u w:val="single"/>
              </w:rPr>
              <w:t>/s/ David E. McConnell</w:t>
            </w:r>
            <w:r>
              <w:rPr/>
              <w:t xml:space="preserve"> </w:t>
            </w:r>
          </w:p>
        </w:tc>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4998" w:type="dxa"/>
            <w:tcBorders/>
            <w:tcMar>
              <w:top w:w="0" w:type="dxa"/>
              <w:left w:w="0" w:type="dxa"/>
              <w:bottom w:w="0" w:type="dxa"/>
              <w:right w:w="0" w:type="dxa"/>
            </w:tcMar>
            <w:vAlign w:val="center"/>
          </w:tcPr>
          <w:p>
            <w:pPr>
              <w:pStyle w:val="TableContents"/>
              <w:bidi w:val="0"/>
              <w:spacing w:before="0" w:after="283"/>
              <w:jc w:val="both"/>
              <w:rPr/>
            </w:pPr>
            <w:r>
              <w:rPr>
                <w:color w:val="000000"/>
              </w:rPr>
              <w:t>David E. McConnell</w:t>
            </w:r>
            <w:r>
              <w:rPr/>
              <w:t xml:space="preserve"> </w:t>
            </w:r>
          </w:p>
        </w:tc>
        <w:tc>
          <w:tcPr>
            <w:tcW w:w="76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60" w:type="dxa"/>
            <w:gridSpan w:val="2"/>
            <w:tcBorders/>
            <w:tcMar>
              <w:top w:w="0" w:type="dxa"/>
              <w:left w:w="0" w:type="dxa"/>
              <w:bottom w:w="0" w:type="dxa"/>
              <w:right w:w="0" w:type="dxa"/>
            </w:tcMar>
            <w:vAlign w:val="center"/>
          </w:tcPr>
          <w:p>
            <w:pPr>
              <w:pStyle w:val="TableContents"/>
              <w:bidi w:val="0"/>
              <w:spacing w:before="0" w:after="283"/>
              <w:jc w:val="both"/>
              <w:rPr/>
            </w:pPr>
            <w:r>
              <w:rPr>
                <w:color w:val="000000"/>
              </w:rPr>
              <w:t>Executive Vice President and Chief Financial Officer</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760" w:type="dxa"/>
            <w:gridSpan w:val="2"/>
            <w:tcBorders/>
            <w:tcMar>
              <w:top w:w="0" w:type="dxa"/>
              <w:left w:w="0" w:type="dxa"/>
              <w:bottom w:w="0" w:type="dxa"/>
              <w:right w:w="0" w:type="dxa"/>
            </w:tcMar>
            <w:vAlign w:val="center"/>
          </w:tcPr>
          <w:p>
            <w:pPr>
              <w:pStyle w:val="TableContents"/>
              <w:bidi w:val="0"/>
              <w:spacing w:before="0" w:after="283"/>
              <w:jc w:val="both"/>
              <w:rPr/>
            </w:pPr>
            <w:r>
              <w:rPr>
                <w:color w:val="000000"/>
              </w:rPr>
              <w:t>(as a duly authorized officer and principal financial officer)</w:t>
            </w:r>
            <w:r>
              <w:rPr/>
              <w:t xml:space="preserve"> </w:t>
            </w:r>
          </w:p>
        </w:tc>
      </w:tr>
    </w:tbl>
    <w:p>
      <w:pPr>
        <w:pStyle w:val="TextBody"/>
        <w:bidi w:val="0"/>
        <w:spacing w:before="0" w:after="0"/>
        <w:jc w:val="both"/>
        <w:rPr/>
      </w:pPr>
      <w:r>
        <w:rPr/>
        <w:t xml:space="preserve">  </w:t>
      </w:r>
    </w:p>
    <w:p>
      <w:pPr>
        <w:pStyle w:val="TextBody"/>
        <w:bidi w:val="0"/>
        <w:spacing w:before="0" w:after="0"/>
        <w:jc w:val="both"/>
        <w:rPr/>
      </w:pPr>
      <w:r>
        <w:rPr/>
        <w:t xml:space="preserve">  </w:t>
      </w:r>
    </w:p>
    <w:tbl>
      <w:tblPr>
        <w:tblW w:w="6146" w:type="dxa"/>
        <w:jc w:val="left"/>
        <w:tblInd w:w="0" w:type="dxa"/>
        <w:tblLayout w:type="fixed"/>
        <w:tblCellMar>
          <w:top w:w="28" w:type="dxa"/>
          <w:left w:w="28" w:type="dxa"/>
          <w:bottom w:w="28" w:type="dxa"/>
          <w:right w:w="28" w:type="dxa"/>
        </w:tblCellMar>
      </w:tblPr>
      <w:tblGrid>
        <w:gridCol w:w="161"/>
        <w:gridCol w:w="5540"/>
        <w:gridCol w:w="445"/>
      </w:tblGrid>
      <w:tr>
        <w:trPr/>
        <w:tc>
          <w:tcPr>
            <w:tcW w:w="161" w:type="dxa"/>
            <w:tcBorders/>
            <w:vAlign w:val="center"/>
          </w:tcPr>
          <w:p>
            <w:pPr>
              <w:pStyle w:val="TableContents"/>
              <w:bidi w:val="0"/>
              <w:spacing w:before="0" w:after="283"/>
              <w:jc w:val="left"/>
              <w:rPr/>
            </w:pPr>
            <w:r>
              <w:rPr/>
              <w:t> </w:t>
            </w:r>
          </w:p>
        </w:tc>
        <w:tc>
          <w:tcPr>
            <w:tcW w:w="5540" w:type="dxa"/>
            <w:tcBorders/>
            <w:tcMar>
              <w:top w:w="0" w:type="dxa"/>
              <w:left w:w="0" w:type="dxa"/>
              <w:bottom w:w="0" w:type="dxa"/>
              <w:right w:w="0" w:type="dxa"/>
            </w:tcMar>
            <w:vAlign w:val="center"/>
          </w:tcPr>
          <w:p>
            <w:pPr>
              <w:pStyle w:val="TableContents"/>
              <w:bidi w:val="0"/>
              <w:spacing w:before="0" w:after="283"/>
              <w:jc w:val="both"/>
              <w:rPr/>
            </w:pPr>
            <w:r>
              <w:rPr>
                <w:color w:val="000000"/>
                <w:u w:val="single"/>
              </w:rPr>
              <w:t>/s/ David L. Tomlinson</w:t>
            </w:r>
            <w:r>
              <w:rPr/>
              <w:t xml:space="preserve"> </w:t>
            </w:r>
          </w:p>
        </w:tc>
        <w:tc>
          <w:tcPr>
            <w:tcW w:w="445"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5540" w:type="dxa"/>
            <w:tcBorders/>
            <w:tcMar>
              <w:top w:w="0" w:type="dxa"/>
              <w:left w:w="0" w:type="dxa"/>
              <w:bottom w:w="0" w:type="dxa"/>
              <w:right w:w="0" w:type="dxa"/>
            </w:tcMar>
            <w:vAlign w:val="center"/>
          </w:tcPr>
          <w:p>
            <w:pPr>
              <w:pStyle w:val="TableContents"/>
              <w:bidi w:val="0"/>
              <w:spacing w:before="0" w:after="283"/>
              <w:jc w:val="both"/>
              <w:rPr/>
            </w:pPr>
            <w:r>
              <w:rPr>
                <w:color w:val="000000"/>
              </w:rPr>
              <w:t>David L. Tomlinson</w:t>
            </w:r>
            <w:r>
              <w:rPr/>
              <w:t xml:space="preserve"> </w:t>
            </w:r>
          </w:p>
        </w:tc>
        <w:tc>
          <w:tcPr>
            <w:tcW w:w="445"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5985" w:type="dxa"/>
            <w:gridSpan w:val="2"/>
            <w:tcBorders/>
            <w:tcMar>
              <w:top w:w="0" w:type="dxa"/>
              <w:left w:w="0" w:type="dxa"/>
              <w:bottom w:w="0" w:type="dxa"/>
              <w:right w:w="0" w:type="dxa"/>
            </w:tcMar>
            <w:vAlign w:val="center"/>
          </w:tcPr>
          <w:p>
            <w:pPr>
              <w:pStyle w:val="TableContents"/>
              <w:bidi w:val="0"/>
              <w:spacing w:before="0" w:after="283"/>
              <w:jc w:val="both"/>
              <w:rPr/>
            </w:pPr>
            <w:r>
              <w:rPr>
                <w:color w:val="000000"/>
              </w:rPr>
              <w:t>Senior Vice President - Chief Accounting Officer</w:t>
            </w:r>
            <w:r>
              <w:rPr/>
              <w:t xml:space="preserve"> </w:t>
            </w:r>
          </w:p>
        </w:tc>
      </w:tr>
      <w:tr>
        <w:trPr/>
        <w:tc>
          <w:tcPr>
            <w:tcW w:w="161" w:type="dxa"/>
            <w:tcBorders/>
            <w:vAlign w:val="center"/>
          </w:tcPr>
          <w:p>
            <w:pPr>
              <w:pStyle w:val="TableContents"/>
              <w:bidi w:val="0"/>
              <w:spacing w:before="0" w:after="283"/>
              <w:jc w:val="left"/>
              <w:rPr/>
            </w:pPr>
            <w:r>
              <w:rPr/>
              <w:t> </w:t>
            </w:r>
          </w:p>
        </w:tc>
        <w:tc>
          <w:tcPr>
            <w:tcW w:w="5985" w:type="dxa"/>
            <w:gridSpan w:val="2"/>
            <w:tcBorders/>
            <w:tcMar>
              <w:top w:w="0" w:type="dxa"/>
              <w:left w:w="0" w:type="dxa"/>
              <w:bottom w:w="0" w:type="dxa"/>
              <w:right w:w="0" w:type="dxa"/>
            </w:tcMar>
            <w:vAlign w:val="center"/>
          </w:tcPr>
          <w:p>
            <w:pPr>
              <w:pStyle w:val="TableContents"/>
              <w:bidi w:val="0"/>
              <w:spacing w:before="0" w:after="283"/>
              <w:jc w:val="both"/>
              <w:rPr/>
            </w:pPr>
            <w:r>
              <w:rPr>
                <w:color w:val="000000"/>
              </w:rPr>
              <w:t>(as a duly authorized officer and principal accounting officer)</w:t>
            </w:r>
            <w:r>
              <w:rPr/>
              <w:t xml:space="preserve"> </w:t>
            </w:r>
          </w:p>
        </w:tc>
      </w:tr>
    </w:tbl>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color w:val="000000"/>
          <w:sz w:val="24"/>
        </w:rPr>
        <w:t>Date:  August 5, 2026</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20"/>
          <w:u w:val="none"/>
          <w:effect w:val="none"/>
        </w:rPr>
        <w:t>45</w:t>
      </w:r>
    </w:p>
    <w:p>
      <w:pPr>
        <w:pStyle w:val="HorizontalLine"/>
        <w:bidi w:val="0"/>
        <w:spacing w:before="0" w:after="0"/>
        <w:jc w:val="both"/>
        <w:rPr/>
      </w:pPr>
      <w:r>
        <w:rPr/>
      </w:r>
    </w:p>
    <w:p>
      <w:pPr>
        <w:pStyle w:val="TextBody"/>
        <w:bidi w:val="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bookmarkStart w:id="24" w:name="exhibit31-1q.htm"/>
      <w:bookmarkStart w:id="25" w:name="ksexhibit311q"/>
      <w:bookmarkEnd w:id="24"/>
      <w:bookmarkEnd w:id="25"/>
      <w:r>
        <w:rPr/>
        <w:t xml:space="preserve">  </w:t>
      </w:r>
      <w:r>
        <w:br w:type="page"/>
      </w:r>
    </w:p>
    <w:p>
      <w:pPr>
        <w:pStyle w:val="TextBody"/>
        <w:bidi w:val="0"/>
        <w:spacing w:before="0" w:after="0"/>
        <w:jc w:val="right"/>
        <w:rPr>
          <w:sz w:val="20"/>
        </w:rPr>
      </w:pPr>
      <w:r>
        <w:rPr>
          <w:b/>
          <w:color w:val="000000"/>
          <w:sz w:val="20"/>
        </w:rPr>
        <w:t>Exhibit 31.1</w:t>
      </w:r>
      <w:r>
        <w:rPr>
          <w:sz w:val="20"/>
        </w:rPr>
        <w:t xml:space="preserve"> </w:t>
      </w:r>
    </w:p>
    <w:p>
      <w:pPr>
        <w:pStyle w:val="TextBody"/>
        <w:bidi w:val="0"/>
        <w:spacing w:before="0" w:after="0"/>
        <w:jc w:val="center"/>
        <w:rPr>
          <w:sz w:val="20"/>
        </w:rPr>
      </w:pPr>
      <w:r>
        <w:rPr>
          <w:b/>
          <w:color w:val="000000"/>
          <w:sz w:val="20"/>
        </w:rPr>
        <w:t>CERTIFICATIONS</w:t>
      </w:r>
      <w:r>
        <w:rPr>
          <w:sz w:val="20"/>
        </w:rPr>
        <w:t xml:space="preserve"> </w:t>
      </w:r>
    </w:p>
    <w:p>
      <w:pPr>
        <w:pStyle w:val="TextBody"/>
        <w:bidi w:val="0"/>
        <w:spacing w:before="0" w:after="0"/>
        <w:jc w:val="left"/>
        <w:rPr/>
      </w:pPr>
      <w:r>
        <w:rPr/>
        <w:t xml:space="preserve">  </w:t>
      </w:r>
    </w:p>
    <w:p>
      <w:pPr>
        <w:pStyle w:val="TextBody"/>
        <w:bidi w:val="0"/>
        <w:spacing w:before="0" w:after="0"/>
        <w:jc w:val="both"/>
        <w:rPr>
          <w:sz w:val="20"/>
        </w:rPr>
      </w:pPr>
      <w:r>
        <w:rPr>
          <w:color w:val="000000"/>
          <w:sz w:val="20"/>
        </w:rPr>
        <w:t>I, Joel Smejkal, certify that:</w:t>
      </w:r>
      <w:r>
        <w:rPr>
          <w:sz w:val="20"/>
        </w:rPr>
        <w:t xml:space="preserve"> </w:t>
      </w:r>
    </w:p>
    <w:p>
      <w:pPr>
        <w:pStyle w:val="TextBody"/>
        <w:bidi w:val="0"/>
        <w:spacing w:before="0" w:after="0"/>
        <w:jc w:val="both"/>
        <w:rPr/>
      </w:pPr>
      <w:r>
        <w:rPr/>
        <w:t xml:space="preserve">  </w:t>
      </w:r>
    </w:p>
    <w:p>
      <w:pPr>
        <w:pStyle w:val="TextBody"/>
        <w:bidi w:val="0"/>
        <w:spacing w:before="0" w:after="0"/>
        <w:ind w:left="0" w:right="0" w:hanging="540"/>
        <w:jc w:val="both"/>
        <w:rPr>
          <w:sz w:val="20"/>
        </w:rPr>
      </w:pPr>
      <w:r>
        <w:rPr>
          <w:color w:val="000000"/>
          <w:sz w:val="20"/>
        </w:rPr>
        <w:t>1.    I have reviewed this quarterly report on Form 10-Q of Vishay Intertechnology, Inc.;</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450"/>
        <w:jc w:val="both"/>
        <w:rPr>
          <w:sz w:val="20"/>
        </w:rPr>
      </w:pPr>
      <w:r>
        <w:rPr>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450"/>
        <w:jc w:val="both"/>
        <w:rPr>
          <w:sz w:val="20"/>
        </w:rPr>
      </w:pPr>
      <w:r>
        <w:rPr>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75"/>
        <w:jc w:val="both"/>
        <w:rPr>
          <w:sz w:val="20"/>
        </w:rPr>
      </w:pPr>
      <w:r>
        <w:rPr>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ind w:left="300" w:right="0" w:hanging="450"/>
        <w:jc w:val="both"/>
        <w:rPr/>
      </w:pPr>
      <w:r>
        <w:rPr>
          <w:color w:val="000000"/>
        </w:rPr>
        <w:t xml:space="preserve">  </w:t>
      </w:r>
      <w:r>
        <w:rPr>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75"/>
        <w:jc w:val="both"/>
        <w:rPr>
          <w:sz w:val="20"/>
        </w:rPr>
      </w:pPr>
      <w:r>
        <w:rPr>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(b)  Any fraud, whether or not material, that involves management or other employees who have a significant role in the registrant's internal control over financial reporting.</w:t>
      </w:r>
      <w:r>
        <w:rPr>
          <w:sz w:val="20"/>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both"/>
        <w:rPr>
          <w:color w:val="000000"/>
          <w:sz w:val="20"/>
        </w:rPr>
      </w:pPr>
      <w:r>
        <w:rPr>
          <w:color w:val="000000"/>
          <w:sz w:val="20"/>
        </w:rPr>
        <w:t>Date: August 5, 2026</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color w:val="000000"/>
          <w:sz w:val="20"/>
          <w:u w:val="single"/>
        </w:rPr>
      </w:pPr>
      <w:r>
        <w:rPr>
          <w:color w:val="000000"/>
          <w:sz w:val="20"/>
          <w:u w:val="single"/>
        </w:rPr>
        <w:t xml:space="preserve">/s/ Joel Smejkal </w:t>
      </w:r>
    </w:p>
    <w:p>
      <w:pPr>
        <w:pStyle w:val="TextBody"/>
        <w:bidi w:val="0"/>
        <w:jc w:val="left"/>
        <w:rPr>
          <w:sz w:val="20"/>
        </w:rPr>
      </w:pPr>
      <w:r>
        <w:rPr>
          <w:color w:val="000000"/>
          <w:sz w:val="20"/>
        </w:rPr>
        <w:t>Joel Smejkal</w:t>
        <w:br/>
        <w:t>Chief Executive Officer</w:t>
      </w:r>
      <w:r>
        <w:rPr>
          <w:sz w:val="20"/>
        </w:rPr>
        <w:t xml:space="preserve"> </w:t>
      </w:r>
    </w:p>
    <w:p>
      <w:pPr>
        <w:pStyle w:val="TextBody"/>
        <w:bidi w:val="0"/>
        <w:spacing w:before="0" w:after="0"/>
        <w:jc w:val="left"/>
        <w:rPr/>
      </w:pPr>
      <w:bookmarkStart w:id="26" w:name="exhibit31-2q.htm"/>
      <w:bookmarkStart w:id="27" w:name="ksexhibit312q"/>
      <w:bookmarkEnd w:id="26"/>
      <w:bookmarkEnd w:id="27"/>
      <w:r>
        <w:rPr/>
        <w:t xml:space="preserve">  </w:t>
      </w:r>
      <w:r>
        <w:br w:type="page"/>
      </w:r>
    </w:p>
    <w:p>
      <w:pPr>
        <w:pStyle w:val="TextBody"/>
        <w:bidi w:val="0"/>
        <w:spacing w:before="0" w:after="0"/>
        <w:jc w:val="right"/>
        <w:rPr>
          <w:sz w:val="20"/>
        </w:rPr>
      </w:pPr>
      <w:r>
        <w:rPr>
          <w:b/>
          <w:color w:val="000000"/>
          <w:sz w:val="20"/>
        </w:rPr>
        <w:t>Exhibit 31.2</w:t>
      </w:r>
      <w:r>
        <w:rPr>
          <w:sz w:val="20"/>
        </w:rPr>
        <w:t xml:space="preserve"> </w:t>
      </w:r>
    </w:p>
    <w:p>
      <w:pPr>
        <w:pStyle w:val="TextBody"/>
        <w:bidi w:val="0"/>
        <w:spacing w:before="0" w:after="0"/>
        <w:jc w:val="center"/>
        <w:rPr>
          <w:sz w:val="20"/>
        </w:rPr>
      </w:pPr>
      <w:r>
        <w:rPr>
          <w:b/>
          <w:color w:val="000000"/>
          <w:sz w:val="20"/>
        </w:rPr>
        <w:t>CERTIFICATIONS</w:t>
      </w:r>
      <w:r>
        <w:rPr>
          <w:sz w:val="20"/>
        </w:rPr>
        <w:t xml:space="preserve"> </w:t>
      </w:r>
    </w:p>
    <w:p>
      <w:pPr>
        <w:pStyle w:val="TextBody"/>
        <w:bidi w:val="0"/>
        <w:spacing w:before="0" w:after="0"/>
        <w:jc w:val="left"/>
        <w:rPr/>
      </w:pPr>
      <w:r>
        <w:rPr/>
        <w:t xml:space="preserve">  </w:t>
      </w:r>
    </w:p>
    <w:p>
      <w:pPr>
        <w:pStyle w:val="TextBody"/>
        <w:bidi w:val="0"/>
        <w:spacing w:before="0" w:after="0"/>
        <w:jc w:val="both"/>
        <w:rPr>
          <w:sz w:val="20"/>
        </w:rPr>
      </w:pPr>
      <w:r>
        <w:rPr>
          <w:color w:val="000000"/>
          <w:sz w:val="20"/>
        </w:rPr>
        <w:t>I, David E. McConnell, certify that:</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540"/>
        <w:jc w:val="both"/>
        <w:rPr>
          <w:sz w:val="20"/>
        </w:rPr>
      </w:pPr>
      <w:r>
        <w:rPr>
          <w:color w:val="000000"/>
          <w:sz w:val="20"/>
        </w:rPr>
        <w:t>1.    I have reviewed this quarterly report on Form 10-Q of Vishay Intertechnology, Inc.;</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75"/>
        <w:jc w:val="both"/>
        <w:rPr>
          <w:sz w:val="20"/>
        </w:rPr>
      </w:pPr>
      <w:r>
        <w:rPr>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75"/>
        <w:jc w:val="both"/>
        <w:rPr>
          <w:sz w:val="20"/>
        </w:rPr>
      </w:pPr>
      <w:r>
        <w:rPr>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75"/>
        <w:jc w:val="both"/>
        <w:rPr>
          <w:sz w:val="20"/>
        </w:rPr>
      </w:pPr>
      <w:r>
        <w:rPr>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sz w:val="20"/>
        </w:rPr>
        <w:t xml:space="preserve"> </w:t>
      </w:r>
    </w:p>
    <w:p>
      <w:pPr>
        <w:pStyle w:val="TextBody"/>
        <w:bidi w:val="0"/>
        <w:spacing w:before="0" w:after="0"/>
        <w:jc w:val="left"/>
        <w:rPr/>
      </w:pPr>
      <w:r>
        <w:rPr>
          <w:color w:val="000000"/>
        </w:rPr>
        <w:t>  </w:t>
      </w:r>
      <w:r>
        <w:rPr/>
        <w:t xml:space="preserve"> </w:t>
      </w:r>
    </w:p>
    <w:p>
      <w:pPr>
        <w:pStyle w:val="TextBody"/>
        <w:bidi w:val="0"/>
        <w:spacing w:before="0" w:after="0"/>
        <w:ind w:left="400" w:right="0" w:hanging="375"/>
        <w:jc w:val="both"/>
        <w:rPr>
          <w:sz w:val="20"/>
        </w:rPr>
      </w:pPr>
      <w:r>
        <w:rPr>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(d)  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75"/>
        <w:jc w:val="both"/>
        <w:rPr>
          <w:sz w:val="20"/>
        </w:rPr>
      </w:pPr>
      <w:r>
        <w:rPr>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sz w:val="20"/>
        </w:rPr>
        <w:t xml:space="preserve"> </w:t>
      </w:r>
    </w:p>
    <w:p>
      <w:pPr>
        <w:pStyle w:val="TextBody"/>
        <w:bidi w:val="0"/>
        <w:spacing w:before="0" w:after="0"/>
        <w:jc w:val="left"/>
        <w:rPr/>
      </w:pPr>
      <w:r>
        <w:rPr/>
        <w:t xml:space="preserve">  </w:t>
      </w:r>
    </w:p>
    <w:p>
      <w:pPr>
        <w:pStyle w:val="TextBody"/>
        <w:bidi w:val="0"/>
        <w:spacing w:before="0" w:after="0"/>
        <w:ind w:left="400" w:right="0" w:hanging="375"/>
        <w:jc w:val="both"/>
        <w:rPr>
          <w:sz w:val="20"/>
        </w:rPr>
      </w:pPr>
      <w:r>
        <w:rPr>
          <w:color w:val="000000"/>
          <w:sz w:val="20"/>
        </w:rPr>
        <w:t>(b)  Any fraud, whether or not material, that involves management or other employees who have a significant role in the registrant's internal control over financial reporting.</w:t>
      </w:r>
      <w:r>
        <w:rPr>
          <w:sz w:val="20"/>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both"/>
        <w:rPr>
          <w:color w:val="000000"/>
          <w:sz w:val="20"/>
        </w:rPr>
      </w:pPr>
      <w:r>
        <w:rPr>
          <w:color w:val="000000"/>
          <w:sz w:val="20"/>
        </w:rPr>
        <w:t>Date: August 5, 2026</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color w:val="000000"/>
          <w:sz w:val="20"/>
          <w:u w:val="single"/>
        </w:rPr>
      </w:pPr>
      <w:r>
        <w:rPr>
          <w:color w:val="000000"/>
          <w:sz w:val="20"/>
          <w:u w:val="single"/>
        </w:rPr>
        <w:t xml:space="preserve">/s/ David E. McConnell </w:t>
      </w:r>
    </w:p>
    <w:p>
      <w:pPr>
        <w:pStyle w:val="TextBody"/>
        <w:bidi w:val="0"/>
        <w:spacing w:before="0" w:after="0"/>
        <w:jc w:val="left"/>
        <w:rPr>
          <w:sz w:val="20"/>
        </w:rPr>
      </w:pPr>
      <w:r>
        <w:rPr>
          <w:color w:val="000000"/>
          <w:sz w:val="20"/>
        </w:rPr>
        <w:t>David E. McConnell</w:t>
        <w:br/>
        <w:t>Chief Financial Officer</w:t>
      </w:r>
      <w:r>
        <w:rPr>
          <w:sz w:val="20"/>
        </w:rPr>
        <w:t xml:space="preserve"> </w:t>
      </w:r>
    </w:p>
    <w:p>
      <w:pPr>
        <w:pStyle w:val="TextBody"/>
        <w:bidi w:val="0"/>
        <w:spacing w:before="0" w:after="283"/>
        <w:jc w:val="left"/>
        <w:rPr/>
      </w:pPr>
      <w:r>
        <w:rPr/>
        <w:t xml:space="preserve">  </w:t>
      </w:r>
    </w:p>
    <w:p>
      <w:pPr>
        <w:pStyle w:val="TextBody"/>
        <w:bidi w:val="0"/>
        <w:spacing w:before="0" w:after="0"/>
        <w:jc w:val="left"/>
        <w:rPr/>
      </w:pPr>
      <w:bookmarkStart w:id="28" w:name="exhibit32-1q.htm"/>
      <w:bookmarkStart w:id="29" w:name="ksexhibit321q"/>
      <w:bookmarkEnd w:id="28"/>
      <w:bookmarkEnd w:id="29"/>
      <w:r>
        <w:rPr/>
        <w:t xml:space="preserve">  </w:t>
      </w:r>
      <w:r>
        <w:br w:type="page"/>
      </w:r>
    </w:p>
    <w:p>
      <w:pPr>
        <w:pStyle w:val="TextBody"/>
        <w:bidi w:val="0"/>
        <w:spacing w:before="0" w:after="0"/>
        <w:jc w:val="right"/>
        <w:rPr>
          <w:sz w:val="20"/>
        </w:rPr>
      </w:pPr>
      <w:r>
        <w:rPr>
          <w:b/>
          <w:color w:val="000000"/>
          <w:sz w:val="20"/>
        </w:rPr>
        <w:t>Exhibit 32.1</w:t>
      </w:r>
      <w:r>
        <w:rPr>
          <w:sz w:val="20"/>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sz w:val="20"/>
        </w:rPr>
      </w:pPr>
      <w:r>
        <w:rPr>
          <w:b/>
          <w:color w:val="000000"/>
          <w:sz w:val="20"/>
        </w:rPr>
        <w:t>CERTIFICATION PURSUANT TO</w:t>
      </w:r>
      <w:r>
        <w:rPr>
          <w:sz w:val="20"/>
        </w:rPr>
        <w:t xml:space="preserve"> </w:t>
      </w:r>
    </w:p>
    <w:p>
      <w:pPr>
        <w:pStyle w:val="TextBody"/>
        <w:bidi w:val="0"/>
        <w:spacing w:before="0" w:after="0"/>
        <w:jc w:val="center"/>
        <w:rPr>
          <w:sz w:val="20"/>
        </w:rPr>
      </w:pPr>
      <w:r>
        <w:rPr>
          <w:b/>
          <w:color w:val="000000"/>
          <w:sz w:val="20"/>
        </w:rPr>
        <w:t>18 U.S.C. SECTION 1350,</w:t>
      </w:r>
      <w:r>
        <w:rPr>
          <w:sz w:val="20"/>
        </w:rPr>
        <w:t xml:space="preserve"> </w:t>
      </w:r>
    </w:p>
    <w:p>
      <w:pPr>
        <w:pStyle w:val="TextBody"/>
        <w:bidi w:val="0"/>
        <w:spacing w:before="0" w:after="0"/>
        <w:jc w:val="center"/>
        <w:rPr>
          <w:sz w:val="20"/>
        </w:rPr>
      </w:pPr>
      <w:r>
        <w:rPr>
          <w:b/>
          <w:color w:val="000000"/>
          <w:sz w:val="20"/>
        </w:rPr>
        <w:t>AS ADOPTED PURSUANT TO</w:t>
      </w:r>
      <w:r>
        <w:rPr>
          <w:sz w:val="20"/>
        </w:rPr>
        <w:t xml:space="preserve"> </w:t>
      </w:r>
    </w:p>
    <w:p>
      <w:pPr>
        <w:pStyle w:val="TextBody"/>
        <w:bidi w:val="0"/>
        <w:spacing w:before="0" w:after="0"/>
        <w:jc w:val="center"/>
        <w:rPr>
          <w:sz w:val="20"/>
        </w:rPr>
      </w:pPr>
      <w:r>
        <w:rPr>
          <w:b/>
          <w:color w:val="000000"/>
          <w:sz w:val="20"/>
        </w:rPr>
        <w:t>SECTION 906 OF THE SARBANES-OXLEY ACT OF 2002</w:t>
      </w:r>
      <w:r>
        <w:rPr>
          <w:sz w:val="20"/>
        </w:rPr>
        <w:t xml:space="preserve"> </w:t>
      </w:r>
    </w:p>
    <w:p>
      <w:pPr>
        <w:pStyle w:val="TextBody"/>
        <w:bidi w:val="0"/>
        <w:spacing w:before="0" w:after="0"/>
        <w:jc w:val="left"/>
        <w:rPr/>
      </w:pPr>
      <w:r>
        <w:rPr/>
        <w:t xml:space="preserve">  </w:t>
      </w:r>
    </w:p>
    <w:p>
      <w:pPr>
        <w:pStyle w:val="TextBody"/>
        <w:bidi w:val="0"/>
        <w:spacing w:before="0" w:after="0"/>
        <w:jc w:val="both"/>
        <w:rPr>
          <w:sz w:val="20"/>
        </w:rPr>
      </w:pPr>
      <w:r>
        <w:rPr>
          <w:color w:val="000000"/>
          <w:sz w:val="20"/>
        </w:rPr>
        <w:t>In connection with the Quarterly Report of Vishay Intertechnology, Inc. (the "Company") on Form 10-Q for the fiscal quarter ended July 4, 2026 as filed with the Securities and Exchange Commission on the date hereof (the "Report"), I, Joel Smejkal, Chief Executive Officer of the Company, certify, pursuant to 18 U.S.C. section 1350, as adopted pursuant to section 906 of the Sarbanes-Oxley Act of 2002, that:</w:t>
      </w:r>
      <w:r>
        <w:rPr>
          <w:sz w:val="20"/>
        </w:rPr>
        <w:t xml:space="preserve"> </w:t>
      </w:r>
    </w:p>
    <w:p>
      <w:pPr>
        <w:pStyle w:val="TextBody"/>
        <w:bidi w:val="0"/>
        <w:spacing w:before="0" w:after="0"/>
        <w:jc w:val="left"/>
        <w:rPr/>
      </w:pPr>
      <w:r>
        <w:rPr/>
        <w:t> </w:t>
      </w:r>
    </w:p>
    <w:p>
      <w:pPr>
        <w:pStyle w:val="TextBody"/>
        <w:bidi w:val="0"/>
        <w:spacing w:before="0" w:after="0"/>
        <w:ind w:left="0" w:right="0" w:hanging="375"/>
        <w:jc w:val="left"/>
        <w:rPr>
          <w:sz w:val="20"/>
        </w:rPr>
      </w:pPr>
      <w:r>
        <w:rPr>
          <w:sz w:val="20"/>
        </w:rPr>
        <w:t>1.    </w:t>
      </w:r>
      <w:r>
        <w:rPr>
          <w:color w:val="000000"/>
          <w:sz w:val="20"/>
        </w:rPr>
        <w:t>The Report fully complies with the requirements of section 13(a) or 15(d) of the Securities Exchange Act of 1934; and</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450"/>
        <w:jc w:val="both"/>
        <w:rPr>
          <w:sz w:val="20"/>
        </w:rPr>
      </w:pPr>
      <w:r>
        <w:rPr>
          <w:color w:val="000000"/>
          <w:sz w:val="20"/>
        </w:rPr>
        <w:t>2.   The information contained in the Report fairly presents, in all material respects, the financial condition and results of operations of the Company.</w:t>
      </w:r>
      <w:r>
        <w:rPr>
          <w:sz w:val="20"/>
        </w:rPr>
        <w:t xml:space="preserve"> </w:t>
      </w:r>
    </w:p>
    <w:p>
      <w:pPr>
        <w:pStyle w:val="TextBody"/>
        <w:bidi w:val="0"/>
        <w:spacing w:before="0" w:after="0"/>
        <w:jc w:val="left"/>
        <w:rPr/>
      </w:pPr>
      <w:r>
        <w:rPr/>
        <w:t xml:space="preserve">  </w:t>
      </w:r>
    </w:p>
    <w:p>
      <w:pPr>
        <w:pStyle w:val="TextBody"/>
        <w:bidi w:val="0"/>
        <w:spacing w:before="0" w:after="0"/>
        <w:jc w:val="left"/>
        <w:rPr>
          <w:color w:val="000000"/>
          <w:sz w:val="20"/>
          <w:u w:val="single"/>
        </w:rPr>
      </w:pPr>
      <w:r>
        <w:rPr>
          <w:color w:val="000000"/>
          <w:sz w:val="20"/>
          <w:u w:val="single"/>
        </w:rPr>
        <w:t xml:space="preserve">/s/ Joel Smejkal </w:t>
      </w:r>
    </w:p>
    <w:p>
      <w:pPr>
        <w:pStyle w:val="TextBody"/>
        <w:bidi w:val="0"/>
        <w:spacing w:before="0" w:after="0"/>
        <w:jc w:val="left"/>
        <w:rPr>
          <w:sz w:val="20"/>
        </w:rPr>
      </w:pPr>
      <w:r>
        <w:rPr>
          <w:color w:val="000000"/>
          <w:sz w:val="20"/>
        </w:rPr>
        <w:t>Joel Smejkal</w:t>
      </w:r>
      <w:r>
        <w:rPr>
          <w:sz w:val="20"/>
        </w:rPr>
        <w:t xml:space="preserve"> </w:t>
      </w:r>
    </w:p>
    <w:p>
      <w:pPr>
        <w:pStyle w:val="TextBody"/>
        <w:bidi w:val="0"/>
        <w:spacing w:before="0" w:after="0"/>
        <w:jc w:val="left"/>
        <w:rPr>
          <w:sz w:val="20"/>
        </w:rPr>
      </w:pPr>
      <w:r>
        <w:rPr>
          <w:color w:val="000000"/>
          <w:sz w:val="20"/>
        </w:rPr>
        <w:t>Chief Executive Officer</w:t>
      </w:r>
      <w:r>
        <w:rPr>
          <w:sz w:val="20"/>
        </w:rPr>
        <w:t xml:space="preserve"> </w:t>
      </w:r>
    </w:p>
    <w:p>
      <w:pPr>
        <w:pStyle w:val="TextBody"/>
        <w:bidi w:val="0"/>
        <w:spacing w:before="0" w:after="0"/>
        <w:jc w:val="left"/>
        <w:rPr>
          <w:sz w:val="20"/>
        </w:rPr>
      </w:pPr>
      <w:r>
        <w:rPr>
          <w:color w:val="000000"/>
          <w:sz w:val="20"/>
        </w:rPr>
        <w:t>August 5, 2026</w:t>
      </w:r>
      <w:r>
        <w:rPr>
          <w:sz w:val="20"/>
        </w:rPr>
        <w:t xml:space="preserve"> </w:t>
      </w:r>
    </w:p>
    <w:p>
      <w:pPr>
        <w:pStyle w:val="TextBody"/>
        <w:bidi w:val="0"/>
        <w:spacing w:before="0" w:after="283"/>
        <w:jc w:val="left"/>
        <w:rPr/>
      </w:pPr>
      <w:r>
        <w:rPr/>
        <w:t xml:space="preserve">  </w:t>
      </w:r>
    </w:p>
    <w:p>
      <w:pPr>
        <w:pStyle w:val="TextBody"/>
        <w:bidi w:val="0"/>
        <w:spacing w:before="0" w:after="0"/>
        <w:jc w:val="left"/>
        <w:rPr/>
      </w:pPr>
      <w:bookmarkStart w:id="30" w:name="exhibit32-2q.htm"/>
      <w:bookmarkStart w:id="31" w:name="ksexhibit322q"/>
      <w:bookmarkEnd w:id="30"/>
      <w:bookmarkEnd w:id="31"/>
      <w:r>
        <w:rPr/>
        <w:t xml:space="preserve">  </w:t>
      </w:r>
      <w:r>
        <w:br w:type="page"/>
      </w:r>
    </w:p>
    <w:p>
      <w:pPr>
        <w:pStyle w:val="TextBody"/>
        <w:bidi w:val="0"/>
        <w:spacing w:before="0" w:after="0"/>
        <w:jc w:val="right"/>
        <w:rPr>
          <w:sz w:val="20"/>
        </w:rPr>
      </w:pPr>
      <w:r>
        <w:rPr>
          <w:b/>
          <w:color w:val="000000"/>
          <w:sz w:val="20"/>
        </w:rPr>
        <w:t>Exhibit 32.2</w:t>
      </w:r>
      <w:r>
        <w:rPr>
          <w:sz w:val="20"/>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center"/>
        <w:rPr>
          <w:sz w:val="20"/>
        </w:rPr>
      </w:pPr>
      <w:r>
        <w:rPr>
          <w:b/>
          <w:color w:val="000000"/>
          <w:sz w:val="20"/>
        </w:rPr>
        <w:t>CERTIFICATION PURSUANT TO</w:t>
      </w:r>
      <w:r>
        <w:rPr>
          <w:sz w:val="20"/>
        </w:rPr>
        <w:t xml:space="preserve"> </w:t>
      </w:r>
    </w:p>
    <w:p>
      <w:pPr>
        <w:pStyle w:val="TextBody"/>
        <w:bidi w:val="0"/>
        <w:spacing w:before="0" w:after="0"/>
        <w:jc w:val="center"/>
        <w:rPr>
          <w:sz w:val="20"/>
        </w:rPr>
      </w:pPr>
      <w:r>
        <w:rPr>
          <w:b/>
          <w:color w:val="000000"/>
          <w:sz w:val="20"/>
        </w:rPr>
        <w:t>18 U.S.C. SECTION 1350,</w:t>
      </w:r>
      <w:r>
        <w:rPr>
          <w:sz w:val="20"/>
        </w:rPr>
        <w:t xml:space="preserve"> </w:t>
      </w:r>
    </w:p>
    <w:p>
      <w:pPr>
        <w:pStyle w:val="TextBody"/>
        <w:bidi w:val="0"/>
        <w:spacing w:before="0" w:after="0"/>
        <w:jc w:val="center"/>
        <w:rPr>
          <w:sz w:val="20"/>
        </w:rPr>
      </w:pPr>
      <w:r>
        <w:rPr>
          <w:b/>
          <w:color w:val="000000"/>
          <w:sz w:val="20"/>
        </w:rPr>
        <w:t>AS ADOPTED PURSUANT TO</w:t>
      </w:r>
      <w:r>
        <w:rPr>
          <w:sz w:val="20"/>
        </w:rPr>
        <w:t xml:space="preserve"> </w:t>
      </w:r>
    </w:p>
    <w:p>
      <w:pPr>
        <w:pStyle w:val="TextBody"/>
        <w:bidi w:val="0"/>
        <w:spacing w:before="0" w:after="0"/>
        <w:jc w:val="center"/>
        <w:rPr>
          <w:sz w:val="20"/>
        </w:rPr>
      </w:pPr>
      <w:r>
        <w:rPr>
          <w:b/>
          <w:color w:val="000000"/>
          <w:sz w:val="20"/>
        </w:rPr>
        <w:t>SECTION 906 OF THE SARBANES-OXLEY ACT OF 2002</w:t>
      </w:r>
      <w:r>
        <w:rPr>
          <w:sz w:val="20"/>
        </w:rPr>
        <w:t xml:space="preserve"> </w:t>
      </w:r>
    </w:p>
    <w:p>
      <w:pPr>
        <w:pStyle w:val="TextBody"/>
        <w:bidi w:val="0"/>
        <w:spacing w:before="0" w:after="0"/>
        <w:jc w:val="left"/>
        <w:rPr/>
      </w:pPr>
      <w:r>
        <w:rPr/>
        <w:t xml:space="preserve">  </w:t>
      </w:r>
    </w:p>
    <w:p>
      <w:pPr>
        <w:pStyle w:val="TextBody"/>
        <w:bidi w:val="0"/>
        <w:spacing w:before="0" w:after="0"/>
        <w:jc w:val="both"/>
        <w:rPr>
          <w:sz w:val="20"/>
        </w:rPr>
      </w:pPr>
      <w:r>
        <w:rPr>
          <w:color w:val="000000"/>
          <w:sz w:val="20"/>
        </w:rPr>
        <w:t>In connection with the Quarterly Report of Vishay Intertechnology, Inc. (the "Company") on Form 10-Q for the fiscal quarter ended July 4, 2026 as filed with the Securities and Exchange Commission on the date hereof (the "Report"), I, David E. McConnell, Chief Financial Officer of the Company, certify, pursuant to 18 U.S.C. section 1350, as adopted pursuant to section 906 of the Sarbanes-Oxley Act of 2002, that:</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75"/>
        <w:jc w:val="both"/>
        <w:rPr>
          <w:sz w:val="20"/>
        </w:rPr>
      </w:pPr>
      <w:r>
        <w:rPr>
          <w:color w:val="000000"/>
          <w:sz w:val="20"/>
        </w:rPr>
        <w:t>1.   The Report fully complies with the requirements of section 13(a) or 15(d) of the Securities Exchange Act of 1934; and</w:t>
      </w:r>
      <w:r>
        <w:rPr>
          <w:sz w:val="20"/>
        </w:rPr>
        <w:t xml:space="preserve"> </w:t>
      </w:r>
    </w:p>
    <w:p>
      <w:pPr>
        <w:pStyle w:val="TextBody"/>
        <w:bidi w:val="0"/>
        <w:spacing w:before="0" w:after="0"/>
        <w:jc w:val="left"/>
        <w:rPr/>
      </w:pPr>
      <w:r>
        <w:rPr/>
        <w:t xml:space="preserve">  </w:t>
      </w:r>
    </w:p>
    <w:p>
      <w:pPr>
        <w:pStyle w:val="TextBody"/>
        <w:bidi w:val="0"/>
        <w:spacing w:before="0" w:after="0"/>
        <w:ind w:left="0" w:right="0" w:hanging="375"/>
        <w:jc w:val="both"/>
        <w:rPr>
          <w:sz w:val="20"/>
        </w:rPr>
      </w:pPr>
      <w:r>
        <w:rPr>
          <w:color w:val="000000"/>
          <w:sz w:val="20"/>
        </w:rPr>
        <w:t>2.   The information contained in the Report fairly presents, in all material respects, the financial condition and results of operations of the Company.</w:t>
      </w:r>
      <w:r>
        <w:rPr>
          <w:sz w:val="20"/>
        </w:rPr>
        <w:t xml:space="preserve"> </w:t>
      </w:r>
    </w:p>
    <w:p>
      <w:pPr>
        <w:pStyle w:val="TextBody"/>
        <w:bidi w:val="0"/>
        <w:spacing w:before="0" w:after="0"/>
        <w:jc w:val="left"/>
        <w:rPr/>
      </w:pPr>
      <w:r>
        <w:rPr/>
        <w:t xml:space="preserve">  </w:t>
      </w:r>
    </w:p>
    <w:p>
      <w:pPr>
        <w:pStyle w:val="TextBody"/>
        <w:bidi w:val="0"/>
        <w:spacing w:before="0" w:after="0"/>
        <w:jc w:val="left"/>
        <w:rPr>
          <w:color w:val="000000"/>
          <w:sz w:val="20"/>
          <w:u w:val="single"/>
        </w:rPr>
      </w:pPr>
      <w:r>
        <w:rPr>
          <w:color w:val="000000"/>
          <w:sz w:val="20"/>
          <w:u w:val="single"/>
        </w:rPr>
        <w:t xml:space="preserve">/s/ David E. McConnell </w:t>
      </w:r>
    </w:p>
    <w:p>
      <w:pPr>
        <w:pStyle w:val="TextBody"/>
        <w:bidi w:val="0"/>
        <w:spacing w:before="0" w:after="0"/>
        <w:jc w:val="left"/>
        <w:rPr>
          <w:sz w:val="20"/>
        </w:rPr>
      </w:pPr>
      <w:r>
        <w:rPr>
          <w:color w:val="000000"/>
          <w:sz w:val="20"/>
        </w:rPr>
        <w:t>David E. McConnell</w:t>
      </w:r>
      <w:r>
        <w:rPr>
          <w:sz w:val="20"/>
        </w:rPr>
        <w:t xml:space="preserve"> </w:t>
      </w:r>
    </w:p>
    <w:p>
      <w:pPr>
        <w:pStyle w:val="TextBody"/>
        <w:bidi w:val="0"/>
        <w:spacing w:before="0" w:after="0"/>
        <w:jc w:val="left"/>
        <w:rPr>
          <w:sz w:val="20"/>
        </w:rPr>
      </w:pPr>
      <w:r>
        <w:rPr>
          <w:color w:val="000000"/>
          <w:sz w:val="20"/>
        </w:rPr>
        <w:t>Chief Financial Officer</w:t>
      </w:r>
      <w:r>
        <w:rPr>
          <w:sz w:val="20"/>
        </w:rPr>
        <w:t xml:space="preserve"> </w:t>
      </w:r>
    </w:p>
    <w:p>
      <w:pPr>
        <w:pStyle w:val="TextBody"/>
        <w:bidi w:val="0"/>
        <w:spacing w:before="0" w:after="0"/>
        <w:jc w:val="left"/>
        <w:rPr>
          <w:sz w:val="20"/>
        </w:rPr>
      </w:pPr>
      <w:r>
        <w:rPr>
          <w:color w:val="000000"/>
          <w:sz w:val="20"/>
        </w:rPr>
        <w:t>August 5, 2026</w:t>
      </w:r>
      <w:r>
        <w:rPr>
          <w:sz w:val="20"/>
        </w:rPr>
        <w:t xml:space="preserve"> </w:t>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Apto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103730/000010373026000029/vishay_def14a.htm" TargetMode="External"/><Relationship Id="rId3" Type="http://schemas.openxmlformats.org/officeDocument/2006/relationships/hyperlink" Target="https://www.sec.gov/ix?doc=/Archives/edgar/data/0000103730/000010373026000029/vishay_def14a.htm"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19572</Words>
  <Characters>102690</Characters>
  <CharactersWithSpaces>126939</CharactersWithSpaces>
  <Paragraphs>11967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